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AI预测性维护电动工具运维系统</w:t>
      </w:r>
    </w:p>
    <w:p>
      <w:pPr>
        <w:pStyle w:val="Heading1"/>
      </w:pPr>
      <w:r>
        <w:t>专利查新与文献调研：阶段性技术比对</w:t>
      </w:r>
    </w:p>
    <w:p>
      <w:pPr/>
      <w:r>
        <w:rPr>
          <w:b w:val="0"/>
        </w:rPr>
        <w:t>整理日期：2026年10月9日。用途：导师讨论、研究方案收窄与技术交底准备。</w:t>
      </w:r>
    </w:p>
    <w:p>
      <w:pPr>
        <w:pStyle w:val="Heading1"/>
      </w:pPr>
      <w:r>
        <w:t>一、资料范围与阶段结论</w:t>
      </w:r>
    </w:p>
    <w:p>
      <w:pPr/>
      <w:r>
        <w:rPr>
          <w:b w:val="0"/>
        </w:rPr>
        <w:t>本次以用户上传的19份PDF为基础，按题名、作者和DOI去重后，共18项独立资料：6份中国专利申请公开文本、12篇中文及英文论文/学位论文。重复的《多模态残差注意力网络异步电动机故障诊断》合并计算。页码均指附件PDF页码。</w:t>
      </w:r>
    </w:p>
    <w:p>
      <w:pPr/>
      <w:r>
        <w:rPr>
          <w:b w:val="0"/>
        </w:rPr>
        <w:t>另外，内部送审稿提供14条线索，其中10条是CN专利编号、4条是论文；任务书另有2个尚缺原文的专利编号。它们不计入已核读的18项资料，也不因送审稿写有摘要就视为题录与全文均已核实。</w:t>
      </w:r>
    </w:p>
    <w:p>
      <w:pPr/>
      <w:r>
        <w:rPr>
          <w:b w:val="0"/>
        </w:rPr>
      </w:r>
      <w:r>
        <w:rPr>
          <w:b/>
        </w:rPr>
        <w:t>阶段结论：多源融合、工况处理、Transformer–LSTM、轻量化和维护提醒均有相关技术基础。当前研究应优先把贡献收窄到“哪些数据可以进入退化判断，以及维修后的健康参考何时可以更新”。这是一条待补查、待实现与待验证的候选主线。</w:t>
      </w:r>
      <w:r>
        <w:rPr>
          <w:b w:val="0"/>
        </w:rPr>
      </w:r>
    </w:p>
    <w:p>
      <w:pPr/>
      <w:r>
        <w:rPr>
          <w:b w:val="0"/>
        </w:rPr>
        <w:t>已完成附件技术比较及当前代码核对；本次也尝试了国内外专利平台访问和英文关键词检索，但网络代理拒绝连接，未获得新专利全文或有效检索命中数。因此，国内外数据库全面排查、境外同族核验和法律状态核验尚未完成，不能作出“未发现同类专利”或“创新已经成立”的结论。截止日期用于本次整理，尚未申请项目的现有技术范围最终需按实际申请/优先权日复核。</w:t>
      </w:r>
    </w:p>
    <w:p>
      <w:pPr>
        <w:pStyle w:val="Heading2"/>
      </w:pPr>
      <w:r>
        <w:t>附件中最相关的专利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4535"/>
        <w:gridCol w:w="3742"/>
      </w:tblGrid>
      <w:tr>
        <w:trPr>
          <w:cantSplit/>
          <w:tblHeader/>
        </w:trPr>
        <w:tc>
          <w:tcPr>
            <w:tcW w:type="dxa" w:w="1587"/>
            <w:shd w:fill="EAF1F5"/>
          </w:tcPr>
          <w:p>
            <w:pPr>
              <w:spacing w:after="40" w:before="20" w:line="242" w:lineRule="auto"/>
            </w:pPr>
            <w:r>
              <w:rPr>
                <w:b/>
                <w:sz w:val="18"/>
              </w:rPr>
              <w:t>编号与对象</w:t>
            </w:r>
          </w:p>
        </w:tc>
        <w:tc>
          <w:tcPr>
            <w:tcW w:type="dxa" w:w="4535"/>
            <w:shd w:fill="EAF1F5"/>
          </w:tcPr>
          <w:p>
            <w:pPr>
              <w:spacing w:after="40" w:before="20" w:line="242" w:lineRule="auto"/>
            </w:pPr>
            <w:r>
              <w:rPr>
                <w:b/>
                <w:sz w:val="18"/>
              </w:rPr>
              <w:t>原文已公开的技术及定位</w:t>
            </w:r>
          </w:p>
        </w:tc>
        <w:tc>
          <w:tcPr>
            <w:tcW w:type="dxa" w:w="3742"/>
            <w:shd w:fill="EAF1F5"/>
          </w:tcPr>
          <w:p>
            <w:pPr>
              <w:spacing w:after="40" w:before="20" w:line="242" w:lineRule="auto"/>
            </w:pPr>
            <w:r>
              <w:rPr>
                <w:b/>
                <w:sz w:val="18"/>
              </w:rPr>
              <w:t>对项目的直接影响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P1：CN121385628A，电机诊断</w:t>
            </w:r>
          </w:p>
        </w:tc>
        <w:tc>
          <w:tcPr>
            <w:tcW w:type="dxa" w:w="4535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振动/电流校正；负载—谐波健康基线和动态阈值；持续分级报警；SNR自适应窗长；季度基线重标定。权利要求1、8—10：PDF2—3页；基线与窗长：PDF11—12页。</w:t>
            </w:r>
          </w:p>
        </w:tc>
        <w:tc>
          <w:tcPr>
            <w:tcW w:type="dxa" w:w="3742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工况参考、持续报警、质量自适应和基线更新的概括性表述已有近邻；SNR窗长不能直接等同本项目质量加权。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P2：CN121432174A，电感绕线设备诊断</w:t>
            </w:r>
          </w:p>
        </w:tc>
        <w:tc>
          <w:tcPr>
            <w:tcW w:type="dxa" w:w="4535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多项式负载转矩基线与摩擦残差；速度波动/工况敏感度；确认健康样本标定健康指数与阈值。权利要求1、2、5、9：PDF2—4页；细节：PDF12—16页。</w:t>
            </w:r>
          </w:p>
        </w:tc>
        <w:tc>
          <w:tcPr>
            <w:tcW w:type="dxa" w:w="3742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“减去负载基线”“用健康样本标定”也已有基础；需比较参考来源、准入时机和故障证据保护。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P3：CN122258007A，水泵诊断</w:t>
            </w:r>
          </w:p>
        </w:tc>
        <w:tc>
          <w:tcPr>
            <w:tcW w:type="dxa" w:w="4535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振动、声音、电流及工况参数的深度融合。权利要求1—9：PDF2—3页。</w:t>
            </w:r>
          </w:p>
        </w:tc>
        <w:tc>
          <w:tcPr>
            <w:tcW w:type="dxa" w:w="3742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增加传感器和工况输入属于已有路线，换成电钻不能单凭对象变化说明贡献。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P4：CN120509824A，工器具库房</w:t>
            </w:r>
          </w:p>
        </w:tc>
        <w:tc>
          <w:tcPr>
            <w:tcW w:type="dxa" w:w="4535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工具管理、电池容量衰减维护提示；行为基线增量训练。权利要求1、3—7：PDF2—3页；PDF9页。</w:t>
            </w:r>
          </w:p>
        </w:tc>
        <w:tc>
          <w:tcPr>
            <w:tcW w:type="dxa" w:w="3742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工具运维展示和维护提示已有相关基础；行为基线与机械健康参考属于不同对象。</w:t>
            </w:r>
          </w:p>
        </w:tc>
      </w:tr>
    </w:tbl>
    <w:p>
      <w:pPr>
        <w:spacing w:after="20"/>
      </w:pPr>
    </w:p>
    <w:p>
      <w:pPr/>
      <w:r>
        <w:rPr>
          <w:b w:val="0"/>
        </w:rPr>
        <w:t>另两份附件为P5：CN122518894A，地下空间机器人；P6：CN122717237A，无人机机场能源管理。关联较低，分别提供多传感器/容错及边云/OTA工程参考。P6的OTA回滚针对软件版本，不能当作已公开机械健康基线回退；“回退”一词本身也不能作为主要创新。</w:t>
      </w:r>
    </w:p>
    <w:p>
      <w:r>
        <w:br w:type="page"/>
      </w:r>
    </w:p>
    <w:p>
      <w:pPr>
        <w:pStyle w:val="Heading1"/>
      </w:pPr>
      <w:r>
        <w:t>二、论文调研与需要研究的痛点</w:t>
      </w:r>
    </w:p>
    <w:p>
      <w:pPr>
        <w:pStyle w:val="Heading2"/>
      </w:pPr>
      <w:r>
        <w:t>现有研究的四条技术路线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4252"/>
        <w:gridCol w:w="3855"/>
      </w:tblGrid>
      <w:tr>
        <w:trPr>
          <w:cantSplit/>
          <w:tblHeader/>
        </w:trPr>
        <w:tc>
          <w:tcPr>
            <w:tcW w:type="dxa" w:w="1757"/>
            <w:shd w:fill="EAF1F5"/>
          </w:tcPr>
          <w:p>
            <w:pPr>
              <w:spacing w:after="40" w:before="20" w:line="242" w:lineRule="auto"/>
            </w:pPr>
            <w:r>
              <w:rPr>
                <w:b/>
                <w:sz w:val="18"/>
              </w:rPr>
              <w:t>主题与代表文献</w:t>
            </w:r>
          </w:p>
        </w:tc>
        <w:tc>
          <w:tcPr>
            <w:tcW w:type="dxa" w:w="4252"/>
            <w:shd w:fill="EAF1F5"/>
          </w:tcPr>
          <w:p>
            <w:pPr>
              <w:spacing w:after="40" w:before="20" w:line="242" w:lineRule="auto"/>
            </w:pPr>
            <w:r>
              <w:rPr>
                <w:b/>
                <w:sz w:val="18"/>
              </w:rPr>
              <w:t>可以确认的研究基础</w:t>
            </w:r>
          </w:p>
        </w:tc>
        <w:tc>
          <w:tcPr>
            <w:tcW w:type="dxa" w:w="3855"/>
            <w:shd w:fill="EAF1F5"/>
          </w:tcPr>
          <w:p>
            <w:pPr>
              <w:spacing w:after="40" w:before="20" w:line="242" w:lineRule="auto"/>
            </w:pPr>
            <w:r>
              <w:rPr>
                <w:b/>
                <w:sz w:val="18"/>
              </w:rPr>
              <w:t>本项目需要补证的内容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多源融合：Wang等[1]、古玉锋等[2]</w:t>
            </w:r>
          </w:p>
        </w:tc>
        <w:tc>
          <w:tcPr>
            <w:tcW w:type="dxa" w:w="4252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多方向振动图像融合；振动、电压、电流、温度分支、PCA、残差与CBAM。分别见PDF3—4页及PDF3—4页。</w:t>
            </w:r>
          </w:p>
        </w:tc>
        <w:tc>
          <w:tcPr>
            <w:tcW w:type="dxa" w:w="3855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普通特征注意力不直接等于采集可靠性；要检验失联、饱和、安装变化及真实故障冲击。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变工况：Guo等[3]、Li等[4]</w:t>
            </w:r>
          </w:p>
        </w:tc>
        <w:tc>
          <w:tcPr>
            <w:tcW w:type="dxa" w:w="4252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工况/机理信息、重采样、多任务CNN；图卷积、域对抗和MMD。PDF3—5页及PDF3—4页。</w:t>
            </w:r>
          </w:p>
        </w:tc>
        <w:tc>
          <w:tcPr>
            <w:tcW w:type="dxa" w:w="3855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核对是否使用目标域样本；做独立工具和未见负载测试。Guo的故障定位主要涉及轴承/测点位置，不等同内圈、滚动体和外圈分类。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退化预测：张帆等[5]、周文军[6]</w:t>
            </w:r>
          </w:p>
        </w:tc>
        <w:tc>
          <w:tcPr>
            <w:tcW w:type="dxa" w:w="4252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Transformer–LSTM轴承趋势/终点评价；刀具特征筛选、GA-LSTM与物理磨损测量。前者PDF1—8页，后者摘要与试验章节。</w:t>
            </w:r>
          </w:p>
        </w:tc>
        <w:tc>
          <w:tcPr>
            <w:tcW w:type="dxa" w:w="3855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自然磨损、故障部位和RUL是不同任务；明确真实失效终点、工作量单位及独立寿命轨迹。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资源约束：郑隆举等[7]、龙寰等[8]</w:t>
            </w:r>
          </w:p>
        </w:tc>
        <w:tc>
          <w:tcPr>
            <w:tcW w:type="dxa" w:w="4252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并行CNN-GRU；时段压缩、混合注意力和稀疏专家。郑文PDF10—12页报告Params、FLOPs、训练及推理；龙文PDF2—3页。</w:t>
            </w:r>
          </w:p>
        </w:tc>
        <w:tc>
          <w:tcPr>
            <w:tcW w:type="dxa" w:w="3855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参数下降不保证计算量、总内存或实际延迟下降；应在相近效果和目标硬件上比较。</w:t>
            </w:r>
          </w:p>
        </w:tc>
      </w:tr>
    </w:tbl>
    <w:p>
      <w:pPr>
        <w:spacing w:after="20"/>
      </w:pPr>
    </w:p>
    <w:p>
      <w:pPr/>
      <w:r>
        <w:rPr>
          <w:b w:val="0"/>
        </w:rPr>
        <w:t>其他4篇论文为控制回路双模态振荡检测、红外/可见光目标检测、激光熔覆预测及模块化工具应急维修。它们可作表示融合或应用背景参考，不能替代电钻轴承预测维护的直接近邻。</w:t>
      </w:r>
    </w:p>
    <w:p>
      <w:pPr>
        <w:pStyle w:val="Heading2"/>
      </w:pPr>
      <w:r>
        <w:t>面向电钻场景的研究问题</w:t>
      </w:r>
    </w:p>
    <w:p>
      <w:pPr>
        <w:pStyle w:val="ListBullet"/>
      </w:pPr>
      <w:r>
        <w:rPr>
          <w:b w:val="0"/>
        </w:rPr>
      </w:r>
      <w:r>
        <w:rPr>
          <w:b/>
        </w:rPr>
        <w:t>工况与退化的区分：</w:t>
      </w:r>
      <w:r>
        <w:rPr>
          <w:b w:val="0"/>
        </w:rPr>
        <w:t xml:space="preserve"> 启停、变速、负载切换会改变运行信号；工况校正既要减少误报，也要避免消除真实故障。已有研究涉及工况适应，仍需验证电钻暂态场景和独立设备效果。</w:t>
      </w:r>
    </w:p>
    <w:p>
      <w:pPr>
        <w:pStyle w:val="ListBullet"/>
      </w:pPr>
      <w:r>
        <w:rPr>
          <w:b w:val="0"/>
        </w:rPr>
      </w:r>
      <w:r>
        <w:rPr>
          <w:b/>
        </w:rPr>
        <w:t>观测质量与故障的区分：</w:t>
      </w:r>
      <w:r>
        <w:rPr>
          <w:b w:val="0"/>
        </w:rPr>
        <w:t xml:space="preserve"> 数据缺失、饱和及传感器安装异常可能干扰判断；质量依据应尽量来自采集状态和独立校验，避免把故障冲击直接判成“低质量”并过滤。</w:t>
      </w:r>
    </w:p>
    <w:p>
      <w:pPr>
        <w:pStyle w:val="ListBullet"/>
      </w:pPr>
      <w:r>
        <w:rPr>
          <w:b w:val="0"/>
        </w:rPr>
      </w:r>
      <w:r>
        <w:rPr>
          <w:b/>
        </w:rPr>
        <w:t>真实验证与标签不足：</w:t>
      </w:r>
      <w:r>
        <w:rPr>
          <w:b w:val="0"/>
        </w:rPr>
        <w:t xml:space="preserve"> 台架人工缺陷不等于自然磨损程度。缺少自有工具和完整失效轨迹时，分类效果不能说明真实电钻的损伤等级、剩余寿命或提前提醒天数。</w:t>
      </w:r>
    </w:p>
    <w:p>
      <w:pPr>
        <w:pStyle w:val="ListBullet"/>
      </w:pPr>
      <w:r>
        <w:rPr>
          <w:b w:val="0"/>
        </w:rPr>
      </w:r>
      <w:r>
        <w:rPr>
          <w:b/>
        </w:rPr>
        <w:t>维修后参考的可靠恢复：</w:t>
      </w:r>
      <w:r>
        <w:rPr>
          <w:b w:val="0"/>
        </w:rPr>
        <w:t xml:space="preserve"> 维修记录与健康确认需要分别处理；待验证的是可比工况、合格采集、独立健康证据及参考验收能否共同阻止残余故障污染健康参考。</w:t>
      </w:r>
    </w:p>
    <w:p>
      <w:pPr/>
      <w:r>
        <w:rPr>
          <w:b w:val="0"/>
        </w:rPr>
        <w:t>这些是项目需要研究的问题，不是“所有现有技术都没有解决”的断言。专利创新要进一步落实到具体区别特征及其技术效果。</w:t>
      </w:r>
    </w:p>
    <w:p>
      <w:r>
        <w:br w:type="page"/>
      </w:r>
    </w:p>
    <w:p>
      <w:pPr>
        <w:pStyle w:val="Heading1"/>
      </w:pPr>
      <w:r>
        <w:t>三、本项目的创新边界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4252"/>
        <w:gridCol w:w="3855"/>
      </w:tblGrid>
      <w:tr>
        <w:trPr>
          <w:cantSplit/>
          <w:tblHeader/>
        </w:trPr>
        <w:tc>
          <w:tcPr>
            <w:tcW w:type="dxa" w:w="1757"/>
            <w:shd w:fill="EAF1F5"/>
          </w:tcPr>
          <w:p>
            <w:pPr>
              <w:spacing w:after="40" w:before="20" w:line="242" w:lineRule="auto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4252"/>
            <w:shd w:fill="EAF1F5"/>
          </w:tcPr>
          <w:p>
            <w:pPr>
              <w:spacing w:after="40" w:before="20" w:line="242" w:lineRule="auto"/>
            </w:pPr>
            <w:r>
              <w:rPr>
                <w:b/>
                <w:sz w:val="18"/>
              </w:rPr>
              <w:t>本项目的对应内容</w:t>
            </w:r>
          </w:p>
        </w:tc>
        <w:tc>
          <w:tcPr>
            <w:tcW w:type="dxa" w:w="3855"/>
            <w:shd w:fill="EAF1F5"/>
          </w:tcPr>
          <w:p>
            <w:pPr>
              <w:spacing w:after="40" w:before="20" w:line="242" w:lineRule="auto"/>
            </w:pPr>
            <w:r>
              <w:rPr>
                <w:b/>
                <w:sz w:val="18"/>
              </w:rPr>
              <w:t>现阶段如何表述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已有方法基础</w:t>
            </w:r>
          </w:p>
        </w:tc>
        <w:tc>
          <w:tcPr>
            <w:tcW w:type="dxa" w:w="4252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多传感器、FFT、小波降噪、工况输入、注意力融合、Transformer–LSTM、轻量化、健康分级和网页提醒。</w:t>
            </w:r>
          </w:p>
        </w:tc>
        <w:tc>
          <w:tcPr>
            <w:tcW w:type="dxa" w:w="3855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作为实现基础；不能仅把这些模块并列作为核心创新。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已有原型实现</w:t>
            </w:r>
          </w:p>
        </w:tc>
        <w:tc>
          <w:tcPr>
            <w:tcW w:type="dxa" w:w="4252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仿真条件健康参考、质量加权、无效/未知工况拒绝、设备/运行段/时间间隔隔离、持续报警、工单与复测。</w:t>
            </w:r>
          </w:p>
        </w:tc>
        <w:tc>
          <w:tcPr>
            <w:tcW w:type="dxa" w:w="3855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可以报告工程实现；其专利区别及真实技术效果尚需证明。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候选研究主线</w:t>
            </w:r>
          </w:p>
        </w:tc>
        <w:tc>
          <w:tcPr>
            <w:tcW w:type="dxa" w:w="4252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工况与采集质量共同决定观测进入时序历史、退化趋势和持续告警的条件。</w:t>
            </w:r>
          </w:p>
        </w:tc>
        <w:tc>
          <w:tcPr>
            <w:tcW w:type="dxa" w:w="3855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优先补查并实现具体准入规则；已有SNR窗长和工况基线构成重要对比。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候选延伸机制</w:t>
            </w:r>
          </w:p>
        </w:tc>
        <w:tc>
          <w:tcPr>
            <w:tcW w:type="dxa" w:w="4252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维修后独立健康确认、候选参考验收、受控启用及版本回退。</w:t>
            </w:r>
          </w:p>
        </w:tc>
        <w:tc>
          <w:tcPr>
            <w:tcW w:type="dxa" w:w="3855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完整机制尚未实现；与已有健康标定、重标定、行为基线更新及维护后阈值调整逐项比较。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待验证指标</w:t>
            </w:r>
          </w:p>
        </w:tc>
        <w:tc>
          <w:tcPr>
            <w:tcW w:type="dxa" w:w="4252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识别≥92%、RUL误差≤15%、算力下降70%、MCU≤100 ms、提前3—7天。</w:t>
            </w:r>
          </w:p>
        </w:tc>
        <w:tc>
          <w:tcPr>
            <w:tcW w:type="dxa" w:w="3855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均不是已达到的研发结论；具体数值目标本身不足以说明创新。</w:t>
            </w:r>
          </w:p>
        </w:tc>
      </w:tr>
    </w:tbl>
    <w:p>
      <w:pPr>
        <w:spacing w:after="20"/>
      </w:pPr>
    </w:p>
    <w:p>
      <w:pPr>
        <w:pStyle w:val="Heading2"/>
      </w:pPr>
      <w:r>
        <w:t>候选方向A：工况与质量共同控制证据准入</w:t>
      </w:r>
    </w:p>
    <w:p>
      <w:pPr/>
      <w:r>
        <w:rPr>
          <w:b w:val="0"/>
        </w:rPr>
        <w:t>拟明确：由转速/独立负载等信息识别工况变化；由采集完整性、饱和和传感器状态等信息判断通道可靠性；根据二者协同决定观测参与预测历史、趋势和告警累计的方式。拒绝结果应显示“不确定/数据不足”，不能变成“正常”。还需规定连续性、恢复条件及避免漏检的异常升级规则。</w:t>
      </w:r>
    </w:p>
    <w:p>
      <w:pPr/>
      <w:r>
        <w:rPr>
          <w:b w:val="0"/>
        </w:rPr>
        <w:t>当前代码仅实现其中一部分：序列拒绝全通道无效、未知工况及时间断裂；部分通道按质量降权；负载跳变清理告警累计。</w:t>
      </w:r>
      <w:r>
        <w:rPr>
          <w:b/>
        </w:rPr>
        <w:t>负载切换还没有完成对所有模型历史的暂态隔离。</w:t>
      </w:r>
      <w:r>
        <w:rPr>
          <w:b w:val="0"/>
        </w:rPr>
        <w:t xml:space="preserve"> 不能把上述拟完整机制写成已实现成果。</w:t>
      </w:r>
    </w:p>
    <w:p>
      <w:pPr>
        <w:pStyle w:val="Heading2"/>
      </w:pPr>
      <w:r>
        <w:t>候选方向B：维修后健康参考受控恢复</w:t>
      </w:r>
    </w:p>
    <w:p>
      <w:pPr/>
      <w:r>
        <w:rPr>
          <w:b w:val="0"/>
        </w:rPr>
        <w:t>拟流程为：维修记录触发复测 → 可比工况和合格采集 → 独立检查确认健康 → 形成候选参考 → 验证覆盖范围及故障灵敏度 → 启用、冻结或回退。区别讨论应围绕这些步骤的必要联系，而不是只说“维修后更新基线”。</w:t>
      </w:r>
    </w:p>
    <w:p>
      <w:pPr/>
      <w:r>
        <w:rPr>
          <w:b w:val="0"/>
        </w:rPr>
        <w:t>当前工单复测检查运行身份、连续结果、低风险及负载稳定，健康参考保持冻结；它尚不包含完整的独立健康验收、候选参考试用和版本回退。模型自身判断“低风险”不能独自充当新的健康标签。</w:t>
      </w:r>
    </w:p>
    <w:p>
      <w:pPr>
        <w:pStyle w:val="Heading2"/>
      </w:pPr>
      <w:r>
        <w:t>对任务书创新表述的修订建议</w:t>
      </w:r>
    </w:p>
    <w:p>
      <w:pPr/>
      <w:r>
        <w:rPr>
          <w:b w:val="0"/>
        </w:rPr>
        <w:t>将“填补技术空白”“消除工况干扰”改为有范围的待验证目标；将“轻量Transformer–LSTM创新”改为资源约束下的模型选择与验证；将“提前3—7天提醒”补充为以真实失效终点、使用强度和预警代价为依据的评价。新颖性需核对单篇资料是否公开必要特征的组合，创造性还需评价组合启示，当前资料不足以给出肯定结论。</w:t>
      </w:r>
    </w:p>
    <w:p>
      <w:r>
        <w:br w:type="page"/>
      </w:r>
    </w:p>
    <w:p>
      <w:pPr>
        <w:pStyle w:val="Heading1"/>
      </w:pPr>
      <w:r>
        <w:t>四、当前成果、验证方案及可汇报结论</w:t>
      </w:r>
    </w:p>
    <w:p>
      <w:pPr>
        <w:pStyle w:val="Heading2"/>
      </w:pPr>
      <w:r>
        <w:t>当前成果与能力范围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4252"/>
        <w:gridCol w:w="3855"/>
      </w:tblGrid>
      <w:tr>
        <w:trPr>
          <w:cantSplit/>
          <w:tblHeader/>
        </w:trPr>
        <w:tc>
          <w:tcPr>
            <w:tcW w:type="dxa" w:w="1757"/>
            <w:shd w:fill="EAF1F5"/>
          </w:tcPr>
          <w:p>
            <w:pPr>
              <w:spacing w:after="40" w:before="20" w:line="242" w:lineRule="auto"/>
            </w:pPr>
            <w:r>
              <w:rPr>
                <w:b/>
                <w:sz w:val="18"/>
              </w:rPr>
              <w:t>数据与模块</w:t>
            </w:r>
          </w:p>
        </w:tc>
        <w:tc>
          <w:tcPr>
            <w:tcW w:type="dxa" w:w="4252"/>
            <w:shd w:fill="EAF1F5"/>
          </w:tcPr>
          <w:p>
            <w:pPr>
              <w:spacing w:after="40" w:before="20" w:line="242" w:lineRule="auto"/>
            </w:pPr>
            <w:r>
              <w:rPr>
                <w:b/>
                <w:sz w:val="18"/>
              </w:rPr>
              <w:t>已经完成</w:t>
            </w:r>
          </w:p>
        </w:tc>
        <w:tc>
          <w:tcPr>
            <w:tcW w:type="dxa" w:w="3855"/>
            <w:shd w:fill="EAF1F5"/>
          </w:tcPr>
          <w:p>
            <w:pPr>
              <w:spacing w:after="40" w:before="20" w:line="242" w:lineRule="auto"/>
            </w:pPr>
            <w:r>
              <w:rPr>
                <w:b/>
                <w:sz w:val="18"/>
              </w:rPr>
              <w:t>能够支持的结论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CWRU公开数据</w:t>
            </w:r>
          </w:p>
        </w:tc>
        <w:tc>
          <w:tcPr>
            <w:tcW w:type="dxa" w:w="4252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40份文件、9346个窗口；预处理、记录划分、三种轻量模型对照。CNN＋线性注意力5876参数，主测试81.38%。</w:t>
            </w:r>
          </w:p>
        </w:tc>
        <w:tc>
          <w:tcPr>
            <w:tcW w:type="dxa" w:w="3855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只支持当前协议下的四类故障部位分类研究；正常样本误判较多，尚未达到92%目标。没有自然磨损、HI或真实RUL输出。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NASA IMS run2</w:t>
            </w:r>
          </w:p>
        </w:tc>
        <w:tc>
          <w:tcPr>
            <w:tcW w:type="dxa" w:w="4252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984次四通道快照，退化特征及趋势展示。</w:t>
            </w:r>
          </w:p>
        </w:tc>
        <w:tc>
          <w:tcPr>
            <w:tcW w:type="dxa" w:w="3855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真实轴承试验的趋势资料；末记录倒计时为代理标签，尚未训练并验证真实寿命模型。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虚拟工具与旧仿真</w:t>
            </w:r>
          </w:p>
        </w:tc>
        <w:tc>
          <w:tcPr>
            <w:tcW w:type="dxa" w:w="4252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三类工具波形实验台；旧多模态仿真诊断、HI/RUL与维护流程。</w:t>
            </w:r>
          </w:p>
        </w:tc>
        <w:tc>
          <w:tcPr>
            <w:tcW w:type="dxa" w:w="3855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可检查软件链路和设计实验；生成损伤等级与仿真寿命不等于真实损伤确认。</w:t>
            </w:r>
          </w:p>
        </w:tc>
      </w:tr>
    </w:tbl>
    <w:p>
      <w:pPr>
        <w:spacing w:after="20"/>
      </w:pPr>
    </w:p>
    <w:p>
      <w:pPr/>
      <w:r>
        <w:rPr>
          <w:b w:val="0"/>
        </w:rPr>
        <w:t>线性注意力相对同宽标准注意力的估计总MAC下降31.98%，注意力核心下降90.62%；CPU复测没有一致的加速优势，未完成MCU验证，也未证明任务书的70%总算力目标。CWRU主测试仅4条记录，每类1条，重叠窗口不是独立轴承；不能把81.38%外推为现场工具准确率。</w:t>
      </w:r>
    </w:p>
    <w:p>
      <w:pPr>
        <w:pStyle w:val="Heading2"/>
      </w:pPr>
      <w:r>
        <w:t>证明候选机制有效需要哪些实验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4252"/>
        <w:gridCol w:w="3855"/>
      </w:tblGrid>
      <w:tr>
        <w:trPr>
          <w:cantSplit/>
          <w:tblHeader/>
        </w:trPr>
        <w:tc>
          <w:tcPr>
            <w:tcW w:type="dxa" w:w="1757"/>
            <w:shd w:fill="EAF1F5"/>
          </w:tcPr>
          <w:p>
            <w:pPr>
              <w:spacing w:after="40" w:before="20" w:line="242" w:lineRule="auto"/>
            </w:pPr>
            <w:r>
              <w:rPr>
                <w:b/>
                <w:sz w:val="18"/>
              </w:rPr>
              <w:t>实验</w:t>
            </w:r>
          </w:p>
        </w:tc>
        <w:tc>
          <w:tcPr>
            <w:tcW w:type="dxa" w:w="4252"/>
            <w:shd w:fill="EAF1F5"/>
          </w:tcPr>
          <w:p>
            <w:pPr>
              <w:spacing w:after="40" w:before="20" w:line="242" w:lineRule="auto"/>
            </w:pPr>
            <w:r>
              <w:rPr>
                <w:b/>
                <w:sz w:val="18"/>
              </w:rPr>
              <w:t>应保持一致的比较</w:t>
            </w:r>
          </w:p>
        </w:tc>
        <w:tc>
          <w:tcPr>
            <w:tcW w:type="dxa" w:w="3855"/>
            <w:shd w:fill="EAF1F5"/>
          </w:tcPr>
          <w:p>
            <w:pPr>
              <w:spacing w:after="40" w:before="20" w:line="242" w:lineRule="auto"/>
            </w:pPr>
            <w:r>
              <w:rPr>
                <w:b/>
                <w:sz w:val="18"/>
              </w:rPr>
              <w:t>主要观察量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工况与质量准入</w:t>
            </w:r>
          </w:p>
        </w:tc>
        <w:tc>
          <w:tcPr>
            <w:tcW w:type="dxa" w:w="4252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同一预测器：无准入、仅工况、仅质量、协同准入。</w:t>
            </w:r>
          </w:p>
        </w:tc>
        <w:tc>
          <w:tcPr>
            <w:tcW w:type="dxa" w:w="3855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故障召回、误报、不确定比例、检出延迟；同时考察稳定与暂态。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采集异常与真实损伤</w:t>
            </w:r>
          </w:p>
        </w:tc>
        <w:tc>
          <w:tcPr>
            <w:tcW w:type="dxa" w:w="4252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缺失/饱和/松动与真实故障分别标注，并设置并发情况。</w:t>
            </w:r>
          </w:p>
        </w:tc>
        <w:tc>
          <w:tcPr>
            <w:tcW w:type="dxa" w:w="3855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异常是否错误滤掉故障；剩余通道是否足以支持输出。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维修后参考恢复</w:t>
            </w:r>
          </w:p>
        </w:tc>
        <w:tc>
          <w:tcPr>
            <w:tcW w:type="dxa" w:w="4252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固定参考、直接更新、候选受控更新。</w:t>
            </w:r>
          </w:p>
        </w:tc>
        <w:tc>
          <w:tcPr>
            <w:tcW w:type="dxa" w:w="3855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残余故障被吸收比例、参考漂移、误报/漏报、拒绝启用与回退有效性。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工具与资源验证</w:t>
            </w:r>
          </w:p>
        </w:tc>
        <w:tc>
          <w:tcPr>
            <w:tcW w:type="dxa" w:w="4252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独立工具/部件留出，资源在选定硬件上实测。</w:t>
            </w:r>
          </w:p>
        </w:tc>
        <w:tc>
          <w:tcPr>
            <w:tcW w:type="dxa" w:w="3855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状态识别及置信区间、RAM/权重、完整处理延迟；RUL另需独立完整寿命轨迹。</w:t>
            </w:r>
          </w:p>
        </w:tc>
      </w:tr>
    </w:tbl>
    <w:p>
      <w:pPr>
        <w:spacing w:after="20"/>
      </w:pPr>
    </w:p>
    <w:p>
      <w:pPr>
        <w:pStyle w:val="Heading2"/>
      </w:pPr>
      <w:r>
        <w:t>可直接用于PPT的结论</w:t>
      </w:r>
    </w:p>
    <w:p>
      <w:pPr/>
      <w:r>
        <w:rPr>
          <w:b w:val="0"/>
        </w:rPr>
        <w:t>已对提供的6份专利公开文本和12篇论文进行技术比较，梳理了多源融合、变工况诊断、退化预测和轻量化四条路线。现有资料表明，任务书中的传感器融合、Transformer–LSTM和分级维护具有已有基础；本项目拟进一步聚焦复杂工况下的退化证据准入，以及维修后健康参考的受控恢复。当前已完成公开数据预验证和软件原型，候选创新仍需最接近专利全文补查、具体机制实现及真实工具对照实验支持。</w:t>
      </w:r>
    </w:p>
    <w:p>
      <w:r>
        <w:br w:type="page"/>
      </w:r>
    </w:p>
    <w:p>
      <w:pPr>
        <w:pStyle w:val="Heading1"/>
      </w:pPr>
      <w:r>
        <w:t>五、国内外补查安排与证据索引</w:t>
      </w:r>
    </w:p>
    <w:p>
      <w:pPr>
        <w:pStyle w:val="Heading2"/>
      </w:pPr>
      <w:r>
        <w:t>最优先补核的线索</w:t>
      </w:r>
    </w:p>
    <w:p>
      <w:pPr/>
      <w:r>
        <w:rPr>
          <w:b w:val="0"/>
        </w:rPr>
        <w:t>送审稿R1 CN120911309A、R3 CN119579184A涉及同对象完整链路/售后预警；R2 CN116776526A、R4 CN121132556A被送审稿列为博世手持工具寿命/监控方案，应先取得全文及实际WO/DE/US同族记录。</w:t>
      </w:r>
      <w:r>
        <w:rPr>
          <w:b/>
        </w:rPr>
        <w:t>这些题名、申请人、日期及摘要本次尚未独立核实，不据此下结论。</w:t>
      </w:r>
      <w:r>
        <w:rPr>
          <w:b w:val="0"/>
        </w:rPr>
      </w:r>
    </w:p>
    <w:p>
      <w:pPr/>
      <w:r>
        <w:rPr>
          <w:b w:val="0"/>
        </w:rPr>
        <w:t>再核验R5 CN120509001A、R7 CN120995223A的解耦和时序关系，R6/R8/R9/R10的迁移、压缩与多源诊断；R11—R14为论文题录线索，不能计作境外专利。任务书CN121637419A、CN121682762A也需补原文。应按实际同族归并，不能把一个家族的CN、WO、US文本计成多个独立方案。</w:t>
      </w:r>
    </w:p>
    <w:p>
      <w:pPr>
        <w:pStyle w:val="Heading2"/>
      </w:pPr>
      <w:r>
        <w:t>后续可执行的检索概念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4252"/>
        <w:gridCol w:w="3855"/>
      </w:tblGrid>
      <w:tr>
        <w:trPr>
          <w:cantSplit/>
          <w:tblHeader/>
        </w:trPr>
        <w:tc>
          <w:tcPr>
            <w:tcW w:type="dxa" w:w="1757"/>
            <w:shd w:fill="EAF1F5"/>
          </w:tcPr>
          <w:p>
            <w:pPr>
              <w:spacing w:after="40" w:before="20" w:line="242" w:lineRule="auto"/>
            </w:pPr>
            <w:r>
              <w:rPr>
                <w:b/>
                <w:sz w:val="18"/>
              </w:rPr>
              <w:t>主题</w:t>
            </w:r>
          </w:p>
        </w:tc>
        <w:tc>
          <w:tcPr>
            <w:tcW w:type="dxa" w:w="4252"/>
            <w:shd w:fill="EAF1F5"/>
          </w:tcPr>
          <w:p>
            <w:pPr>
              <w:spacing w:after="40" w:before="20" w:line="242" w:lineRule="auto"/>
            </w:pPr>
            <w:r>
              <w:rPr>
                <w:b/>
                <w:sz w:val="18"/>
              </w:rPr>
              <w:t>中文概念组合</w:t>
            </w:r>
          </w:p>
        </w:tc>
        <w:tc>
          <w:tcPr>
            <w:tcW w:type="dxa" w:w="3855"/>
            <w:shd w:fill="EAF1F5"/>
          </w:tcPr>
          <w:p>
            <w:pPr>
              <w:spacing w:after="40" w:before="20" w:line="242" w:lineRule="auto"/>
            </w:pPr>
            <w:r>
              <w:rPr>
                <w:b/>
                <w:sz w:val="18"/>
              </w:rPr>
              <w:t>英文概念组合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同对象监测与寿命</w:t>
            </w:r>
          </w:p>
        </w:tc>
        <w:tc>
          <w:tcPr>
            <w:tcW w:type="dxa" w:w="4252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（电动工具 OR 手持式工具机 OR 电钻）AND（状态监测 OR 剩余寿命 OR 预测性维护）</w:t>
            </w:r>
          </w:p>
        </w:tc>
        <w:tc>
          <w:tcPr>
            <w:tcW w:type="dxa" w:w="3855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(power tool OR handheld power tool OR drill) AND (condition monitoring OR remaining service life OR predictive maintenance)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工况与观测可靠性</w:t>
            </w:r>
          </w:p>
        </w:tc>
        <w:tc>
          <w:tcPr>
            <w:tcW w:type="dxa" w:w="4252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（轴承 OR 电机）AND（变工况 OR 暂态 OR 负载切换）AND（数据质量 OR 传感器故障 OR 数据准入）</w:t>
            </w:r>
          </w:p>
        </w:tc>
        <w:tc>
          <w:tcPr>
            <w:tcW w:type="dxa" w:w="3855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(bearing OR motor) AND (variable operating conditions OR transient OR load transition) AND (sensor quality OR sensor fault OR data admission)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维修后参考恢复</w:t>
            </w:r>
          </w:p>
        </w:tc>
        <w:tc>
          <w:tcPr>
            <w:tcW w:type="dxa" w:w="4252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（维修后 OR 重标定）AND（健康基线 OR 参考更新 OR 自适应阈值）</w:t>
            </w:r>
          </w:p>
        </w:tc>
        <w:tc>
          <w:tcPr>
            <w:tcW w:type="dxa" w:w="3855"/>
          </w:tcPr>
          <w:p>
            <w:pPr>
              <w:spacing w:after="40" w:before="20" w:line="242" w:lineRule="auto"/>
            </w:pPr>
            <w:r>
              <w:rPr>
                <w:b w:val="0"/>
                <w:sz w:val="18"/>
              </w:rPr>
              <w:t>(after repair OR post-maintenance OR recalibration) AND (healthy baseline OR reference update OR adaptive threshold)</w:t>
            </w:r>
          </w:p>
        </w:tc>
      </w:tr>
    </w:tbl>
    <w:p>
      <w:pPr>
        <w:spacing w:after="20"/>
      </w:pPr>
    </w:p>
    <w:p>
      <w:pPr/>
      <w:r>
        <w:rPr>
          <w:b w:val="0"/>
        </w:rPr>
        <w:t>以上是需要按平台语法调整的补检计划。本次实际发出了两组英文关键词查询，但页面未返回；不能记录为0命中。应补充成功执行的数据库、字段/分类、检索式、命中量、筛选理由、同族、公开日和权利要求定位，再更新创新边界。</w:t>
      </w:r>
    </w:p>
    <w:p>
      <w:pPr>
        <w:pStyle w:val="Heading2"/>
      </w:pPr>
      <w:r>
        <w:t>交付索引</w:t>
      </w:r>
    </w:p>
    <w:p>
      <w:pPr>
        <w:pStyle w:val="ListBullet"/>
      </w:pPr>
      <w:r>
        <w:rPr>
          <w:b w:val="0"/>
        </w:rPr>
      </w:r>
      <w:r>
        <w:rPr>
          <w:b w:val="0"/>
        </w:rPr>
        <w:t>附件技术证据表_18项.csv</w:t>
      </w:r>
      <w:r>
        <w:rPr>
          <w:b w:val="0"/>
        </w:rPr>
        <w:t>：全部去重附件、定位、已公开技术和边界影响。</w:t>
      </w:r>
    </w:p>
    <w:p>
      <w:pPr>
        <w:pStyle w:val="ListBullet"/>
      </w:pPr>
      <w:r>
        <w:rPr>
          <w:b w:val="0"/>
        </w:rPr>
      </w:r>
      <w:r>
        <w:rPr>
          <w:b w:val="0"/>
        </w:rPr>
        <w:t>待核验线索表_16项.csv</w:t>
      </w:r>
      <w:r>
        <w:rPr>
          <w:b w:val="0"/>
        </w:rPr>
        <w:t>：送审稿14条＋任务书2条，保持原题录来源及待核验状态。</w:t>
      </w:r>
    </w:p>
    <w:p>
      <w:pPr>
        <w:pStyle w:val="ListBullet"/>
      </w:pPr>
      <w:r>
        <w:rPr>
          <w:b w:val="0"/>
        </w:rPr>
      </w:r>
      <w:r>
        <w:rPr>
          <w:b w:val="0"/>
        </w:rPr>
        <w:t>国内专利附件复核记录.md</w:t>
      </w:r>
      <w:r>
        <w:rPr>
          <w:b w:val="0"/>
        </w:rPr>
        <w:t>、</w:t>
      </w:r>
      <w:r>
        <w:rPr>
          <w:b w:val="0"/>
        </w:rPr>
        <w:t>论文原文复核记录.md</w:t>
      </w:r>
      <w:r>
        <w:rPr>
          <w:b w:val="0"/>
        </w:rPr>
        <w:t>：本次重点原文定位与核对细节。</w:t>
      </w:r>
    </w:p>
    <w:p>
      <w:pPr>
        <w:pStyle w:val="ListBullet"/>
      </w:pPr>
      <w:r>
        <w:rPr>
          <w:b w:val="0"/>
        </w:rPr>
      </w:r>
      <w:r>
        <w:rPr>
          <w:b w:val="0"/>
        </w:rPr>
        <w:t>国内外补检访问记录.json</w:t>
      </w:r>
      <w:r>
        <w:rPr>
          <w:b w:val="0"/>
        </w:rPr>
        <w:t>：实际请求及网络失败记录；不是成功检索结果。</w:t>
      </w:r>
    </w:p>
    <w:p>
      <w:pPr/>
      <w:r>
        <w:t>完整论文题录、DOI与原文定位见随附的“论文原文复核记录.md”和附件技术证据表。</w:t>
      </w:r>
    </w:p>
    <w:sectPr w:rsidR="00FC693F" w:rsidRPr="0006063C" w:rsidSect="00034616">
      <w:footerReference w:type="default" r:id="rId9"/>
      <w:pgSz w:w="11906" w:h="16838"/>
      <w:pgMar w:top="737" w:right="1020" w:bottom="680" w:left="10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7" w:lineRule="auto" w:after="8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33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33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33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5334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47" w:lineRule="auto"/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专利查新与文献调研：阶段性技术比对</dc:title>
  <dc:subject>附件范围技术比较；国内外全面数据库检索尚未完成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