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jpg" ContentType="image/jpeg"/>
  <Override PartName="/word/media/rId28.jpg" ContentType="image/jpeg"/>
  <Override PartName="/word/media/rId38.jpg" ContentType="image/jpeg"/>
  <Override PartName="/word/media/rId25.jpg" ContentType="image/jpeg"/>
  <Override PartName="/word/media/rId4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ae27c1c47b9e91dda4e224afd77e38052fffca"/>
    <w:p>
      <w:pPr>
        <w:pStyle w:val="1"/>
      </w:pPr>
      <w:r>
        <w:rPr>
          <w:rFonts w:hint="eastAsia"/>
        </w:rPr>
        <w:t xml:space="preserve">基于物联网的老年人护理智能监控系统的设计与实现</w:t>
      </w:r>
    </w:p>
    <w:p>
      <w:pPr>
        <w:pStyle w:val="FirstParagraph"/>
      </w:pPr>
      <w:r>
        <w:rPr>
          <w:rFonts w:hint="eastAsia"/>
        </w:rPr>
        <w:t xml:space="preserve">廖芬芳</w:t>
      </w:r>
      <w:r>
        <w:t xml:space="preserve"> https:// orcid.org/ 0009-0009-2</w:t>
      </w:r>
    </w:p>
    <w:p>
      <w:pPr>
        <w:pStyle w:val="a3"/>
      </w:pPr>
      <w:r>
        <w:rPr>
          <w:rFonts w:hint="eastAsia"/>
        </w:rPr>
        <w:t xml:space="preserve">637-8339中国龙岩闽西职业技术学院</w:t>
      </w:r>
    </w:p>
    <w:bookmarkEnd w:id="20"/>
    <w:bookmarkStart w:id="21" w:name="c3222a1049dfbad088390e2cf305feb8"/>
    <w:p>
      <w:pPr>
        <w:pStyle w:val="1"/>
      </w:pPr>
      <w:r>
        <w:rPr>
          <w:rFonts w:hint="eastAsia"/>
        </w:rPr>
        <w:t xml:space="preserve">摘要</w:t>
      </w:r>
    </w:p>
    <w:p>
      <w:pPr>
        <w:pStyle w:val="FirstParagraph"/>
      </w:pPr>
      <w:r>
        <w:rPr>
          <w:rFonts w:hint="eastAsia"/>
        </w:rPr>
        <w:t xml:space="preserve">随着全球老年人口的不断增加，保障老年人的身体安全和生活质量已成为智慧医疗与物联网技术领域亟待解决的问题。本研究构建了一套面向老年护理的智能监测系统，该系统集成了多模态数据采集、轻量级时间序列异常检测算法以及能耗自适应机制。该系统能够实现状态感知的高频动态更新、高可靠性的报警以及精细化干预。在试运行中，该系统表现出良好的稳定性和普适性，既降低了数据孤岛的风险，又显著提升了护理效率。此外，本文还对通信协议、数据安全及用户体验进行了系统优化。本研究对于提升养老服务的数字化水平具有重要意义，同时也为后续多学科交叉融合研究提供了新的思路。</w:t>
      </w:r>
    </w:p>
    <w:bookmarkEnd w:id="21"/>
    <w:bookmarkStart w:id="22" w:name="deb9bae11280683f4aeb75f7c5e5c9d6"/>
    <w:p>
      <w:pPr>
        <w:pStyle w:val="1"/>
      </w:pPr>
      <w:r>
        <w:rPr>
          <w:rFonts w:hint="eastAsia"/>
        </w:rPr>
        <w:t xml:space="preserve">关键词</w:t>
      </w:r>
    </w:p>
    <w:p>
      <w:pPr>
        <w:pStyle w:val="FirstParagraph"/>
      </w:pPr>
      <w:r>
        <w:rPr>
          <w:rFonts w:hint="eastAsia"/>
        </w:rPr>
        <w:t xml:space="preserve">设计、老年护理、智能监控系统、物联网</w:t>
      </w:r>
    </w:p>
    <w:bookmarkEnd w:id="22"/>
    <w:bookmarkStart w:id="23" w:name="aa7904d35bad65e329deb4d2c555c6c3"/>
    <w:p>
      <w:pPr>
        <w:pStyle w:val="1"/>
      </w:pPr>
      <w:r>
        <w:rPr>
          <w:rFonts w:hint="eastAsia"/>
        </w:rPr>
        <w:t xml:space="preserve">简介</w:t>
      </w:r>
    </w:p>
    <w:p>
      <w:pPr>
        <w:pStyle w:val="FirstParagraph"/>
      </w:pPr>
      <w:r>
        <w:rPr>
          <w:rFonts w:hint="eastAsia"/>
        </w:rPr>
        <w:t xml:space="preserve">人口结构的剧烈变化使“银发经济”成为社会关注的焦点（张，2024）。然而，传统的劳动密集型护理方式难以在成本、效率和质量之间取得平衡（克日维津斯基等，2024）。尽管市场上现有的健康监测产品，如可穿戴设备和智能床垫，为老年人护理带来了新的可能性，但这些技术在实际应用中仍面临诸多局限。首先，许多单点产品缺乏统一的通信协议和良好的数据格式兼容性，这使得它们难以有效整合信息，从而影响了全面评估老年人健康状况的能力，也限制了在紧急情况下的响应速度（雷等，2020）。此外，随着老年人隐私保护意识的增强以及舒适性要求的提高，那些能耗高、数据量大的解决方案并不适用。这些问题往往伴随着不舒适的佩戴体验或潜在的隐私泄露风险，从而制约了这些技术的大规模推广（奥梅特夫等，2021）。</w:t>
      </w:r>
    </w:p>
    <w:p>
      <w:pPr>
        <w:pStyle w:val="a3"/>
      </w:pPr>
      <w:r>
        <w:rPr>
          <w:rFonts w:hint="eastAsia"/>
        </w:rPr>
        <w:t xml:space="preserve">此外，尽管一些研究提出的自适应无缝冗余方案显著提高了消息队列遥测传输（M</w:t>
      </w:r>
      <w:r>
        <w:t xml:space="preserve"> </w:t>
      </w:r>
      <w:r>
        <w:rPr>
          <w:rFonts w:hint="eastAsia"/>
        </w:rPr>
        <w:t xml:space="preserve">QTT）通信的可靠性，但在复杂的无线环境中，其实际性能仍需进一步提升。验证（Awan，2023）。与此同时，在生命体征的持续监测中，如何提高系统的实时响应速度并降低误报率仍然是一个尚未解决的问题（Salem等，2022）。尽管智能家居医疗系统在提取用户行为特征方面能够达到很高的精度，但其在长期运行中的稳定性和安全性仍是一个需要深入探讨的话题（Mohammed等，2020）。特别是在跨文化背景下，考虑到不同地区生活习惯和昼夜节律的差异，确保系统的通用性和灵活性是一项巨大的挑战（Tang等，2019）。</w:t>
      </w:r>
    </w:p>
    <w:p>
      <w:pPr>
        <w:pStyle w:val="a3"/>
      </w:pPr>
      <w:r>
        <w:rPr>
          <w:rFonts w:hint="eastAsia"/>
        </w:rPr>
        <w:t xml:space="preserve">DOI：10.4018/IJ</w:t>
      </w:r>
      <w:r>
        <w:t xml:space="preserve"> HISI.383536</w:t>
      </w:r>
    </w:p>
    <w:p>
      <w:pPr>
        <w:pStyle w:val="a3"/>
      </w:pPr>
      <w:r>
        <w:rPr>
          <w:rFonts w:hint="eastAsia"/>
        </w:rPr>
        <w:t xml:space="preserve">面对上述挑战，迫切需要一条融合低功耗、强互操作性和高安全性的技术路线，以支持持续护理服务的发展。这项技术不仅需要在硬件层面重构多模态传感器网络，还需在边缘端部署轻量级异常检测模型，并向云平台引入自适应算法和可视化决策界面。这样一来，在保护个人隐私的同时，可利用联邦学习等先进技术对模型进行优化，使其适应不同个体的生理基线，从而提供更加精准、可靠的健康监测服务。这种端-边-云协同机制不仅能缩短报警闭环时间，还能在链路中断时维持最低限度的本地服务，赋予系统天然的容错灵活性。因此，探索并开发这样一套全面的技术框架，以满足日益增长的养老护理需求，显得尤为重要。</w:t>
      </w:r>
    </w:p>
    <w:p>
      <w:pPr>
        <w:pStyle w:val="a3"/>
      </w:pPr>
      <w:r>
        <w:rPr>
          <w:rFonts w:hint="eastAsia"/>
        </w:rPr>
        <w:t xml:space="preserve">本文旨在通过系统工程方法，解决现有研究中对端边云全链路协同缺乏深入探讨、以及对能耗、精度与用户体验之间动态平衡关注不足的问题。具体而言，本研究聚焦于三个方面。首先，在硬件层面重构多模态传感器网络，以支持更高效的数据采集与处理。其次，在边缘侧部署轻量级异常检测模型，确保实时分析能力并降低能耗。最后，将自适应算法与可视化决策界面引入云平台，提升数据分析的精度与响应速度，优化用户体验。本文的主要贡献在于提出了一种集成技术框架，该框架不仅涵盖了从协议栈优化到模型压缩再到联邦学习的多维度探索，还特别强调了终端、边缘与云端各层级之间的协同工作。通过这种端边云协作机制，本研究成功实现了报警链路的二级闭环运行，并在实际养老院环境中进行了试点应用，验证了所提出的方案设计思路与实施路径的有效性。总之，本文的研究为应对老龄化社会带来的挑战提供了一种创新性解决方案，并为物联网（IoT）与数字健康领域的跨学科融合开辟了新的方向。</w:t>
      </w:r>
    </w:p>
    <w:p>
      <w:pPr>
        <w:pStyle w:val="a3"/>
      </w:pPr>
      <w:r>
        <w:rPr>
          <w:rFonts w:hint="eastAsia"/>
        </w:rPr>
        <w:t xml:space="preserve">文章的结构如下：第二部分总结了相关研究。第三和第四部分分别阐述了系统架构和关键算法。随后给出了实验结果与讨论。最后对全文进行了总结，并展望了未来的研究方向。本研究可为智慧养老领域的持续创新提供有益参考。</w:t>
      </w:r>
    </w:p>
    <w:bookmarkEnd w:id="23"/>
    <w:bookmarkStart w:id="24" w:name="X40fe8301bc219ae35d8784f90ffba37dfa60268"/>
    <w:p>
      <w:pPr>
        <w:pStyle w:val="1"/>
      </w:pPr>
      <w:r>
        <w:rPr>
          <w:rFonts w:hint="eastAsia"/>
        </w:rPr>
        <w:t xml:space="preserve">文献综述</w:t>
      </w:r>
    </w:p>
    <w:p>
      <w:pPr>
        <w:pStyle w:val="FirstParagraph"/>
      </w:pPr>
      <w:r>
        <w:rPr>
          <w:rFonts w:hint="eastAsia"/>
        </w:rPr>
        <w:t xml:space="preserve">近年来，随着全球人口老龄化的加剧，健康监测系统以及面向老年人的可靠数据通信技术已成为研究热点（Wang</w:t>
      </w:r>
      <w:r>
        <w:t xml:space="preserve"> </w:t>
      </w:r>
      <w:r>
        <w:t xml:space="preserve">et al.,</w:t>
      </w:r>
      <w:r>
        <w:t xml:space="preserve"> </w:t>
      </w:r>
      <w:r>
        <w:rPr>
          <w:rFonts w:hint="eastAsia"/>
        </w:rPr>
        <w:t xml:space="preserve">2024）。本综述总结了若干最新研究成果，并探讨了如何利用物联网、智能可穿戴设备、机器学习算法和强化学习等现代技术，提升老年人健康监测系统的效率与可靠性。</w:t>
      </w:r>
    </w:p>
    <w:p>
      <w:pPr>
        <w:pStyle w:val="a3"/>
      </w:pPr>
      <w:r>
        <w:rPr>
          <w:rFonts w:hint="eastAsia"/>
        </w:rPr>
        <w:t xml:space="preserve">在讨论老年人健康监测系统时，现有研究表明了各种技术的应用潜力与局限性，这些研究对本研究的设计思路产生了重要影响。Zunino等人（2023）提出了一种基于软件定义网络架构理念的解决方案，该方案通过数据层面的</w:t>
      </w:r>
      <w:r>
        <w:t xml:space="preserve"> </w:t>
      </w:r>
      <w:r>
        <w:rPr>
          <w:rFonts w:hint="eastAsia"/>
        </w:rPr>
        <w:t xml:space="preserve">MQTT冗余版本以及控制层面的路径质量评估与动态选择机制，实现了高可靠的</w:t>
      </w:r>
      <w:r>
        <w:t xml:space="preserve"> </w:t>
      </w:r>
      <w:r>
        <w:rPr>
          <w:rFonts w:hint="eastAsia"/>
        </w:rPr>
        <w:t xml:space="preserve">MQTT通信。然而，尽管从理论上讲，这种方法能够显著提升通信可靠性，但在复杂无线环境中的实际应用效果仍有待验证。这促使我们在设计中引入端边云协同架构，以确保即使在网络条件较差的情况下，服务也能保持连续性和稳定性。</w:t>
      </w:r>
    </w:p>
    <w:p>
      <w:pPr>
        <w:pStyle w:val="a3"/>
      </w:pPr>
      <w:r>
        <w:rPr>
          <w:rFonts w:hint="eastAsia"/>
        </w:rPr>
        <w:t xml:space="preserve">El-Shoafey和Ghanem（2024）提出了一种面向老年人的智能医疗监护系统（SW-SHMS），该系统能够实现远程实时监测，及时发现健康问题并采取相应措施。研究表明，所提出的神经网络模型在疾病检测方面表现优异，尤其擅长糖尿病和心血管疾病的诊断，其诊断准确率分别达到97.64%和99.67%。Hosseinzadeh等人的研究（2023）利用智能养老技术和物联网技术实现了对老年人生命体征及行为变化的持续监测。尽管诸如决策树（J48）和多层感知器等不同的机器学习算法已被证明在分析采集数据和预测健康状况方面具有实用价值，但他们的研究虽然实现了实时监测，如何进一步提升系统的实时响应速度并降低误报率仍是一个尚未解决的问题。Yang等人的研究（2022）提出了一种面向养老院的可持续医疗照护系统。该系统采用经济高效的指纹室内定位技术，以实现快速响应服务；同时注重提升老年人的安全性和管理效率，并提供了应用程序编程接口（API）以连接各类健康设备。他们的研究显著提升了系统的实时响应速度。这些研究启发我们深入探索实时响应速度这一方向，此外，我们还可以结合特征融合与多任务蒸馏技术，在资源受限的设备上优化系统的准确率和召回率。</w:t>
      </w:r>
    </w:p>
    <w:p>
      <w:pPr>
        <w:pStyle w:val="a3"/>
      </w:pPr>
      <w:r>
        <w:rPr>
          <w:rFonts w:hint="eastAsia"/>
        </w:rPr>
        <w:t xml:space="preserve">王（2022）设计并评估了一种基于物联网、5G无线技术和智能可穿戴技术的智能家居医疗系统，旨在为阿尔茨海默病患者提供支持。实验结果表明，该系统不仅提高了提取患者行为特征的准确性，还降低了护理过程中的意外发生率，并提升了患者的满意度。尽管该系统在提高患者行为特征提取的准确性方面表现良好，但其长期稳定性和安全性仍需进一步探讨。因此，在我们的系统架构中，特别强调了硬件层的重构以及边缘端的快速推理能力，以确保系统的稳定性和安全性。</w:t>
      </w:r>
    </w:p>
    <w:p>
      <w:pPr>
        <w:pStyle w:val="a3"/>
      </w:pPr>
      <w:r>
        <w:rPr>
          <w:rFonts w:hint="eastAsia"/>
        </w:rPr>
        <w:t xml:space="preserve">Isa等人（2024）展示了将模糊规则和物联网技术集成到老年人健康监测系统中的可能性，并使用MAX30100传感器和ESP32微处理器来测量血氧饱和度和心率。尽管实验表明，该系统的测量精度高达98.89%，但模糊逻辑判断的准确率为96%，这意味着在处理复杂或不明确的情况时可能存在一些局限性。</w:t>
      </w:r>
    </w:p>
    <w:p>
      <w:pPr>
        <w:pStyle w:val="a3"/>
      </w:pPr>
      <w:r>
        <w:rPr>
          <w:rFonts w:hint="eastAsia"/>
        </w:rPr>
        <w:t xml:space="preserve">通过上述案例的分析，我们可以看到，每种技术或方法都有其独特的优点和局限性。正是这些局限性促使我们从系统工程的角度重新思考硬件层、边缘计算与云计算之间的关系，并最终形成了本文所提出的综合性技术框架。这一框架不仅兼顾了能耗、精度与用户体验之间的平衡，也为未来的智能养老提供了坚实的基础。</w:t>
      </w:r>
    </w:p>
    <w:p>
      <w:pPr>
        <w:pStyle w:val="a3"/>
      </w:pPr>
      <w:r>
        <w:rPr>
          <w:rFonts w:hint="eastAsia"/>
        </w:rPr>
        <w:t xml:space="preserve">国际医疗信息系统与信息学杂志第20卷•第1期•2025年1月至12月</w:t>
      </w:r>
    </w:p>
    <w:bookmarkEnd w:id="24"/>
    <w:bookmarkStart w:id="35" w:name="ae21d1b3e7a0d119eab75dd44f79a42d"/>
    <w:p>
      <w:pPr>
        <w:pStyle w:val="1"/>
      </w:pPr>
      <w:r>
        <w:rPr>
          <w:rFonts w:hint="eastAsia"/>
        </w:rPr>
        <w:t xml:space="preserve">材料与方法</w:t>
      </w:r>
    </w:p>
    <w:bookmarkStart w:id="34" w:name="a3885ffb4ee2de84cf76810ecdfdf53b"/>
    <w:p>
      <w:pPr>
        <w:pStyle w:val="2"/>
      </w:pPr>
      <w:r>
        <w:rPr>
          <w:rFonts w:hint="eastAsia"/>
        </w:rPr>
        <w:t xml:space="preserve">物联网护理系统的总体架构</w:t>
      </w:r>
    </w:p>
    <w:p>
      <w:pPr>
        <w:pStyle w:val="FirstParagraph"/>
      </w:pPr>
      <w:r>
        <w:rPr>
          <w:rFonts w:hint="eastAsia"/>
        </w:rPr>
        <w:t xml:space="preserve">端边云协同模式</w:t>
      </w:r>
    </w:p>
    <w:p>
      <w:pPr>
        <w:pStyle w:val="a3"/>
      </w:pPr>
      <w:r>
        <w:rPr>
          <w:rFonts w:hint="eastAsia"/>
        </w:rPr>
        <w:t xml:space="preserve">传统的“终端直接连接云端”模式在实验室中看似简单，但一旦应用于养老院嘈杂拥挤的无线环境中，便会出现丢包、时延和能耗等问题。因此，本文基于“端-边-云”协同的理念，重新划分了感知、推理和存储的职责：可穿戴设备和环境节点在端侧进行去噪与压缩，边缘网关负责快速推理与缓存，而云端平台仅保留模型训练与策略下发的功能（Nag等，2024；Wang等，2020）。这种三层架构一方面缩短了报警闭环周期，另一方面在链路断开时仍能维持最低限度的本地服务，从而使系统具备天然的容错灵活性。同时，本文对协议栈进行了精简裁剪，如图1所示。底层采用低功耗蓝牙低能耗（BLE）Mesh技术，以确保室内覆盖（Ghori等，2020）。中继链路则根据负载情况，在Thread与Wi-Fi之间自适应切换（Morales-Caporal等，2020）。上层使用受限应用协议与MQTT，实现事件驱动数据与流式数据的并行传输（K</w:t>
      </w:r>
      <w:r>
        <w:t xml:space="preserve"> </w:t>
      </w:r>
      <w:r>
        <w:t xml:space="preserve">hrij </w:t>
      </w:r>
      <w:r>
        <w:rPr>
          <w:rFonts w:hint="eastAsia"/>
        </w:rPr>
        <w:t xml:space="preserve">i等，2022）。</w:t>
      </w:r>
    </w:p>
    <w:p>
      <w:pPr>
        <w:pStyle w:val="ac"/>
      </w:pPr>
      <w:r>
        <w:t xml:space="preserve"> </w:t>
      </w:r>
    </w:p>
    <w:p>
      <w:pPr>
        <w:pStyle w:val="FirstParagraph"/>
      </w:pPr>
      <w:r>
        <w:rPr>
          <w:rFonts w:hint="eastAsia"/>
        </w:rPr>
        <w:t xml:space="preserve">图1.协议栈编辑的流程图</w:t>
      </w:r>
    </w:p>
    <w:p>
      <w:pPr>
        <w:pStyle w:val="a3"/>
      </w:pPr>
      <w:r>
        <w:drawing>
          <wp:inline>
            <wp:extent cx="5486400" cy="15959426"/>
            <wp:effectExtent b="0" l="0" r="0" t="0"/>
            <wp:docPr descr="ab47b71e9a14067c0736a479ea6cc6e2.jpg" title="" id="26" name="Picture"/>
            <a:graphic>
              <a:graphicData uri="http://schemas.openxmlformats.org/drawingml/2006/picture">
                <pic:pic>
                  <pic:nvPicPr>
                    <pic:cNvPr descr="ab47b71e9a14067c0736a479ea6cc6e2.jpg" id="27" name="Picture"/>
                    <pic:cNvPicPr>
                      <a:picLocks noChangeArrowheads="1" noChangeAspect="1"/>
                    </pic:cNvPicPr>
                  </pic:nvPicPr>
                  <pic:blipFill>
                    <a:blip r:embed="rId25"/>
                    <a:stretch>
                      <a:fillRect/>
                    </a:stretch>
                  </pic:blipFill>
                  <pic:spPr bwMode="auto">
                    <a:xfrm>
                      <a:off x="0" y="0"/>
                      <a:ext cx="5486400" cy="15959426"/>
                    </a:xfrm>
                    <a:prstGeom prst="rect">
                      <a:avLst/>
                    </a:prstGeom>
                    <a:noFill/>
                    <a:ln w="9525">
                      <a:noFill/>
                      <a:headEnd/>
                      <a:tailEnd/>
                    </a:ln>
                  </pic:spPr>
                </pic:pic>
              </a:graphicData>
            </a:graphic>
          </wp:inline>
        </w:drawing>
      </w:r>
    </w:p>
    <w:p>
      <w:pPr>
        <w:pStyle w:val="a3"/>
      </w:pPr>
      <w:r>
        <w:rPr>
          <w:rFonts w:hint="eastAsia"/>
        </w:rPr>
        <w:t xml:space="preserve">注：BLE：蓝牙低能耗，CoAP：受限应用协议，MQTT：消息队列遥测传输</w:t>
      </w:r>
    </w:p>
    <w:bookmarkStart w:id="32" w:name="Xab6db46931f46505ecd497147672b3c5978208f"/>
    <w:p>
      <w:pPr>
        <w:pStyle w:val="3"/>
      </w:pPr>
      <w:r>
        <w:rPr>
          <w:rFonts w:hint="eastAsia"/>
        </w:rPr>
        <w:t xml:space="preserve">系统及其功能的层次布局</w:t>
      </w:r>
    </w:p>
    <w:p>
      <w:pPr>
        <w:pStyle w:val="FirstParagraph"/>
      </w:pPr>
      <w:r>
        <w:rPr>
          <w:rFonts w:hint="eastAsia"/>
        </w:rPr>
        <w:t xml:space="preserve">值得注意的是，边缘层引入了一种由图形处理单元（GPU）加速的轻量级推理引擎，该引擎可在毫秒级内完成跌倒概率计算，并通过WebSocket将结果广播至临床决策面板（见图2）。为避免高峰时段的数据峰值，我们设计了一种基于香农熵的自适应采样策略：当生命体征平稳波动时，节点会降低采样频率；一旦检测到显著偏离，系统将立即提高采样率并启动局部分析。这一策略不仅抑制了冗余上传，还显著延长了电池寿命。此外，客户端采用异或（XOR）加密与加盐哈希存储缓存片段，云端仅接收通过加密隧道传输的元数据，从而有效降低了隐私泄露的风险（乔舒亚，2023）。综上所述，这种三层协同架构在保持简洁性的同时，兼顾了可靠性、实时性和安全性，为后续算法部署提供了稳定运行的基础。</w:t>
      </w:r>
    </w:p>
    <w:bookmarkStart w:id="31" w:name="a5771b6cea0f83fb488e3d6649fe860b"/>
    <w:p>
      <w:pPr>
        <w:pStyle w:val="5"/>
      </w:pPr>
      <w:r>
        <w:rPr>
          <w:rFonts w:hint="eastAsia"/>
        </w:rPr>
        <w:t xml:space="preserve">图2.系统数据流</w:t>
      </w:r>
    </w:p>
    <w:p>
      <w:pPr>
        <w:pStyle w:val="FirstParagraph"/>
      </w:pPr>
      <w:r>
        <w:drawing>
          <wp:inline>
            <wp:extent cx="5486400" cy="1605516"/>
            <wp:effectExtent b="0" l="0" r="0" t="0"/>
            <wp:docPr descr="37d63e9637e3e60772924904011469ec.jpg" title="" id="29" name="Picture"/>
            <a:graphic>
              <a:graphicData uri="http://schemas.openxmlformats.org/drawingml/2006/picture">
                <pic:pic>
                  <pic:nvPicPr>
                    <pic:cNvPr descr="37d63e9637e3e60772924904011469ec.jpg" id="30" name="Picture"/>
                    <pic:cNvPicPr>
                      <a:picLocks noChangeArrowheads="1" noChangeAspect="1"/>
                    </pic:cNvPicPr>
                  </pic:nvPicPr>
                  <pic:blipFill>
                    <a:blip r:embed="rId28"/>
                    <a:stretch>
                      <a:fillRect/>
                    </a:stretch>
                  </pic:blipFill>
                  <pic:spPr bwMode="auto">
                    <a:xfrm>
                      <a:off x="0" y="0"/>
                      <a:ext cx="5486400" cy="1605516"/>
                    </a:xfrm>
                    <a:prstGeom prst="rect">
                      <a:avLst/>
                    </a:prstGeom>
                    <a:noFill/>
                    <a:ln w="9525">
                      <a:noFill/>
                      <a:headEnd/>
                      <a:tailEnd/>
                    </a:ln>
                  </pic:spPr>
                </pic:pic>
              </a:graphicData>
            </a:graphic>
          </wp:inline>
        </w:drawing>
      </w:r>
    </w:p>
    <w:p>
      <w:pPr>
        <w:pStyle w:val="a3"/>
      </w:pPr>
      <w:r>
        <w:rPr>
          <w:rFonts w:hint="eastAsia"/>
        </w:rPr>
        <w:t xml:space="preserve">注释。PPG：光电容积脉搏波描记术，IMU：身体运动，Tiny-GRU：微型门控循环单元</w:t>
      </w:r>
    </w:p>
    <w:bookmarkEnd w:id="31"/>
    <w:bookmarkEnd w:id="32"/>
    <w:bookmarkStart w:id="33" w:name="cb71d71dd1f44e0f97f36756682d8280"/>
    <w:p>
      <w:pPr>
        <w:pStyle w:val="3"/>
      </w:pPr>
      <w:r>
        <w:rPr>
          <w:rFonts w:hint="eastAsia"/>
        </w:rPr>
        <w:t xml:space="preserve">现有方法的性能比较</w:t>
      </w:r>
    </w:p>
    <w:p>
      <w:pPr>
        <w:pStyle w:val="FirstParagraph"/>
      </w:pPr>
      <w:r>
        <w:rPr>
          <w:rFonts w:hint="eastAsia"/>
        </w:rPr>
        <w:t xml:space="preserve">感知链路的升级无法衡量系统的质量，因此我们构建了一个“延迟-误报-功耗”的三维评估框架，并采用熵权法自动分配指标权重，以减少主观偏差。本文选取了流行的云模型方案（方案A）、移动终端方案（方案B）和轻量化设备方案（方案C）作为对照，并将它们置于同一张床、同一网络环境中进行72小时的连续测试。从表1可以看出，方案A由于采用了大模型，准确率略胜一筹，但高延迟导致跌倒报警晚于医疗干预窗口。方案B通过手机转发减少了部分等待时间，但由于频繁重连，静态功耗显著增加。尽管方案C注重低能耗，但较高的误报率导致护理人员疲劳，间接降低了服务质量。</w:t>
      </w:r>
    </w:p>
    <w:p>
      <w:pPr>
        <w:pStyle w:val="a3"/>
      </w:pPr>
      <w:r>
        <w:rPr>
          <w:rFonts w:hint="eastAsia"/>
        </w:rPr>
        <w:t xml:space="preserve">表1.比较方案性能</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FirstParagraph"/>
            </w:pPr>
            <w:r>
              <w:rPr>
                <w:rFonts w:hint="eastAsia"/>
              </w:rPr>
              <w:t xml:space="preserve">计划</w:t>
            </w:r>
          </w:p>
        </w:tc>
        <w:tc>
          <w:tcPr/>
          <w:p>
            <w:pPr>
              <w:pStyle w:val="a3"/>
            </w:pPr>
            <w:r>
              <w:rPr>
                <w:rFonts w:hint="eastAsia"/>
              </w:rPr>
              <w:t xml:space="preserve">平均报警延迟（毫秒）</w:t>
            </w:r>
          </w:p>
        </w:tc>
        <w:tc>
          <w:tcPr/>
          <w:p>
            <w:pPr>
              <w:pStyle w:val="a3"/>
            </w:pPr>
            <w:r>
              <w:rPr>
                <w:rFonts w:hint="eastAsia"/>
              </w:rPr>
              <w:t xml:space="preserve">误报率（%）</w:t>
            </w:r>
          </w:p>
        </w:tc>
        <w:tc>
          <w:tcPr/>
          <w:p>
            <w:pPr>
              <w:pStyle w:val="a3"/>
            </w:pPr>
            <w:r>
              <w:rPr>
                <w:rFonts w:hint="eastAsia"/>
              </w:rPr>
              <w:t xml:space="preserve">节点的静态功耗</w:t>
            </w:r>
          </w:p>
          <w:p>
            <w:pPr>
              <w:pStyle w:val="a3"/>
            </w:pPr>
            <w:r>
              <w:rPr>
                <w:rFonts w:hint="eastAsia"/>
              </w:rPr>
              <w:t xml:space="preserve">(毫瓦)</w:t>
            </w:r>
          </w:p>
        </w:tc>
      </w:tr>
      <w:tr>
        <w:tc>
          <w:tcPr/>
          <w:p>
            <w:pPr>
              <w:pStyle w:val="a3"/>
            </w:pPr>
            <w:r>
              <w:rPr>
                <w:rFonts w:hint="eastAsia"/>
              </w:rPr>
              <w:t xml:space="preserve">计划A</w:t>
            </w:r>
          </w:p>
        </w:tc>
        <w:tc>
          <w:tcPr/>
          <w:p>
            <w:pPr>
              <w:pStyle w:val="a3"/>
            </w:pPr>
            <w:r>
              <w:t xml:space="preserve">450</w:t>
            </w:r>
          </w:p>
        </w:tc>
        <w:tc>
          <w:tcPr/>
          <w:p>
            <w:pPr>
              <w:pStyle w:val="a3"/>
            </w:pPr>
            <w:r>
              <w:t xml:space="preserve">3.2</w:t>
            </w:r>
          </w:p>
        </w:tc>
        <w:tc>
          <w:tcPr/>
          <w:p>
            <w:pPr>
              <w:pStyle w:val="a3"/>
            </w:pPr>
            <w:r>
              <w:t xml:space="preserve">260</w:t>
            </w:r>
          </w:p>
        </w:tc>
      </w:tr>
      <w:tr>
        <w:tc>
          <w:tcPr/>
          <w:p>
            <w:pPr>
              <w:pStyle w:val="a3"/>
            </w:pPr>
            <w:r>
              <w:rPr>
                <w:rFonts w:hint="eastAsia"/>
              </w:rPr>
              <w:t xml:space="preserve">计划B</w:t>
            </w:r>
          </w:p>
        </w:tc>
        <w:tc>
          <w:tcPr/>
          <w:p>
            <w:pPr>
              <w:pStyle w:val="a3"/>
            </w:pPr>
            <w:r>
              <w:t xml:space="preserve">230</w:t>
            </w:r>
          </w:p>
        </w:tc>
        <w:tc>
          <w:tcPr/>
          <w:p>
            <w:pPr>
              <w:pStyle w:val="a3"/>
            </w:pPr>
            <w:r>
              <w:t xml:space="preserve">4.1</w:t>
            </w:r>
          </w:p>
        </w:tc>
        <w:tc>
          <w:tcPr/>
          <w:p>
            <w:pPr>
              <w:pStyle w:val="a3"/>
            </w:pPr>
            <w:r>
              <w:t xml:space="preserve">310</w:t>
            </w:r>
          </w:p>
        </w:tc>
      </w:tr>
    </w:tbl>
    <w:bookmarkEnd w:id="33"/>
    <w:bookmarkEnd w:id="34"/>
    <w:bookmarkEnd w:id="35"/>
    <w:bookmarkStart w:id="37" w:name="Xddc71bd5928107e6e68e1f3d8453291e640b37d"/>
    <w:p>
      <w:pPr>
        <w:pStyle w:val="1"/>
      </w:pPr>
      <w:r>
        <w:rPr>
          <w:rFonts w:hint="eastAsia"/>
        </w:rPr>
        <w:t xml:space="preserve">国际医疗保健信息系统与信息学杂志</w:t>
      </w:r>
    </w:p>
    <w:p>
      <w:pPr>
        <w:pStyle w:val="FirstParagraph"/>
      </w:pPr>
      <w:r>
        <w:rPr>
          <w:rFonts w:hint="eastAsia"/>
        </w:rPr>
        <w:t xml:space="preserve">第20卷</w:t>
      </w:r>
      <w:r>
        <w:t xml:space="preserve"> </w:t>
      </w:r>
      <w:r>
        <w:rPr>
          <w:rFonts w:hint="eastAsia"/>
        </w:rPr>
        <w:t xml:space="preserve">•第1期</w:t>
      </w:r>
      <w:r>
        <w:t xml:space="preserve"> • </w:t>
      </w:r>
      <w:r>
        <w:rPr>
          <w:rFonts w:hint="eastAsia"/>
        </w:rPr>
        <w:t xml:space="preserve">2025年1月至12月</w:t>
      </w:r>
    </w:p>
    <w:tbl>
      <w:tblPr>
        <w:tblStyle w:val="Table"/>
        <w:tblW w:type="pct" w:w="5000"/>
        <w:tblLayout w:type="fixed"/>
        <w:tblLook w:firstRow="0" w:lastRow="0" w:firstColumn="0" w:lastColumn="0" w:noHBand="0" w:noVBand="0" w:val="0000"/>
      </w:tblPr>
      <w:tblGrid>
        <w:gridCol w:w="1980"/>
        <w:gridCol w:w="1980"/>
        <w:gridCol w:w="1980"/>
        <w:gridCol w:w="1980"/>
      </w:tblGrid>
      <w:tr>
        <w:tc>
          <w:tcPr/>
          <w:p>
            <w:pPr>
              <w:pStyle w:val="FirstParagraph"/>
            </w:pPr>
            <w:r>
              <w:rPr>
                <w:rFonts w:hint="eastAsia"/>
              </w:rPr>
              <w:t xml:space="preserve">计划</w:t>
            </w:r>
          </w:p>
        </w:tc>
        <w:tc>
          <w:tcPr/>
          <w:p>
            <w:pPr>
              <w:pStyle w:val="a3"/>
            </w:pPr>
            <w:r>
              <w:rPr>
                <w:rFonts w:hint="eastAsia"/>
              </w:rPr>
              <w:t xml:space="preserve">平均报警延迟（毫秒）</w:t>
            </w:r>
          </w:p>
        </w:tc>
        <w:tc>
          <w:tcPr/>
          <w:p>
            <w:pPr>
              <w:pStyle w:val="a3"/>
            </w:pPr>
            <w:r>
              <w:rPr>
                <w:rFonts w:hint="eastAsia"/>
              </w:rPr>
              <w:t xml:space="preserve">误报率（%）</w:t>
            </w:r>
          </w:p>
        </w:tc>
        <w:tc>
          <w:tcPr/>
          <w:p>
            <w:pPr>
              <w:pStyle w:val="a3"/>
            </w:pPr>
            <w:r>
              <w:rPr>
                <w:rFonts w:hint="eastAsia"/>
              </w:rPr>
              <w:t xml:space="preserve">节点的静态功耗</w:t>
            </w:r>
          </w:p>
          <w:p>
            <w:pPr>
              <w:pStyle w:val="a3"/>
            </w:pPr>
            <w:r>
              <w:rPr>
                <w:rFonts w:hint="eastAsia"/>
              </w:rPr>
              <w:t xml:space="preserve">(毫瓦)</w:t>
            </w:r>
          </w:p>
        </w:tc>
      </w:tr>
      <w:tr>
        <w:tc>
          <w:tcPr/>
          <w:p>
            <w:pPr>
              <w:pStyle w:val="a3"/>
            </w:pPr>
            <w:r>
              <w:rPr>
                <w:rFonts w:hint="eastAsia"/>
              </w:rPr>
              <w:t xml:space="preserve">计划C</w:t>
            </w:r>
          </w:p>
        </w:tc>
        <w:tc>
          <w:tcPr/>
          <w:p>
            <w:pPr>
              <w:pStyle w:val="a3"/>
            </w:pPr>
            <w:r>
              <w:t xml:space="preserve">180</w:t>
            </w:r>
          </w:p>
        </w:tc>
        <w:tc>
          <w:tcPr/>
          <w:p>
            <w:pPr>
              <w:pStyle w:val="a3"/>
            </w:pPr>
            <w:r>
              <w:t xml:space="preserve">11.5</w:t>
            </w:r>
          </w:p>
        </w:tc>
        <w:tc>
          <w:tcPr/>
          <w:p>
            <w:pPr>
              <w:pStyle w:val="a3"/>
            </w:pPr>
            <w:r>
              <w:t xml:space="preserve">120</w:t>
            </w:r>
          </w:p>
        </w:tc>
      </w:tr>
      <w:tr>
        <w:tc>
          <w:tcPr/>
          <w:p>
            <w:pPr>
              <w:pStyle w:val="a3"/>
            </w:pPr>
            <w:r>
              <w:rPr>
                <w:rFonts w:hint="eastAsia"/>
              </w:rPr>
              <w:t xml:space="preserve">本文的模型</w:t>
            </w:r>
          </w:p>
        </w:tc>
        <w:tc>
          <w:tcPr/>
          <w:p>
            <w:pPr>
              <w:pStyle w:val="a3"/>
            </w:pPr>
            <w:r>
              <w:t xml:space="preserve">190</w:t>
            </w:r>
          </w:p>
        </w:tc>
        <w:tc>
          <w:tcPr/>
          <w:p>
            <w:pPr>
              <w:pStyle w:val="a3"/>
            </w:pPr>
            <w:r>
              <w:t xml:space="preserve">2.9</w:t>
            </w:r>
          </w:p>
        </w:tc>
        <w:tc>
          <w:tcPr/>
          <w:p>
            <w:pPr>
              <w:pStyle w:val="a3"/>
            </w:pPr>
            <w:r>
              <w:t xml:space="preserve">150</w:t>
            </w:r>
          </w:p>
        </w:tc>
      </w:tr>
    </w:tbl>
    <w:p>
      <w:pPr>
        <w:pStyle w:val="a3"/>
      </w:pPr>
      <w:r>
        <w:rPr>
          <w:rFonts w:hint="eastAsia"/>
        </w:rPr>
        <w:t xml:space="preserve">在本文中，实现所有指标均衡提升的关键并非单纯堆叠硬件，而是边缘云协同推理与动态阈值校准的双重作用。一方面，边缘节点根据夜间休息时段与白天活跃时段之间的差异调整模型灵敏度，从而避免了因机制原因导致的状态误判；另一方面，云端通过联邦学习获取周期性聚合参数，使模型能够在保障隐私的前提下适应不同人群的生理基线（Qi等，2024）。此外，我们在链路层引入了断点续传和本地缓存机制，这意味着网络抖动不再直接导致数据缺失。尽管评估结果令人鼓舞，但仍存在一些不足之处：熵权法对样本分布较为敏感，在极端场景下权重可能出现失衡；同时，当前样本量尚不足以充分代表认知障碍或帕金森病患者群体。由于时间限制及样本数据采集的局限性，本研究将在后续研究中补充扩大样本规模。未来，我们计划通过跨机构合作持续扩充数据池，并基于多臂赌博算法探索自适应权重分配，以进一步提升评估系统的鲁棒性。此外，我们还尝试将情境感知规则与统计模型相结合。初步实验表明，这种混合方案有望在不牺牲响应速度的前提下进一步降低误报率。</w:t>
      </w:r>
    </w:p>
    <w:bookmarkStart w:id="36" w:name="b64762670da4db3f901ccb189bfcd8f2"/>
    <w:p>
      <w:pPr>
        <w:pStyle w:val="2"/>
      </w:pPr>
      <w:r>
        <w:rPr>
          <w:rFonts w:hint="eastAsia"/>
        </w:rPr>
        <w:t xml:space="preserve">生理信号数据建模</w:t>
      </w:r>
    </w:p>
    <w:p>
      <w:pPr>
        <w:pStyle w:val="FirstParagraph"/>
      </w:pPr>
      <w:r>
        <w:rPr>
          <w:rFonts w:hint="eastAsia"/>
        </w:rPr>
        <w:t xml:space="preserve">混合建模策略</w:t>
      </w:r>
    </w:p>
    <w:p>
      <w:pPr>
        <w:pStyle w:val="a3"/>
      </w:pPr>
      <w:r>
        <w:rPr>
          <w:rFonts w:hint="eastAsia"/>
        </w:rPr>
        <w:t xml:space="preserve">为满足资源受限设备与高精度的需求，本文提出了一种“常规滤波+TinyGRU”的两层混合建模策略。底层的移动平均值结合自适应阈值，能够快速剔除概率极低的正常区间。在上层，经过张量剪枝的TinyGRU用于捕捉长程依赖关系，从而实现对细微趋势的早期预警（Pandey&amp;</w:t>
      </w:r>
      <w:r>
        <w:t xml:space="preserve"> </w:t>
      </w:r>
      <w:r>
        <w:t xml:space="preserve">Azcarreta,</w:t>
      </w:r>
      <w:r>
        <w:t xml:space="preserve"> </w:t>
      </w:r>
      <w:r>
        <w:rPr>
          <w:rFonts w:hint="eastAsia"/>
        </w:rPr>
        <w:t xml:space="preserve">2025）。在本文中，TinyGRU模型通过采用张量剪枝技术将参数数量减少了90%，并用8位整数量化和深度可分离卷积替代标准卷积，极大地降低了计算复杂度和存储需求，使模型能够在资源受限的设备上高效运行且保持高精度，展示了模型压缩技术的有效应用实例。与完整的GRU相比，该模型仅保留了十分之一的参数，但在离线测试中仍能保持相当高的召回率。更重要的是，当模型部署到边缘节点后，在Open</w:t>
      </w:r>
      <w:r>
        <w:t xml:space="preserve"> </w:t>
      </w:r>
      <w:r>
        <w:t xml:space="preserve">Neural Network Exchange</w:t>
      </w:r>
      <w:r>
        <w:t xml:space="preserve"> </w:t>
      </w:r>
      <w:r>
        <w:rPr>
          <w:rFonts w:hint="eastAsia"/>
        </w:rPr>
        <w:t xml:space="preserve">Runtime支持的8位整数量化加持下，推理过程仍能在20毫秒内完成，无需借助GPU。</w:t>
      </w:r>
    </w:p>
    <w:p>
      <w:pPr>
        <w:pStyle w:val="a3"/>
      </w:pPr>
      <w:r>
        <w:rPr>
          <w:rFonts w:hint="eastAsia"/>
        </w:rPr>
        <w:t xml:space="preserve">多模式训练数据采集与处理</w:t>
      </w:r>
    </w:p>
    <w:p>
      <w:pPr>
        <w:pStyle w:val="a3"/>
      </w:pPr>
      <w:r>
        <w:rPr>
          <w:rFonts w:hint="eastAsia"/>
        </w:rPr>
        <w:t xml:space="preserve">多模态训练数据长期采集自三家养老机构。具体样本量、特征维度和采样频率见表2。为缓解类别不平衡问题，我们首先利用变分自编码器合成稀有关键事件序列，然后引入焦点损失，以避免模型偏向于占主导地位的类别（Khan等，2023）。此外，系统会将过去一小时内的误报次数映射为动态惩罚项，并实时调整TinyGRU的输出阈值——这一闭环机制持续保持该模型在夜间休息期间灵敏度较低，而在白天活动期间则迅速提高警戒值。实验表明，这种机制显著降低了夜间的误报率。同时，能耗监测显示，与浮点版本相比，定量推理可节省近30%的电力。尽管两层模型提高了整体复杂度，但其可靠性和耐久性优势足以抵消额外的软件实现成本，从而为可持续部署提供了积极支持。</w:t>
      </w:r>
    </w:p>
    <w:p>
      <w:pPr>
        <w:pStyle w:val="a3"/>
      </w:pPr>
      <w:r>
        <w:rPr>
          <w:rFonts w:hint="eastAsia"/>
        </w:rPr>
        <w:t xml:space="preserve">国际医疗信息系统与信息学杂志第20卷•第1期•2025年1月至12月</w:t>
      </w:r>
    </w:p>
    <w:p>
      <w:pPr>
        <w:pStyle w:val="a3"/>
      </w:pPr>
      <w:r>
        <w:rPr>
          <w:rFonts w:hint="eastAsia"/>
        </w:rPr>
        <w:t xml:space="preserve">表2.统计与多模态数据集</w:t>
      </w:r>
    </w:p>
    <w:tbl>
      <w:tblPr>
        <w:tblStyle w:val="Table"/>
        <w:tblW w:type="auto" w:w="0"/>
        <w:tblLook w:firstRow="0" w:lastRow="0" w:firstColumn="0" w:lastColumn="0" w:noHBand="0" w:noVBand="0" w:val="0000"/>
      </w:tblPr>
      <w:tblGrid>
        <w:gridCol w:w="1980"/>
        <w:gridCol w:w="1980"/>
        <w:gridCol w:w="1980"/>
        <w:gridCol w:w="1980"/>
      </w:tblGrid>
      <w:tr>
        <w:tc>
          <w:tcPr/>
          <w:p>
            <w:pPr>
              <w:pStyle w:val="FirstParagraph"/>
            </w:pPr>
            <w:r>
              <w:rPr>
                <w:rFonts w:hint="eastAsia"/>
              </w:rPr>
              <w:t xml:space="preserve">数据类型</w:t>
            </w:r>
          </w:p>
        </w:tc>
        <w:tc>
          <w:tcPr/>
          <w:p>
            <w:pPr>
              <w:pStyle w:val="a3"/>
            </w:pPr>
            <w:r>
              <w:rPr>
                <w:rFonts w:hint="eastAsia"/>
              </w:rPr>
              <w:t xml:space="preserve">采样频率（Hz）</w:t>
            </w:r>
          </w:p>
        </w:tc>
        <w:tc>
          <w:tcPr/>
          <w:p>
            <w:pPr>
              <w:pStyle w:val="a3"/>
            </w:pPr>
            <w:r>
              <w:rPr>
                <w:rFonts w:hint="eastAsia"/>
              </w:rPr>
              <w:t xml:space="preserve">特征维度</w:t>
            </w:r>
          </w:p>
        </w:tc>
        <w:tc>
          <w:tcPr/>
          <w:p>
            <w:pPr>
              <w:pStyle w:val="a3"/>
            </w:pPr>
            <w:r>
              <w:rPr>
                <w:rFonts w:hint="eastAsia"/>
              </w:rPr>
              <w:t xml:space="preserve">有效样本数</w:t>
            </w:r>
          </w:p>
        </w:tc>
      </w:tr>
      <w:tr>
        <w:tc>
          <w:tcPr/>
          <w:p>
            <w:pPr>
              <w:pStyle w:val="a3"/>
            </w:pPr>
            <w:r>
              <w:rPr>
                <w:rFonts w:hint="eastAsia"/>
              </w:rPr>
              <w:t xml:space="preserve">心率（PPG）</w:t>
            </w:r>
          </w:p>
        </w:tc>
        <w:tc>
          <w:tcPr/>
          <w:p>
            <w:pPr>
              <w:pStyle w:val="a3"/>
            </w:pPr>
            <w:r>
              <w:t xml:space="preserve">50</w:t>
            </w:r>
          </w:p>
        </w:tc>
        <w:tc>
          <w:tcPr/>
          <w:p>
            <w:pPr>
              <w:pStyle w:val="a3"/>
            </w:pPr>
            <w:r>
              <w:t xml:space="preserve">6</w:t>
            </w:r>
          </w:p>
        </w:tc>
        <w:tc>
          <w:tcPr/>
          <w:p>
            <w:pPr>
              <w:pStyle w:val="a3"/>
            </w:pPr>
            <w:r>
              <w:t xml:space="preserve">92 432</w:t>
            </w:r>
          </w:p>
        </w:tc>
      </w:tr>
      <w:tr>
        <w:tc>
          <w:tcPr/>
          <w:p>
            <w:pPr>
              <w:pStyle w:val="a3"/>
            </w:pPr>
            <w:r>
              <w:rPr>
                <w:rFonts w:hint="eastAsia"/>
              </w:rPr>
              <w:t xml:space="preserve">血压（袖带）</w:t>
            </w:r>
          </w:p>
        </w:tc>
        <w:tc>
          <w:tcPr/>
          <w:p>
            <w:pPr>
              <w:pStyle w:val="a3"/>
            </w:pPr>
            <w:r>
              <w:t xml:space="preserve">1</w:t>
            </w:r>
          </w:p>
        </w:tc>
        <w:tc>
          <w:tcPr/>
          <w:p>
            <w:pPr>
              <w:pStyle w:val="a3"/>
            </w:pPr>
            <w:r>
              <w:t xml:space="preserve">4</w:t>
            </w:r>
          </w:p>
        </w:tc>
        <w:tc>
          <w:tcPr/>
          <w:p>
            <w:pPr>
              <w:pStyle w:val="a3"/>
            </w:pPr>
            <w:r>
              <w:t xml:space="preserve">11 580</w:t>
            </w:r>
          </w:p>
        </w:tc>
      </w:tr>
      <w:tr>
        <w:tc>
          <w:tcPr/>
          <w:p>
            <w:pPr>
              <w:pStyle w:val="a3"/>
            </w:pPr>
            <w:r>
              <w:rPr>
                <w:rFonts w:hint="eastAsia"/>
              </w:rPr>
              <w:t xml:space="preserve">身体运动（IMU）</w:t>
            </w:r>
          </w:p>
        </w:tc>
        <w:tc>
          <w:tcPr/>
          <w:p>
            <w:pPr>
              <w:pStyle w:val="a3"/>
            </w:pPr>
            <w:r>
              <w:t xml:space="preserve">100</w:t>
            </w:r>
          </w:p>
        </w:tc>
        <w:tc>
          <w:tcPr/>
          <w:p>
            <w:pPr>
              <w:pStyle w:val="a3"/>
            </w:pPr>
            <w:r>
              <w:t xml:space="preserve">9</w:t>
            </w:r>
          </w:p>
        </w:tc>
        <w:tc>
          <w:tcPr/>
          <w:p>
            <w:pPr>
              <w:pStyle w:val="a3"/>
            </w:pPr>
            <w:r>
              <w:t xml:space="preserve">144 210</w:t>
            </w:r>
          </w:p>
        </w:tc>
      </w:tr>
      <w:tr>
        <w:tc>
          <w:tcPr/>
          <w:p>
            <w:pPr>
              <w:pStyle w:val="a3"/>
            </w:pPr>
            <w:r>
              <w:rPr>
                <w:rFonts w:hint="eastAsia"/>
              </w:rPr>
              <w:t xml:space="preserve">室温</w:t>
            </w:r>
          </w:p>
        </w:tc>
        <w:tc>
          <w:tcPr/>
          <w:p>
            <w:pPr>
              <w:pStyle w:val="a3"/>
            </w:pPr>
            <w:r>
              <w:t xml:space="preserve">0.2</w:t>
            </w:r>
          </w:p>
        </w:tc>
        <w:tc>
          <w:tcPr/>
          <w:p>
            <w:pPr>
              <w:pStyle w:val="a3"/>
            </w:pPr>
            <w:r>
              <w:t xml:space="preserve">1</w:t>
            </w:r>
          </w:p>
        </w:tc>
        <w:tc>
          <w:tcPr/>
          <w:p>
            <w:pPr>
              <w:pStyle w:val="a3"/>
            </w:pPr>
            <w:r>
              <w:t xml:space="preserve">28 944</w:t>
            </w:r>
          </w:p>
        </w:tc>
      </w:tr>
      <w:tr>
        <w:tc>
          <w:tcPr/>
          <w:p>
            <w:pPr>
              <w:pStyle w:val="a3"/>
            </w:pPr>
            <w:r>
              <w:rPr>
                <w:rFonts w:hint="eastAsia"/>
              </w:rPr>
              <w:t xml:space="preserve">湿度</w:t>
            </w:r>
          </w:p>
        </w:tc>
        <w:tc>
          <w:tcPr/>
          <w:p>
            <w:pPr>
              <w:pStyle w:val="a3"/>
            </w:pPr>
            <w:r>
              <w:t xml:space="preserve">0.2</w:t>
            </w:r>
          </w:p>
        </w:tc>
        <w:tc>
          <w:tcPr/>
          <w:p>
            <w:pPr>
              <w:pStyle w:val="a3"/>
            </w:pPr>
            <w:r>
              <w:t xml:space="preserve">1</w:t>
            </w:r>
          </w:p>
        </w:tc>
        <w:tc>
          <w:tcPr/>
          <w:p>
            <w:pPr>
              <w:pStyle w:val="a3"/>
            </w:pPr>
            <w:r>
              <w:t xml:space="preserve">28 944</w:t>
            </w:r>
          </w:p>
        </w:tc>
      </w:tr>
    </w:tbl>
    <w:p>
      <w:pPr>
        <w:pStyle w:val="a3"/>
      </w:pPr>
      <w:r>
        <w:rPr>
          <w:rFonts w:hint="eastAsia"/>
        </w:rPr>
        <w:t xml:space="preserve">注释：PPG：光电容积脉搏波描记法，CUFF：血压袖带，IMU：身体运动</w:t>
      </w:r>
    </w:p>
    <w:bookmarkEnd w:id="36"/>
    <w:bookmarkEnd w:id="37"/>
    <w:bookmarkStart w:id="50" w:name="Xf3451d02abc7f8b15af48944e63de7146ab9c72"/>
    <w:p>
      <w:pPr>
        <w:pStyle w:val="1"/>
      </w:pPr>
      <w:r>
        <w:rPr>
          <w:rFonts w:hint="eastAsia"/>
        </w:rPr>
        <w:t xml:space="preserve">结果</w:t>
      </w:r>
    </w:p>
    <w:bookmarkStart w:id="41" w:name="Xd54dea59ced6e05ce06956b6fb9206da3f6014b"/>
    <w:p>
      <w:pPr>
        <w:pStyle w:val="2"/>
      </w:pPr>
      <w:r>
        <w:rPr>
          <w:rFonts w:hint="eastAsia"/>
        </w:rPr>
        <w:t xml:space="preserve">端边云协同机制及硬件实现</w:t>
      </w:r>
    </w:p>
    <w:p>
      <w:pPr>
        <w:pStyle w:val="FirstParagraph"/>
      </w:pPr>
      <w:r>
        <w:rPr>
          <w:rFonts w:hint="eastAsia"/>
        </w:rPr>
        <w:t xml:space="preserve">为突破传统单层架构的瓶颈，本文在硬件层提出了一种“可穿戴节点-微网关-云服务”的耦合方案。其核心思想是根据数据价值层级逐步提升计算能力：手环传感器仅保留信号预处理和事件触发逻辑；树莓派-Nordic双微控制器单元网关负责中层推理与缓存；云端则承担模型训练及全局策略优化任务（陈&amp;林，2022；奥莱森等，2023）。如图3所示，各层之间通过统一的gRPC远程过程调用接口相连，从而避免了因协议切换带来的额外延迟，并借助零拷贝缓冲技术降低了数据复制开销。针对该应用对能耗敏感的特点，我们将不必要的外设电源独立接入专用电源管理集成电路，并采用深度睡眠与浅度睡眠的三态调度策略，使节点每天有80%的时间处于极低功耗状态，这为长期部署奠定了前提条件。</w:t>
      </w:r>
    </w:p>
    <w:p>
      <w:pPr>
        <w:pStyle w:val="ac"/>
      </w:pPr>
      <w:r>
        <w:t xml:space="preserve"> </w:t>
      </w:r>
    </w:p>
    <w:p>
      <w:pPr>
        <w:pStyle w:val="FirstParagraph"/>
      </w:pPr>
      <w:r>
        <w:rPr>
          <w:rFonts w:hint="eastAsia"/>
        </w:rPr>
        <w:t xml:space="preserve">国际医疗信息系统与信息学第杂20志卷</w:t>
      </w:r>
      <w:r>
        <w:t xml:space="preserve"> </w:t>
      </w:r>
      <w:r>
        <w:rPr>
          <w:rFonts w:hint="eastAsia"/>
        </w:rPr>
        <w:t xml:space="preserve">•第1期</w:t>
      </w:r>
      <w:r>
        <w:t xml:space="preserve"> • </w:t>
      </w:r>
      <w:r>
        <w:rPr>
          <w:rFonts w:hint="eastAsia"/>
        </w:rPr>
        <w:t xml:space="preserve">2025年1月至12月</w:t>
      </w:r>
    </w:p>
    <w:p>
      <w:pPr>
        <w:pStyle w:val="a3"/>
      </w:pPr>
      <w:r>
        <w:rPr>
          <w:rFonts w:hint="eastAsia"/>
        </w:rPr>
        <w:t xml:space="preserve">图3.硬件协作框架</w:t>
      </w:r>
    </w:p>
    <w:p>
      <w:pPr>
        <w:pStyle w:val="a3"/>
      </w:pPr>
      <w:r>
        <w:drawing>
          <wp:inline>
            <wp:extent cx="5486400" cy="3764114"/>
            <wp:effectExtent b="0" l="0" r="0" t="0"/>
            <wp:docPr descr="9f60117f2c11516b58eb248513901530.jpg" title="" id="39" name="Picture"/>
            <a:graphic>
              <a:graphicData uri="http://schemas.openxmlformats.org/drawingml/2006/picture">
                <pic:pic>
                  <pic:nvPicPr>
                    <pic:cNvPr descr="9f60117f2c11516b58eb248513901530.jpg" id="40" name="Picture"/>
                    <pic:cNvPicPr>
                      <a:picLocks noChangeArrowheads="1" noChangeAspect="1"/>
                    </pic:cNvPicPr>
                  </pic:nvPicPr>
                  <pic:blipFill>
                    <a:blip r:embed="rId38"/>
                    <a:stretch>
                      <a:fillRect/>
                    </a:stretch>
                  </pic:blipFill>
                  <pic:spPr bwMode="auto">
                    <a:xfrm>
                      <a:off x="0" y="0"/>
                      <a:ext cx="5486400" cy="3764114"/>
                    </a:xfrm>
                    <a:prstGeom prst="rect">
                      <a:avLst/>
                    </a:prstGeom>
                    <a:noFill/>
                    <a:ln w="9525">
                      <a:noFill/>
                      <a:headEnd/>
                      <a:tailEnd/>
                    </a:ln>
                  </pic:spPr>
                </pic:pic>
              </a:graphicData>
            </a:graphic>
          </wp:inline>
        </w:drawing>
      </w:r>
    </w:p>
    <w:p>
      <w:pPr>
        <w:pStyle w:val="a3"/>
      </w:pPr>
      <w:r>
        <w:rPr>
          <w:rFonts w:hint="eastAsia"/>
        </w:rPr>
        <w:t xml:space="preserve">注释。BLE：蓝牙低能耗，ARM：ARM控股，MCU：微控制器单元</w:t>
      </w:r>
    </w:p>
    <w:p>
      <w:pPr>
        <w:pStyle w:val="a3"/>
      </w:pPr>
      <w:r>
        <w:rPr>
          <w:rFonts w:hint="eastAsia"/>
        </w:rPr>
        <w:t xml:space="preserve">表3总结了系统中不同节点类型的硬件配置和处理能力，包括可穿戴节点、边缘网关和云服务器。具体而言，该表列出了每个节点的主频（MHz）、内存大小（M</w:t>
      </w:r>
      <w:r>
        <w:t xml:space="preserve"> </w:t>
      </w:r>
      <w:r>
        <w:rPr>
          <w:rFonts w:hint="eastAsia"/>
        </w:rPr>
        <w:t xml:space="preserve">B）、GPU核心数量以及最大并发模型数。可穿戴节点的主频为120</w:t>
      </w:r>
      <w:r>
        <w:t xml:space="preserve"> </w:t>
      </w:r>
      <w:r>
        <w:rPr>
          <w:rFonts w:hint="eastAsia"/>
        </w:rPr>
        <w:t xml:space="preserve">MHz，内存为256</w:t>
      </w:r>
      <w:r>
        <w:t xml:space="preserve"> </w:t>
      </w:r>
      <w:r>
        <w:rPr>
          <w:rFonts w:hint="eastAsia"/>
        </w:rPr>
        <w:t xml:space="preserve">MB，适用于轻量级任务。边缘网关配备了更强的主频，为1500</w:t>
      </w:r>
      <w:r>
        <w:t xml:space="preserve"> </w:t>
      </w:r>
      <w:r>
        <w:rPr>
          <w:rFonts w:hint="eastAsia"/>
        </w:rPr>
        <w:t xml:space="preserve">MHz，内存为4096MB，拥有128个GPU核心，最多可支持8个并发模型，适合中等规模的数据处理任务。而云服务器的主频则高达3000</w:t>
      </w:r>
      <w:r>
        <w:t xml:space="preserve"> </w:t>
      </w:r>
      <w:r>
        <w:rPr>
          <w:rFonts w:hint="eastAsia"/>
        </w:rPr>
        <w:t xml:space="preserve">MHz，内存为65536</w:t>
      </w:r>
      <w:r>
        <w:t xml:space="preserve"> </w:t>
      </w:r>
      <w:r>
        <w:rPr>
          <w:rFonts w:hint="eastAsia"/>
        </w:rPr>
        <w:t xml:space="preserve">MB，配备3584个GPU核心，最多可处理100个并发模型，专为高负载的数据分析与存储设计。这些硬件规格体现了根据节点角色分配资源的设计理念，旨在优化健康监测系统的性能与效率。</w:t>
      </w:r>
    </w:p>
    <w:p>
      <w:pPr>
        <w:pStyle w:val="a3"/>
      </w:pPr>
      <w:r>
        <w:rPr>
          <w:rFonts w:hint="eastAsia"/>
        </w:rPr>
        <w:t xml:space="preserve">表3.硬件能力-负载矩阵</w:t>
      </w:r>
    </w:p>
    <w:tbl>
      <w:tblPr>
        <w:tblStyle w:val="Table"/>
        <w:tblW w:type="pct" w:w="5000"/>
        <w:tblLayout w:type="fixed"/>
        <w:tblLook w:firstRow="0" w:lastRow="0" w:firstColumn="0" w:lastColumn="0" w:noHBand="0" w:noVBand="0" w:val="0000"/>
      </w:tblPr>
      <w:tblGrid>
        <w:gridCol w:w="1584"/>
        <w:gridCol w:w="1584"/>
        <w:gridCol w:w="1584"/>
        <w:gridCol w:w="1584"/>
        <w:gridCol w:w="1584"/>
      </w:tblGrid>
      <w:tr>
        <w:tc>
          <w:tcPr/>
          <w:p>
            <w:pPr>
              <w:pStyle w:val="FirstParagraph"/>
            </w:pPr>
            <w:r>
              <w:rPr>
                <w:rFonts w:hint="eastAsia"/>
              </w:rPr>
              <w:t xml:space="preserve">节点类别</w:t>
            </w:r>
          </w:p>
        </w:tc>
        <w:tc>
          <w:tcPr/>
          <w:p>
            <w:pPr>
              <w:pStyle w:val="a3"/>
            </w:pPr>
            <w:r>
              <w:rPr>
                <w:rFonts w:hint="eastAsia"/>
              </w:rPr>
              <w:t xml:space="preserve">主频</w:t>
            </w:r>
          </w:p>
          <w:p>
            <w:pPr>
              <w:pStyle w:val="a3"/>
            </w:pPr>
            <w:r>
              <w:rPr>
                <w:rFonts w:hint="eastAsia"/>
              </w:rPr>
              <w:t xml:space="preserve">(兆赫）</w:t>
            </w:r>
          </w:p>
        </w:tc>
        <w:tc>
          <w:tcPr/>
          <w:p>
            <w:pPr>
              <w:pStyle w:val="a3"/>
            </w:pPr>
            <w:r>
              <w:rPr>
                <w:rFonts w:hint="eastAsia"/>
              </w:rPr>
              <w:t xml:space="preserve">内存（MB）</w:t>
            </w:r>
          </w:p>
        </w:tc>
        <w:tc>
          <w:tcPr/>
          <w:p>
            <w:pPr>
              <w:pStyle w:val="a3"/>
            </w:pPr>
            <w:r>
              <w:rPr>
                <w:rFonts w:hint="eastAsia"/>
              </w:rPr>
              <w:t xml:space="preserve">GPU核心数量</w:t>
            </w:r>
          </w:p>
        </w:tc>
        <w:tc>
          <w:tcPr/>
          <w:p>
            <w:pPr>
              <w:pStyle w:val="a3"/>
            </w:pPr>
            <w:r>
              <w:rPr>
                <w:rFonts w:hint="eastAsia"/>
              </w:rPr>
              <w:t xml:space="preserve">最大并发模型</w:t>
            </w:r>
          </w:p>
        </w:tc>
      </w:tr>
      <w:tr>
        <w:tc>
          <w:tcPr/>
          <w:p>
            <w:pPr>
              <w:pStyle w:val="a3"/>
            </w:pPr>
            <w:r>
              <w:rPr>
                <w:rFonts w:hint="eastAsia"/>
              </w:rPr>
              <w:t xml:space="preserve">可穿戴节点</w:t>
            </w:r>
          </w:p>
        </w:tc>
        <w:tc>
          <w:tcPr/>
          <w:p>
            <w:pPr>
              <w:pStyle w:val="a3"/>
            </w:pPr>
            <w:r>
              <w:t xml:space="preserve">120</w:t>
            </w:r>
          </w:p>
        </w:tc>
        <w:tc>
          <w:tcPr/>
          <w:p>
            <w:pPr>
              <w:pStyle w:val="a3"/>
            </w:pPr>
            <w:r>
              <w:t xml:space="preserve">256</w:t>
            </w:r>
          </w:p>
        </w:tc>
        <w:tc>
          <w:tcPr/>
          <w:p>
            <w:pPr>
              <w:pStyle w:val="a3"/>
            </w:pPr>
            <w:r>
              <w:t xml:space="preserve">0</w:t>
            </w:r>
          </w:p>
        </w:tc>
        <w:tc>
          <w:tcPr/>
          <w:p>
            <w:pPr>
              <w:pStyle w:val="a3"/>
            </w:pPr>
            <w:r>
              <w:t xml:space="preserve">1</w:t>
            </w:r>
          </w:p>
        </w:tc>
      </w:tr>
      <w:tr>
        <w:tc>
          <w:tcPr/>
          <w:p>
            <w:pPr>
              <w:pStyle w:val="a3"/>
            </w:pPr>
            <w:r>
              <w:rPr>
                <w:rFonts w:hint="eastAsia"/>
              </w:rPr>
              <w:t xml:space="preserve">边缘网关</w:t>
            </w:r>
          </w:p>
        </w:tc>
        <w:tc>
          <w:tcPr/>
          <w:p>
            <w:pPr>
              <w:pStyle w:val="a3"/>
            </w:pPr>
            <w:r>
              <w:t xml:space="preserve">1 500</w:t>
            </w:r>
          </w:p>
        </w:tc>
        <w:tc>
          <w:tcPr/>
          <w:p>
            <w:pPr>
              <w:pStyle w:val="a3"/>
            </w:pPr>
            <w:r>
              <w:t xml:space="preserve">4 096</w:t>
            </w:r>
          </w:p>
        </w:tc>
        <w:tc>
          <w:tcPr/>
          <w:p>
            <w:pPr>
              <w:pStyle w:val="a3"/>
            </w:pPr>
            <w:r>
              <w:t xml:space="preserve">128</w:t>
            </w:r>
          </w:p>
        </w:tc>
        <w:tc>
          <w:tcPr/>
          <w:p>
            <w:pPr>
              <w:pStyle w:val="a3"/>
            </w:pPr>
            <w:r>
              <w:t xml:space="preserve">8</w:t>
            </w:r>
          </w:p>
        </w:tc>
      </w:tr>
      <w:tr>
        <w:tc>
          <w:tcPr/>
          <w:p>
            <w:pPr>
              <w:pStyle w:val="a3"/>
            </w:pPr>
            <w:r>
              <w:rPr>
                <w:rFonts w:hint="eastAsia"/>
              </w:rPr>
              <w:t xml:space="preserve">云服务器</w:t>
            </w:r>
          </w:p>
        </w:tc>
        <w:tc>
          <w:tcPr/>
          <w:p>
            <w:pPr>
              <w:pStyle w:val="a3"/>
            </w:pPr>
            <w:r>
              <w:t xml:space="preserve">3 000</w:t>
            </w:r>
          </w:p>
        </w:tc>
        <w:tc>
          <w:tcPr/>
          <w:p>
            <w:pPr>
              <w:pStyle w:val="a3"/>
            </w:pPr>
            <w:r>
              <w:t xml:space="preserve">65 536</w:t>
            </w:r>
          </w:p>
        </w:tc>
        <w:tc>
          <w:tcPr/>
          <w:p>
            <w:pPr>
              <w:pStyle w:val="a3"/>
            </w:pPr>
            <w:r>
              <w:t xml:space="preserve">3 584</w:t>
            </w:r>
          </w:p>
        </w:tc>
        <w:tc>
          <w:tcPr/>
          <w:p>
            <w:pPr>
              <w:pStyle w:val="a3"/>
            </w:pPr>
            <w:r>
              <w:t xml:space="preserve">100</w:t>
            </w:r>
          </w:p>
        </w:tc>
      </w:tr>
    </w:tbl>
    <w:p>
      <w:pPr>
        <w:pStyle w:val="a3"/>
      </w:pPr>
      <w:r>
        <w:rPr>
          <w:rFonts w:hint="eastAsia"/>
        </w:rPr>
        <w:t xml:space="preserve">与传统的“先到先服务”不同，我们根据表3中列出的硬件容量负载矩阵，为不同模型实例限定了中央处理器、GPU和内存的上限。然后，结合Kuberneteslite调度器，将批量推理和流式报警任务拆分到异构核心上。实验结果表明，这种布局在高峰时段仍能保持30</w:t>
      </w:r>
      <w:r>
        <w:t xml:space="preserve"> </w:t>
      </w:r>
      <w:r>
        <w:rPr>
          <w:rFonts w:hint="eastAsia"/>
        </w:rPr>
        <w:t xml:space="preserve">FPS的推理吞吐量，并将返回延迟稳定在200毫秒以内。同时，网关会实时订阅云端发布的能耗阈值。一旦算法升级导致功耗激增，它便会触发“降级”策略：边缘端回退到量化模型，终端侧降低采样率，云端则推迟非关键的训练任务。通过这一闭环机制，我们不仅实现了性能与功耗之间的动态平衡，还确保了在多次网络断连演练中报警链路的连续性。</w:t>
      </w:r>
    </w:p>
    <w:bookmarkEnd w:id="41"/>
    <w:bookmarkStart w:id="49" w:name="c38c53f1c7b37f6dc1682424f1dba07f"/>
    <w:p>
      <w:pPr>
        <w:pStyle w:val="2"/>
      </w:pPr>
      <w:r>
        <w:rPr>
          <w:rFonts w:hint="eastAsia"/>
        </w:rPr>
        <w:t xml:space="preserve">轻量级异常检测算法</w:t>
      </w:r>
    </w:p>
    <w:p>
      <w:pPr>
        <w:pStyle w:val="FirstParagraph"/>
      </w:pPr>
      <w:r>
        <w:rPr>
          <w:rFonts w:hint="eastAsia"/>
        </w:rPr>
        <w:t xml:space="preserve">硬件框架稳定后，算法层的创新决定了系统的上限。本文提出的轻量级异常检测算法以“特征融合+多任务蒸馏”为核心。首先，边缘节点提取三种类型的特征：心率变异性、姿态角速度以及温湿度环境映射。然后，利用多任务编码器同时预测跌倒概率和窒息风险，从而借助标签之间的互补性提升模型的鲁棒性。如图4所示，网络主体采用了1维卷积神经网络与TinyGRU的串并联混合结构，并在各层之间插入通道注意力模块，以强化对稀疏敏感维度的捕捉能力。为了使模型适配于MCU，我们用深度可分离卷积代替标准卷积，并通过网络剪枝将参数量压缩至原始结构的十二分之一，这大大降低了存储需求，同时保持了时间序列的记忆能力。</w:t>
      </w:r>
    </w:p>
    <w:p>
      <w:pPr>
        <w:pStyle w:val="a3"/>
      </w:pPr>
      <w:r>
        <w:rPr>
          <w:rFonts w:hint="eastAsia"/>
        </w:rPr>
        <w:t xml:space="preserve">在实际推理过程中，该算法会根据边缘设备的剩余电量动态切换精度：当电池电量高于阈值时，将启用完整模型，仅保留GRU分支；而在低电量状态下，则启动量化推理。对比实验表明，这种混合精度策略能够在保持检测灵敏度的同时降低平均功耗。借助联邦学习的周期性聚合，云端教师模型不仅能够保护隐私，还能融合具有更丰富群体特征的网络数据。不过，极端噪声仍可能引发误报，我们正在探索可解释的方法，以可视化本地特征的贡献，帮助护士快速确认报警原因。</w:t>
      </w:r>
    </w:p>
    <w:p>
      <w:pPr>
        <w:pStyle w:val="ac"/>
      </w:pPr>
      <w:r>
        <w:t xml:space="preserve"> </w:t>
      </w:r>
    </w:p>
    <w:p>
      <w:pPr>
        <w:pStyle w:val="FirstParagraph"/>
      </w:pPr>
      <w:r>
        <w:rPr>
          <w:rFonts w:hint="eastAsia"/>
        </w:rPr>
        <w:t xml:space="preserve">图4.多模型接收器操作特征和精确度-召回率曲线</w:t>
      </w:r>
    </w:p>
    <w:p>
      <w:pPr>
        <w:pStyle w:val="a3"/>
      </w:pPr>
      <w:r>
        <w:rPr>
          <w:rFonts w:hint="eastAsia"/>
        </w:rPr>
        <w:t xml:space="preserve">原型vs基准模型性能</w:t>
      </w:r>
    </w:p>
    <w:p>
      <w:pPr>
        <w:pStyle w:val="a3"/>
      </w:pPr>
      <w:r>
        <w:drawing>
          <wp:inline>
            <wp:extent cx="5486400" cy="4269658"/>
            <wp:effectExtent b="0" l="0" r="0" t="0"/>
            <wp:docPr descr="c16289fef0071d6e021a0d7869a4530a.jpg" title="" id="43" name="Picture"/>
            <a:graphic>
              <a:graphicData uri="http://schemas.openxmlformats.org/drawingml/2006/picture">
                <pic:pic>
                  <pic:nvPicPr>
                    <pic:cNvPr descr="c16289fef0071d6e021a0d7869a4530a.jpg" id="44" name="Picture"/>
                    <pic:cNvPicPr>
                      <a:picLocks noChangeArrowheads="1" noChangeAspect="1"/>
                    </pic:cNvPicPr>
                  </pic:nvPicPr>
                  <pic:blipFill>
                    <a:blip r:embed="rId42"/>
                    <a:stretch>
                      <a:fillRect/>
                    </a:stretch>
                  </pic:blipFill>
                  <pic:spPr bwMode="auto">
                    <a:xfrm>
                      <a:off x="0" y="0"/>
                      <a:ext cx="5486400" cy="4269658"/>
                    </a:xfrm>
                    <a:prstGeom prst="rect">
                      <a:avLst/>
                    </a:prstGeom>
                    <a:noFill/>
                    <a:ln w="9525">
                      <a:noFill/>
                      <a:headEnd/>
                      <a:tailEnd/>
                    </a:ln>
                  </pic:spPr>
                </pic:pic>
              </a:graphicData>
            </a:graphic>
          </wp:inline>
        </w:drawing>
      </w:r>
    </w:p>
    <w:p>
      <w:pPr>
        <w:pStyle w:val="a3"/>
      </w:pPr>
      <w:r>
        <w:rPr>
          <w:rFonts w:hint="eastAsia"/>
        </w:rPr>
        <w:t xml:space="preserve">假阳性率</w:t>
      </w:r>
      <w:r>
        <w:t xml:space="preserve"> </w:t>
      </w:r>
      <w:r>
        <w:rPr>
          <w:rFonts w:hint="eastAsia"/>
        </w:rPr>
        <w:t xml:space="preserve">回忆</w:t>
      </w:r>
    </w:p>
    <w:p>
      <w:pPr>
        <w:pStyle w:val="a3"/>
      </w:pPr>
      <w:r>
        <w:rPr>
          <w:rFonts w:hint="eastAsia"/>
        </w:rPr>
        <w:t xml:space="preserve">注：GRU=门控循环单元；LSTM=长短期记忆；ROC=接收者操作特征；PR=精确率-召回率。</w:t>
      </w:r>
    </w:p>
    <w:bookmarkStart w:id="48" w:name="X1454f96ec4bc31bfe6d1ed09946bcd9b2e131af"/>
    <w:p>
      <w:pPr>
        <w:pStyle w:val="3"/>
      </w:pPr>
      <w:r>
        <w:rPr>
          <w:rFonts w:hint="eastAsia"/>
        </w:rPr>
        <w:t xml:space="preserve">实验结果与性能评估</w:t>
      </w:r>
    </w:p>
    <w:p>
      <w:pPr>
        <w:pStyle w:val="FirstParagraph"/>
      </w:pPr>
      <w:r>
        <w:rPr>
          <w:rFonts w:hint="eastAsia"/>
        </w:rPr>
        <w:t xml:space="preserve">为验证该系统在真实环境中的综合性能，我们与一家大型养老机构合作，在其两层楼的护理区内选取了共计45张床位，开展为期一个月的对照实验。在此期间，原型系统与控制系统共同监测并记录了所有报警事件，并采集了节点功耗及网络质量指标。如图5所示的能耗柱状对比图所示，在各种工作负载下，端侧、边缘侧和云端设备均表现出明显的功耗优势，尤其是在夜间长时间休眠阶段，网关的功耗仅约为控制方案的一半。为了评估系统捕捉罕见事件的能力，我们还进行了三次人工模拟跌倒以及一次无预警断电测试。所有场景均被准确识别，并触发了本地声光报警。云端记录的事件时间戳与现场实际情况之间的误差小于0.3秒，这进一步证实了协同架构在极端条件下的可靠性。</w:t>
      </w:r>
    </w:p>
    <w:p>
      <w:pPr>
        <w:pStyle w:val="a3"/>
      </w:pPr>
      <w:r>
        <w:rPr>
          <w:rFonts w:hint="eastAsia"/>
        </w:rPr>
        <w:t xml:space="preserve">国际医疗信息系统与信息学杂志第20卷•第1期•2025年1月至12月</w:t>
      </w:r>
    </w:p>
    <w:p>
      <w:pPr>
        <w:pStyle w:val="a3"/>
      </w:pPr>
      <w:r>
        <w:rPr>
          <w:rFonts w:hint="eastAsia"/>
        </w:rPr>
        <w:t xml:space="preserve">图5.端/边缘/云端功耗对比</w:t>
      </w:r>
    </w:p>
    <w:p>
      <w:pPr>
        <w:pStyle w:val="a3"/>
      </w:pPr>
      <w:r>
        <w:drawing>
          <wp:inline>
            <wp:extent cx="5486400" cy="2996501"/>
            <wp:effectExtent b="0" l="0" r="0" t="0"/>
            <wp:docPr descr="30ace8d8914190a26279e2a569b51592.jpg" title="" id="46" name="Picture"/>
            <a:graphic>
              <a:graphicData uri="http://schemas.openxmlformats.org/drawingml/2006/picture">
                <pic:pic>
                  <pic:nvPicPr>
                    <pic:cNvPr descr="30ace8d8914190a26279e2a569b51592.jpg" id="47" name="Picture"/>
                    <pic:cNvPicPr>
                      <a:picLocks noChangeArrowheads="1" noChangeAspect="1"/>
                    </pic:cNvPicPr>
                  </pic:nvPicPr>
                  <pic:blipFill>
                    <a:blip r:embed="rId45"/>
                    <a:stretch>
                      <a:fillRect/>
                    </a:stretch>
                  </pic:blipFill>
                  <pic:spPr bwMode="auto">
                    <a:xfrm>
                      <a:off x="0" y="0"/>
                      <a:ext cx="5486400" cy="2996501"/>
                    </a:xfrm>
                    <a:prstGeom prst="rect">
                      <a:avLst/>
                    </a:prstGeom>
                    <a:noFill/>
                    <a:ln w="9525">
                      <a:noFill/>
                      <a:headEnd/>
                      <a:tailEnd/>
                    </a:ln>
                  </pic:spPr>
                </pic:pic>
              </a:graphicData>
            </a:graphic>
          </wp:inline>
        </w:drawing>
      </w:r>
    </w:p>
    <w:p>
      <w:pPr>
        <w:pStyle w:val="a3"/>
      </w:pPr>
      <w:r>
        <w:rPr>
          <w:rFonts w:hint="eastAsia"/>
        </w:rPr>
        <w:t xml:space="preserve">表4进一步列出了准确率、召回率、平均时延和护理确认时间等多维指标。</w:t>
      </w:r>
    </w:p>
    <w:p>
      <w:pPr>
        <w:pStyle w:val="a3"/>
      </w:pPr>
      <w:r>
        <w:rPr>
          <w:rFonts w:hint="eastAsia"/>
        </w:rPr>
        <w:t xml:space="preserve">表4.多维指标对比表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FirstParagraph"/>
            </w:pPr>
            <w:r>
              <w:rPr>
                <w:rFonts w:hint="eastAsia"/>
              </w:rPr>
              <w:t xml:space="preserve">系统</w:t>
            </w:r>
          </w:p>
        </w:tc>
        <w:tc>
          <w:tcPr/>
          <w:p>
            <w:pPr>
              <w:pStyle w:val="a3"/>
            </w:pPr>
            <w:r>
              <w:rPr>
                <w:rFonts w:hint="eastAsia"/>
              </w:rPr>
              <w:t xml:space="preserve">准确率（%）</w:t>
            </w:r>
          </w:p>
        </w:tc>
        <w:tc>
          <w:tcPr/>
          <w:p>
            <w:pPr>
              <w:pStyle w:val="a3"/>
            </w:pPr>
            <w:r>
              <w:rPr>
                <w:rFonts w:hint="eastAsia"/>
              </w:rPr>
              <w:t xml:space="preserve">召回率（%）</w:t>
            </w:r>
          </w:p>
        </w:tc>
        <w:tc>
          <w:tcPr/>
          <w:p>
            <w:pPr>
              <w:pStyle w:val="a3"/>
            </w:pPr>
            <w:r>
              <w:rPr>
                <w:rFonts w:hint="eastAsia"/>
              </w:rPr>
              <w:t xml:space="preserve">平均延迟（毫秒）</w:t>
            </w:r>
          </w:p>
        </w:tc>
        <w:tc>
          <w:tcPr/>
          <w:p>
            <w:pPr>
              <w:pStyle w:val="a3"/>
            </w:pPr>
            <w:r>
              <w:rPr>
                <w:rFonts w:hint="eastAsia"/>
              </w:rPr>
              <w:t xml:space="preserve">护理确认时间（秒）</w:t>
            </w:r>
          </w:p>
        </w:tc>
      </w:tr>
      <w:tr>
        <w:tc>
          <w:tcPr/>
          <w:p>
            <w:pPr>
              <w:pStyle w:val="a3"/>
            </w:pPr>
            <w:r>
              <w:rPr>
                <w:rFonts w:hint="eastAsia"/>
              </w:rPr>
              <w:t xml:space="preserve">计划A</w:t>
            </w:r>
          </w:p>
        </w:tc>
        <w:tc>
          <w:tcPr/>
          <w:p>
            <w:pPr>
              <w:pStyle w:val="a3"/>
            </w:pPr>
            <w:r>
              <w:t xml:space="preserve">95.0</w:t>
            </w:r>
          </w:p>
        </w:tc>
        <w:tc>
          <w:tcPr/>
          <w:p>
            <w:pPr>
              <w:pStyle w:val="a3"/>
            </w:pPr>
            <w:r>
              <w:t xml:space="preserve">94.5</w:t>
            </w:r>
          </w:p>
        </w:tc>
        <w:tc>
          <w:tcPr/>
          <w:p>
            <w:pPr>
              <w:pStyle w:val="a3"/>
            </w:pPr>
            <w:r>
              <w:t xml:space="preserve">450</w:t>
            </w:r>
          </w:p>
        </w:tc>
        <w:tc>
          <w:tcPr/>
          <w:p>
            <w:pPr>
              <w:pStyle w:val="a3"/>
            </w:pPr>
            <w:r>
              <w:t xml:space="preserve">18</w:t>
            </w:r>
          </w:p>
        </w:tc>
      </w:tr>
      <w:tr>
        <w:tc>
          <w:tcPr/>
          <w:p>
            <w:pPr>
              <w:pStyle w:val="a3"/>
            </w:pPr>
            <w:r>
              <w:rPr>
                <w:rFonts w:hint="eastAsia"/>
              </w:rPr>
              <w:t xml:space="preserve">计划B</w:t>
            </w:r>
          </w:p>
        </w:tc>
        <w:tc>
          <w:tcPr/>
          <w:p>
            <w:pPr>
              <w:pStyle w:val="a3"/>
            </w:pPr>
            <w:r>
              <w:t xml:space="preserve">93.5</w:t>
            </w:r>
          </w:p>
        </w:tc>
        <w:tc>
          <w:tcPr/>
          <w:p>
            <w:pPr>
              <w:pStyle w:val="a3"/>
            </w:pPr>
            <w:r>
              <w:t xml:space="preserve">92.0</w:t>
            </w:r>
          </w:p>
        </w:tc>
        <w:tc>
          <w:tcPr/>
          <w:p>
            <w:pPr>
              <w:pStyle w:val="a3"/>
            </w:pPr>
            <w:r>
              <w:t xml:space="preserve">230</w:t>
            </w:r>
          </w:p>
        </w:tc>
        <w:tc>
          <w:tcPr/>
          <w:p>
            <w:pPr>
              <w:pStyle w:val="a3"/>
            </w:pPr>
            <w:r>
              <w:t xml:space="preserve">17</w:t>
            </w:r>
          </w:p>
        </w:tc>
      </w:tr>
      <w:tr>
        <w:tc>
          <w:tcPr/>
          <w:p>
            <w:pPr>
              <w:pStyle w:val="a3"/>
            </w:pPr>
            <w:r>
              <w:rPr>
                <w:rFonts w:hint="eastAsia"/>
              </w:rPr>
              <w:t xml:space="preserve">计划C</w:t>
            </w:r>
          </w:p>
        </w:tc>
        <w:tc>
          <w:tcPr/>
          <w:p>
            <w:pPr>
              <w:pStyle w:val="a3"/>
            </w:pPr>
            <w:r>
              <w:t xml:space="preserve">88.5</w:t>
            </w:r>
          </w:p>
        </w:tc>
        <w:tc>
          <w:tcPr/>
          <w:p>
            <w:pPr>
              <w:pStyle w:val="a3"/>
            </w:pPr>
            <w:r>
              <w:t xml:space="preserve">84.0</w:t>
            </w:r>
          </w:p>
        </w:tc>
        <w:tc>
          <w:tcPr/>
          <w:p>
            <w:pPr>
              <w:pStyle w:val="a3"/>
            </w:pPr>
            <w:r>
              <w:t xml:space="preserve">180</w:t>
            </w:r>
          </w:p>
        </w:tc>
        <w:tc>
          <w:tcPr/>
          <w:p>
            <w:pPr>
              <w:pStyle w:val="a3"/>
            </w:pPr>
            <w:r>
              <w:t xml:space="preserve">25</w:t>
            </w:r>
          </w:p>
        </w:tc>
      </w:tr>
      <w:tr>
        <w:tc>
          <w:tcPr/>
          <w:p>
            <w:pPr>
              <w:pStyle w:val="a3"/>
            </w:pPr>
            <w:r>
              <w:rPr>
                <w:rFonts w:hint="eastAsia"/>
              </w:rPr>
              <w:t xml:space="preserve">本文的模型</w:t>
            </w:r>
          </w:p>
        </w:tc>
        <w:tc>
          <w:tcPr/>
          <w:p>
            <w:pPr>
              <w:pStyle w:val="a3"/>
            </w:pPr>
            <w:r>
              <w:t xml:space="preserve">96.4</w:t>
            </w:r>
          </w:p>
        </w:tc>
        <w:tc>
          <w:tcPr/>
          <w:p>
            <w:pPr>
              <w:pStyle w:val="a3"/>
            </w:pPr>
            <w:r>
              <w:t xml:space="preserve">95.8</w:t>
            </w:r>
          </w:p>
        </w:tc>
        <w:tc>
          <w:tcPr/>
          <w:p>
            <w:pPr>
              <w:pStyle w:val="a3"/>
            </w:pPr>
            <w:r>
              <w:t xml:space="preserve">190</w:t>
            </w:r>
          </w:p>
        </w:tc>
        <w:tc>
          <w:tcPr/>
          <w:p>
            <w:pPr>
              <w:pStyle w:val="a3"/>
            </w:pPr>
            <w:r>
              <w:t xml:space="preserve">12</w:t>
            </w:r>
          </w:p>
        </w:tc>
      </w:tr>
    </w:tbl>
    <w:p>
      <w:pPr>
        <w:pStyle w:val="a3"/>
      </w:pPr>
      <w:r>
        <w:rPr>
          <w:rFonts w:hint="eastAsia"/>
        </w:rPr>
        <w:t xml:space="preserve">表4展示了本文所提出的系统与三种控制方案（方案A、B和C）在多个维度上的性能对比，包括准确率、召回率、平均延迟和护理确认时间。具体而言，该模型的准确率和召回率分别达到了96.4%和95.8%，均优于其他三种方案。平均延迟为190毫秒，略高于部分控制方案，但仍处于合理范围内。尤其值得一提的是，护理确认时间缩短至12秒，比其他方案减少了约三分之一，极大地提高了响应效率。</w:t>
      </w:r>
    </w:p>
    <w:p>
      <w:pPr>
        <w:pStyle w:val="a3"/>
      </w:pPr>
      <w:r>
        <w:rPr>
          <w:rFonts w:hint="eastAsia"/>
        </w:rPr>
        <w:t xml:space="preserve">数据显示，本文提出的系统在准确率和召回率上突破了现有方案，并将告警确认时间缩短了近三分之一。由于误报数量大幅下降，护理人员问卷调查中“烦人程度”的评分降低了两个等级。同时，系统的长期运行也暴露出一些改进空间。首先，在大规模Wi-Fi干扰下，线程回退逻辑偶尔会会导致二阶延迟。其次，由心理焦虑引起的非典型身体运动模式仍容易被误判为跌倒。</w:t>
      </w:r>
    </w:p>
    <w:bookmarkEnd w:id="48"/>
    <w:bookmarkEnd w:id="49"/>
    <w:bookmarkEnd w:id="50"/>
    <w:bookmarkStart w:id="51" w:name="Xc6fbc2676ebd321254cbd941788eca189be467f"/>
    <w:p>
      <w:pPr>
        <w:pStyle w:val="1"/>
      </w:pPr>
      <w:r>
        <w:rPr>
          <w:rFonts w:hint="eastAsia"/>
        </w:rPr>
        <w:t xml:space="preserve">讨论</w:t>
      </w:r>
    </w:p>
    <w:p>
      <w:pPr>
        <w:pStyle w:val="FirstParagraph"/>
      </w:pPr>
      <w:r>
        <w:rPr>
          <w:rFonts w:hint="eastAsia"/>
        </w:rPr>
        <w:t xml:space="preserve">本研究系统验证了在老年人护理场景中端到端云端协作的可行性。实验结果表明，该架构不仅压缩了数据回传链路，还实现了能耗的动态均衡，且未牺牲识别灵敏度。同时，基于多模态数据驱动的轻量级异常检测算法展现出强大的时序洞察力，尤其在夜间表现尤为突出。护士们对该系统的主观反馈——“减少了因误报而导致的注意力分散感”——凸显了技术创新与人文关怀并重的重要性。然而，深度访谈也揭示了一些不容忽视的不足之处：首先，当边缘节点遭遇大规模Wi-Fi干扰时，仍会出现二级延迟现象，这表明现有的容灾链路亟需加强。本文建议，在未来的研究中可引入长距离广域网作为备用链路，以提升系统的网络容灾能力，确保即使在网络中断的情况下也能维持基本服务的正常运行。</w:t>
      </w:r>
    </w:p>
    <w:p>
      <w:pPr>
        <w:pStyle w:val="a3"/>
      </w:pPr>
      <w:r>
        <w:rPr>
          <w:rFonts w:hint="eastAsia"/>
        </w:rPr>
        <w:t xml:space="preserve">其次，心理压力导致的非典型身体运动模式频繁误判表明，仅依靠生理信号无法完全涵盖情感维度。因此，建议在后续工作中整合情绪识别模型，以更准确地理解老年人的行为意图，并减少因情绪波动引起的误报。</w:t>
      </w:r>
    </w:p>
    <w:p>
      <w:pPr>
        <w:pStyle w:val="a3"/>
      </w:pPr>
      <w:r>
        <w:rPr>
          <w:rFonts w:hint="eastAsia"/>
        </w:rPr>
        <w:t xml:space="preserve">第三，长期佩戴引起的皮肤刺激反馈尚未形成量化指标。建议医生和护理人员共同评估，开发更人性化、更舒适的可穿戴设备材料与技术，以提升用户体验。</w:t>
      </w:r>
    </w:p>
    <w:p>
      <w:pPr>
        <w:pStyle w:val="a3"/>
      </w:pPr>
      <w:r>
        <w:rPr>
          <w:rFonts w:hint="eastAsia"/>
        </w:rPr>
        <w:t xml:space="preserve">第四，使用GPU加速的轻量级推理引擎等高端硬件可能会显著增加系统的成本，这对于资源有限或经济状况不佳的养老机构而言可能是一大负担。为了降低系统成本，使其更适用于资源有限或经济状况不佳的养老机构，我们可以通过优化算法和模型压缩来减少对高性能硬件的依赖；用性价比高的边缘计算设备替代价格昂贵的专用硬件；借助开源技术和社区支持来降低开发成本。同时，建议采取分阶段实施策略，先从基础配置入手，随着资金状况的改善逐步升级，并积极寻求政府和非营利组织的合作与资助。</w:t>
      </w:r>
    </w:p>
    <w:p>
      <w:pPr>
        <w:pStyle w:val="a3"/>
      </w:pPr>
      <w:r>
        <w:rPr>
          <w:rFonts w:hint="eastAsia"/>
        </w:rPr>
        <w:t xml:space="preserve">此外，尽管已提出了诸如XOR加密和加盐哈希等隐私保护措施，但在实际应用中，随着系统复杂性的增加和数据交互的频繁，仍可能存在安全漏洞。为进一步提升安全性，我们应引入更先进的加密技术（同态加密），实施严格的访问控制，定期开展安全审计，并探索区块链等新兴技术，以增强数据的可追溯性和抗篡改能力。同时，建立完善的应急响应机制，加强用户安全意识培训，也有助于构建一个更加可信、更强大的智能养老体系，从而全面降低隐私泄露及其他安全风险。</w:t>
      </w:r>
    </w:p>
    <w:p>
      <w:pPr>
        <w:pStyle w:val="a3"/>
      </w:pPr>
      <w:r>
        <w:rPr>
          <w:rFonts w:hint="eastAsia"/>
        </w:rPr>
        <w:t xml:space="preserve">最后，跨文化场景中的泛化性能仍有待验证，不同的生活习惯和昼夜节律可能对阈值策略产生影响。未来，应在全球范围内开展多中心联合调试，以检验其普适性。在不同文化背景下对模型进行调整，并根据反馈调整阈值策略，以确保该技术在全球范围内的有效应用。</w:t>
      </w:r>
    </w:p>
    <w:p>
      <w:pPr>
        <w:pStyle w:val="a3"/>
      </w:pPr>
      <w:r>
        <w:rPr>
          <w:rFonts w:hint="eastAsia"/>
        </w:rPr>
        <w:t xml:space="preserve">这些发现对今后的工作具有指导意义。基于当前的研究，我们可以探索以下未来方向：提升网络灵活性和灾难恢复能力，融合情感识别以实现个性化健康管理，改进分布式学习与隐私保护技术，优化用户体验与人性化设计，以及提高系统的可持续发展与环境适应性。通过集成LoRaWAN以提升通信可靠性，利用多模态数据融合监测老年人的情绪状态，借助同态加密等技术保障数据隐私，采用柔性材料提升可穿戴设备的舒适度，并调整系统参数以适应不同的文化和环境条件，旨在构建一个更加智能、人性化的养老生态系统。这不仅能够弥补现有技术的不足，也为未来的创新提供了理论与实践基础。这种全方位的探索将极大地拓展智能养老技术的应用范围和服务深度，推动其朝着更加包容、灵活的方向发展。</w:t>
      </w:r>
    </w:p>
    <w:bookmarkEnd w:id="51"/>
    <w:bookmarkStart w:id="52" w:name="c09f7abaa95a17f2e8910b7e2fb879ca"/>
    <w:p>
      <w:pPr>
        <w:pStyle w:val="1"/>
      </w:pPr>
      <w:r>
        <w:rPr>
          <w:rFonts w:hint="eastAsia"/>
        </w:rPr>
        <w:t xml:space="preserve">结论</w:t>
      </w:r>
    </w:p>
    <w:p>
      <w:pPr>
        <w:pStyle w:val="FirstParagraph"/>
      </w:pPr>
      <w:r>
        <w:rPr>
          <w:rFonts w:hint="eastAsia"/>
        </w:rPr>
        <w:t xml:space="preserve">针对养老护理的持续监测需求，本文提出并实现了一个融合可穿戴感知、边缘智能与云端协同的物联网平台。通过重新定义端侧云的角色定位、设计零拷贝协议栈以及实施自适应能源管理策略，该原型系统在真实养老院的试运行中实现了报警链路的秒级闭环，并有效降低了节点功耗。基于特征融合与多任务蒸馏的TinyGRU模型在资源受限的MCU上保持了较高的召回率，验证了轻量化算法与硬件协同的可行性。图表数据及护士反馈表明，本研究方案在精度、实时性和人机体验之间取得了良好平衡，为智慧养老提供了可靠的技术基础。</w:t>
      </w:r>
    </w:p>
    <w:p>
      <w:pPr>
        <w:pStyle w:val="a3"/>
      </w:pPr>
      <w:r>
        <w:rPr>
          <w:rFonts w:hint="eastAsia"/>
        </w:rPr>
        <w:t xml:space="preserve">这项工作的完成不仅为国内应对老龄化挑战提供了工程范例，也为物联网与数字健康领域的跨学科融合注入了新动力。尽管该系统在能耗和误报率方面已展现出优势，但在网络容灾能力、情感识别以及长期佩戴舒适度等方面仍存在改进空间。未来研究将分三个阶段展开：首先，采用多机构联合部署的方式，检验模型的跨文化泛化能力；其次，引入LoRaWAN和边缘可信执行环境，进一步提升系统的安全性和灵活性；第三，融合多模态情感信号与柔性材料技术，以增强人文关怀。本文的研究成果为智慧护理的大规模应用奠定了坚实基础，并勾勒出智慧医疗生态未来发展值得期待的演进路径。</w:t>
      </w:r>
    </w:p>
    <w:bookmarkEnd w:id="52"/>
    <w:bookmarkStart w:id="53" w:name="X31968da0ae49bb67b3ca02c3182bbabfe5bbdfc"/>
    <w:p>
      <w:pPr>
        <w:pStyle w:val="1"/>
      </w:pPr>
      <w:r>
        <w:rPr>
          <w:rFonts w:hint="eastAsia"/>
        </w:rPr>
        <w:t xml:space="preserve">资助声明</w:t>
      </w:r>
    </w:p>
    <w:p>
      <w:pPr>
        <w:pStyle w:val="FirstParagraph"/>
      </w:pPr>
      <w:r>
        <w:rPr>
          <w:rFonts w:hint="eastAsia"/>
        </w:rPr>
        <w:t xml:space="preserve">本研究未获得公共、商业或非营利部门任何资助机构的具体资助。本文作者承担了本研究的经费。</w:t>
      </w:r>
    </w:p>
    <w:bookmarkEnd w:id="53"/>
    <w:bookmarkStart w:id="56" w:name="X109c29afe328e9f65ac125ef5a9d61fefb7a0bc"/>
    <w:p>
      <w:pPr>
        <w:pStyle w:val="1"/>
      </w:pPr>
      <w:r>
        <w:rPr>
          <w:rFonts w:hint="eastAsia"/>
        </w:rPr>
        <w:t xml:space="preserve">利益冲突声明</w:t>
      </w:r>
    </w:p>
    <w:p>
      <w:pPr>
        <w:pStyle w:val="FirstParagraph"/>
      </w:pPr>
      <w:r>
        <w:rPr>
          <w:rFonts w:hint="eastAsia"/>
        </w:rPr>
        <w:t xml:space="preserve">本出版物的作者声明不存在利益冲突。</w:t>
      </w:r>
    </w:p>
    <w:bookmarkStart w:id="54" w:name="c3d8501f2443a15401d0c05aa5f48c30"/>
    <w:p>
      <w:pPr>
        <w:pStyle w:val="2"/>
      </w:pPr>
      <w:r>
        <w:rPr>
          <w:rFonts w:hint="eastAsia"/>
        </w:rPr>
        <w:t xml:space="preserve">处理日期</w:t>
      </w:r>
    </w:p>
    <w:p>
      <w:pPr>
        <w:pStyle w:val="FirstParagraph"/>
      </w:pPr>
      <w:r>
        <w:rPr>
          <w:rFonts w:hint="eastAsia"/>
        </w:rPr>
        <w:t xml:space="preserve">06，2025接收日期：2025年4月24日，修订日期：2025年5月13日，接受日期：2025年5月21日</w:t>
      </w:r>
    </w:p>
    <w:bookmarkEnd w:id="54"/>
    <w:bookmarkStart w:id="55" w:name="Xdb68d13c6f44d89cc63124ad80680d7268155fb"/>
    <w:p>
      <w:pPr>
        <w:pStyle w:val="2"/>
      </w:pPr>
      <w:r>
        <w:rPr>
          <w:rFonts w:hint="eastAsia"/>
        </w:rPr>
        <w:t xml:space="preserve">通讯作者</w:t>
      </w:r>
    </w:p>
    <w:p>
      <w:pPr>
        <w:pStyle w:val="FirstParagraph"/>
      </w:pPr>
      <w:r>
        <w:rPr>
          <w:rFonts w:hint="eastAsia"/>
        </w:rPr>
        <w:t xml:space="preserve">来信请寄至廖芬芳；fang29000@163.com</w:t>
      </w:r>
    </w:p>
    <w:p>
      <w:pPr>
        <w:pStyle w:val="a3"/>
      </w:pPr>
      <w:r>
        <w:rPr>
          <w:rFonts w:hint="eastAsia"/>
        </w:rPr>
        <w:t xml:space="preserve">致谢</w:t>
      </w:r>
    </w:p>
    <w:p>
      <w:pPr>
        <w:pStyle w:val="a3"/>
      </w:pPr>
      <w:r>
        <w:rPr>
          <w:rFonts w:hint="eastAsia"/>
        </w:rPr>
        <w:t xml:space="preserve">作者谨向为本研究做出贡献的技术人员表示诚挚的感谢。</w:t>
      </w:r>
    </w:p>
    <w:p>
      <w:pPr>
        <w:pStyle w:val="ac"/>
      </w:pPr>
      <w:r>
        <w:t xml:space="preserve"> </w:t>
      </w:r>
    </w:p>
    <w:p>
      <w:pPr>
        <w:pStyle w:val="FirstParagraph"/>
      </w:pPr>
      <w:r>
        <w:rPr>
          <w:rFonts w:hint="eastAsia"/>
        </w:rPr>
        <w:t xml:space="preserve">国际医疗信息系统与信息学杂志第20卷•第1期•2025年1月至12月</w:t>
      </w:r>
    </w:p>
    <w:bookmarkEnd w:id="55"/>
    <w:bookmarkEnd w:id="56"/>
    <w:bookmarkStart w:id="57" w:name="Xd1ecb3d457651a1318b1de6b595b93c502da38d"/>
    <w:p>
      <w:pPr>
        <w:pStyle w:val="1"/>
      </w:pPr>
      <w:r>
        <w:rPr>
          <w:rFonts w:hint="eastAsia"/>
        </w:rPr>
        <w:t xml:space="preserve">参考文献</w:t>
      </w:r>
    </w:p>
    <w:p>
      <w:pPr>
        <w:pStyle w:val="FirstParagraph"/>
      </w:pPr>
      <w:r>
        <w:rPr>
          <w:rFonts w:hint="eastAsia"/>
        </w:rPr>
        <w:t xml:space="preserve">阿万，R.（2023）。无缝连接：探究用于智能环境监测的多代理MQTT平台的实施挑战[硕士学位论文，奥卢大学]</w:t>
      </w:r>
      <w:r>
        <w:t xml:space="preserve"> </w:t>
      </w:r>
      <w:r>
        <w:t xml:space="preserve">https://urn.fi/URN:NBN:fi:oulu-202306302808</w:t>
      </w:r>
    </w:p>
    <w:p>
      <w:pPr>
        <w:pStyle w:val="a3"/>
      </w:pPr>
      <w:r>
        <w:rPr>
          <w:rFonts w:hint="eastAsia"/>
        </w:rPr>
        <w:t xml:space="preserve">陈永杰，林恩慈（2022）。物联网网关硬件与外设系统的设计与实现。载于2022年第8届计算机技术应用国际会议论文集（第268–274页）。DOI：10.1145/3543712.3543740</w:t>
      </w:r>
    </w:p>
    <w:p>
      <w:pPr>
        <w:pStyle w:val="a3"/>
      </w:pPr>
      <w:r>
        <w:rPr>
          <w:rFonts w:hint="eastAsia"/>
        </w:rPr>
        <w:t xml:space="preserve">戈里，M.</w:t>
      </w:r>
      <w:r>
        <w:t xml:space="preserve"> </w:t>
      </w:r>
      <w:r>
        <w:rPr>
          <w:rFonts w:hint="eastAsia"/>
        </w:rPr>
        <w:t xml:space="preserve">R.，万，T.</w:t>
      </w:r>
      <w:r>
        <w:t xml:space="preserve"> </w:t>
      </w:r>
      <w:r>
        <w:rPr>
          <w:rFonts w:hint="eastAsia"/>
        </w:rPr>
        <w:t xml:space="preserve">C.，&amp;索迪，G.</w:t>
      </w:r>
      <w:r>
        <w:t xml:space="preserve"> </w:t>
      </w:r>
      <w:r>
        <w:rPr>
          <w:rFonts w:hint="eastAsia"/>
        </w:rPr>
        <w:t xml:space="preserve">C.（2020）。蓝牙低能耗网状网络：通信与安全协议综述。传感器（巴塞尔），20(12)，3590。DOI：10.3390/s20123590</w:t>
      </w:r>
      <w:r>
        <w:t xml:space="preserve"> </w:t>
      </w:r>
      <w:r>
        <w:rPr>
          <w:rFonts w:hint="eastAsia"/>
        </w:rPr>
        <w:t xml:space="preserve">PMID：32630381</w:t>
      </w:r>
    </w:p>
    <w:p>
      <w:pPr>
        <w:pStyle w:val="a3"/>
      </w:pPr>
      <w:r>
        <w:rPr>
          <w:rFonts w:hint="eastAsia"/>
        </w:rPr>
        <w:t xml:space="preserve">侯赛因扎德，M.，库赫帕耶扎德，J.，加福尔，M.</w:t>
      </w:r>
      <w:r>
        <w:t xml:space="preserve"> </w:t>
      </w:r>
      <w:r>
        <w:rPr>
          <w:rFonts w:hint="eastAsia"/>
        </w:rPr>
        <w:t xml:space="preserve">Y.，艾哈迈德，A.</w:t>
      </w:r>
      <w:r>
        <w:t xml:space="preserve"> </w:t>
      </w:r>
      <w:r>
        <w:rPr>
          <w:rFonts w:hint="eastAsia"/>
        </w:rPr>
        <w:t xml:space="preserve">M.，阿斯加里，P.，苏里，A.，普拉萨加里，H.，&amp;雷扎普尔，A.（2023）。基于物联网中生物与行为指标的老年人健康监测系统。环境智能与人性化计算期刊，14(5)，5085–5095。DOI：10.1007/s12652-020-02579-7</w:t>
      </w:r>
    </w:p>
    <w:p>
      <w:pPr>
        <w:pStyle w:val="a3"/>
      </w:pPr>
      <w:r>
        <w:rPr>
          <w:rFonts w:hint="eastAsia"/>
        </w:rPr>
        <w:t xml:space="preserve">伊萨，I.</w:t>
      </w:r>
      <w:r>
        <w:t xml:space="preserve"> G. </w:t>
      </w:r>
      <w:r>
        <w:rPr>
          <w:rFonts w:hint="eastAsia"/>
        </w:rPr>
        <w:t xml:space="preserve">T.，阿玛鲁拉，M.</w:t>
      </w:r>
      <w:r>
        <w:t xml:space="preserve"> </w:t>
      </w:r>
      <w:r>
        <w:rPr>
          <w:rFonts w:hint="eastAsia"/>
        </w:rPr>
        <w:t xml:space="preserve">I.，埃芬迪，A.，努格罗霍，Y.</w:t>
      </w:r>
      <w:r>
        <w:t xml:space="preserve"> </w:t>
      </w:r>
      <w:r>
        <w:rPr>
          <w:rFonts w:hint="eastAsia"/>
        </w:rPr>
        <w:t xml:space="preserve">S.，纳斯鲁拉，H.，&amp;萨里，M.</w:t>
      </w:r>
      <w:r>
        <w:t xml:space="preserve"> </w:t>
      </w:r>
      <w:r>
        <w:rPr>
          <w:rFonts w:hint="eastAsia"/>
        </w:rPr>
        <w:t xml:space="preserve">P.（2024）。利用模糊规则和物联网构建老年人健康监测系统。AIP进展，14(5)，055317。DOI：10.1063/5.0195107</w:t>
      </w:r>
    </w:p>
    <w:p>
      <w:pPr>
        <w:pStyle w:val="a3"/>
      </w:pPr>
      <w:r>
        <w:rPr>
          <w:rFonts w:hint="eastAsia"/>
        </w:rPr>
        <w:t xml:space="preserve">乔舒亚，T.（2023）。一种使用加盐哈希函数进行学生考试成绩验证的安全模型。（博士论文，坎帕拉国际大学）。</w:t>
      </w:r>
    </w:p>
    <w:p>
      <w:pPr>
        <w:pStyle w:val="a3"/>
      </w:pPr>
      <w:r>
        <w:t xml:space="preserve">Khan, M. A., Asad, B., Vaimann, T., Kallaste, A., Pomarnacki,</w:t>
      </w:r>
      <w:r>
        <w:t xml:space="preserve"> </w:t>
      </w:r>
      <w:r>
        <w:rPr>
          <w:rFonts w:hint="eastAsia"/>
        </w:rPr>
        <w:t xml:space="preserve">R.，&amp;</w:t>
      </w:r>
      <w:r>
        <w:t xml:space="preserve"> Hyunh, V. </w:t>
      </w:r>
      <w:r>
        <w:rPr>
          <w:rFonts w:hint="eastAsia"/>
        </w:rPr>
        <w:t xml:space="preserve">K.(2023)。利用VA</w:t>
      </w:r>
      <w:r>
        <w:t xml:space="preserve"> </w:t>
      </w:r>
      <w:r>
        <w:rPr>
          <w:rFonts w:hint="eastAsia"/>
        </w:rPr>
        <w:t xml:space="preserve">E生成的合成数据和机器学习算法改进电力传输网络中的故障分类与定位。Machines(Basel),</w:t>
      </w:r>
      <w:r>
        <w:t xml:space="preserve"> </w:t>
      </w:r>
      <w:r>
        <w:t xml:space="preserve">11(10), 963。DOI: 10.3390/machines11100963</w:t>
      </w:r>
    </w:p>
    <w:p>
      <w:pPr>
        <w:pStyle w:val="a3"/>
      </w:pPr>
      <w:r>
        <w:t xml:space="preserve">Khrij i, S., Benbelgacem, Y., Chéour, R., Houssaini, D. E.,&amp;</w:t>
      </w:r>
      <w:r>
        <w:t xml:space="preserve"> </w:t>
      </w:r>
      <w:r>
        <w:t xml:space="preserve">Kanoun,</w:t>
      </w:r>
      <w:r>
        <w:t xml:space="preserve"> </w:t>
      </w:r>
      <w:r>
        <w:rPr>
          <w:rFonts w:hint="eastAsia"/>
        </w:rPr>
        <w:t xml:space="preserve">O.(2022)。基于云的事件驱动架构的设计与实现：用于无线传感器网络中的实时数据处理。超级计算杂志，78(3)，3374–3401。DOI:10.1007/s11227-021-03955-6</w:t>
      </w:r>
    </w:p>
    <w:p>
      <w:pPr>
        <w:pStyle w:val="a3"/>
      </w:pPr>
      <w:r>
        <w:t xml:space="preserve">Krzywdzinski, M., Evers, M.&amp; Gerber,</w:t>
      </w:r>
      <w:r>
        <w:t xml:space="preserve"> </w:t>
      </w:r>
      <w:r>
        <w:rPr>
          <w:rFonts w:hint="eastAsia"/>
        </w:rPr>
        <w:t xml:space="preserve">C.(2024).控制与灵活性：可穿戴设备在资本密集型和劳动密集型工作流程中的应用。工业与劳工关系评论，77(4)，506–534。DOI：10.1177/00197939241258206</w:t>
      </w:r>
    </w:p>
    <w:p>
      <w:pPr>
        <w:pStyle w:val="a3"/>
      </w:pPr>
      <w:r>
        <w:rPr>
          <w:rFonts w:hint="eastAsia"/>
        </w:rPr>
        <w:t xml:space="preserve">穆罕默德，M.</w:t>
      </w:r>
      <w:r>
        <w:t xml:space="preserve"> </w:t>
      </w:r>
      <w:r>
        <w:rPr>
          <w:rFonts w:hint="eastAsia"/>
        </w:rPr>
        <w:t xml:space="preserve">N.，德西亚萨，S.</w:t>
      </w:r>
      <w:r>
        <w:t xml:space="preserve"> </w:t>
      </w:r>
      <w:r>
        <w:rPr>
          <w:rFonts w:hint="eastAsia"/>
        </w:rPr>
        <w:t xml:space="preserve">F.，阿尔-祖拜迪，S.，&amp;尤苏夫，E.（2020）。基于物联网的智能家居及医疗健康监测与管理系统。物理学期刊：会议系列，1450(1)，012079。DOI：10.1088/1742-6596/1450/1/012079</w:t>
      </w:r>
    </w:p>
    <w:p>
      <w:pPr>
        <w:pStyle w:val="a3"/>
      </w:pPr>
      <w:r>
        <w:rPr>
          <w:rFonts w:hint="eastAsia"/>
        </w:rPr>
        <w:t xml:space="preserve">莫拉莱斯-卡波拉尔，R.，雷耶斯-加拉维兹，A.</w:t>
      </w:r>
      <w:r>
        <w:t xml:space="preserve"> </w:t>
      </w:r>
      <w:r>
        <w:rPr>
          <w:rFonts w:hint="eastAsia"/>
        </w:rPr>
        <w:t xml:space="preserve">S.，卡斯科-瓦斯克斯，J.</w:t>
      </w:r>
      <w:r>
        <w:t xml:space="preserve"> </w:t>
      </w:r>
      <w:r>
        <w:rPr>
          <w:rFonts w:hint="eastAsia"/>
        </w:rPr>
        <w:t xml:space="preserve">F.，&amp;马丁内斯-埃尔南德斯，</w:t>
      </w:r>
      <w:r>
        <w:t xml:space="preserve"> H.</w:t>
      </w:r>
      <w:r>
        <w:t xml:space="preserve"> </w:t>
      </w:r>
      <w:r>
        <w:rPr>
          <w:rFonts w:hint="eastAsia"/>
        </w:rPr>
        <w:t xml:space="preserve">P.（2020）。基于Wi-Fi技术的继电器开关的开发与实现。载于第17届电气工程、计算机科学与自动控制国际会议（第1–6页）。IEEE。DOI：10.1109/CCE50788.2020.9299142</w:t>
      </w:r>
    </w:p>
    <w:p>
      <w:pPr>
        <w:pStyle w:val="a3"/>
      </w:pPr>
      <w:r>
        <w:rPr>
          <w:rFonts w:hint="eastAsia"/>
        </w:rPr>
        <w:t xml:space="preserve">纳格，A.，哈桑，M.</w:t>
      </w:r>
      <w:r>
        <w:t xml:space="preserve"> </w:t>
      </w:r>
      <w:r>
        <w:rPr>
          <w:rFonts w:hint="eastAsia"/>
        </w:rPr>
        <w:t xml:space="preserve">M.，达斯，A.，辛哈，A.，钱德，N.，卡尔，A.，夏尔马，V.，&amp;阿尔卡亚特，A.（2024）。探索物联网在云计算范式中的应用与安全威胁：一项关于物联云的综合研究。新兴电信技术交易，35(4)，e4897。DOI：10.1002/ett.4897</w:t>
      </w:r>
    </w:p>
    <w:p>
      <w:pPr>
        <w:pStyle w:val="a3"/>
      </w:pPr>
      <w:r>
        <w:rPr>
          <w:rFonts w:hint="eastAsia"/>
        </w:rPr>
        <w:t xml:space="preserve">奥莱森，M.</w:t>
      </w:r>
      <w:r>
        <w:t xml:space="preserve"> </w:t>
      </w:r>
      <w:r>
        <w:rPr>
          <w:rFonts w:hint="eastAsia"/>
        </w:rPr>
        <w:t xml:space="preserve">H.，昂萨格，L.</w:t>
      </w:r>
      <w:r>
        <w:t xml:space="preserve"> F. </w:t>
      </w:r>
      <w:r>
        <w:rPr>
          <w:rFonts w:hint="eastAsia"/>
        </w:rPr>
        <w:t xml:space="preserve">S.，伦德雷姆，N.，&amp;托内森，J.</w:t>
      </w:r>
      <w:r>
        <w:t xml:space="preserve"> </w:t>
      </w:r>
      <w:r>
        <w:rPr>
          <w:rFonts w:hint="eastAsia"/>
        </w:rPr>
        <w:t xml:space="preserve">H.（2023）。蜂窝物联网资产追踪器（学士论文，挪威科技大学）。DOI：10.1136/bmj.f5880</w:t>
      </w:r>
    </w:p>
    <w:p>
      <w:pPr>
        <w:pStyle w:val="a3"/>
      </w:pPr>
      <w:r>
        <w:rPr>
          <w:rFonts w:hint="eastAsia"/>
        </w:rPr>
        <w:t xml:space="preserve">潘德伊，A.，&amp;阿斯卡雷塔，J.（2025）。用于多通道语音增强的超低计算复杂度频谱掩蔽。ICASSP</w:t>
      </w:r>
      <w:r>
        <w:t xml:space="preserve"> </w:t>
      </w:r>
      <w:r>
        <w:t xml:space="preserve">2025-2025</w:t>
      </w:r>
      <w:r>
        <w:t xml:space="preserve"> </w:t>
      </w:r>
      <w:r>
        <w:rPr>
          <w:rFonts w:hint="eastAsia"/>
        </w:rPr>
        <w:t xml:space="preserve">IEEE国际声学、语音与信号处理会议，1–5。DOI：10.1109/ICASSP49660.2025.10890512</w:t>
      </w:r>
    </w:p>
    <w:p>
      <w:pPr>
        <w:pStyle w:val="a3"/>
      </w:pPr>
      <w:r>
        <w:rPr>
          <w:rFonts w:hint="eastAsia"/>
        </w:rPr>
        <w:t xml:space="preserve">齐，P.，基亚罗，D.，古佐，A.，伊安尼，M.，福蒂诺，G.，&amp;皮恰利，F.（2024）。联邦学习中的模型聚合技术：全面综述。未来计算系统，150，272–293。DOI：10.1016/j.future.2023.09.008</w:t>
      </w:r>
    </w:p>
    <w:p>
      <w:pPr>
        <w:pStyle w:val="a3"/>
      </w:pPr>
      <w:r>
        <w:rPr>
          <w:rFonts w:hint="eastAsia"/>
        </w:rPr>
        <w:t xml:space="preserve">国际医疗信息系统与信息学第杂20志卷</w:t>
      </w:r>
      <w:r>
        <w:t xml:space="preserve"> </w:t>
      </w:r>
      <w:r>
        <w:rPr>
          <w:rFonts w:hint="eastAsia"/>
        </w:rPr>
        <w:t xml:space="preserve">•第1期</w:t>
      </w:r>
      <w:r>
        <w:t xml:space="preserve"> • </w:t>
      </w:r>
      <w:r>
        <w:rPr>
          <w:rFonts w:hint="eastAsia"/>
        </w:rPr>
        <w:t xml:space="preserve">2025年1月至12月</w:t>
      </w:r>
    </w:p>
    <w:p>
      <w:pPr>
        <w:pStyle w:val="a3"/>
      </w:pPr>
      <w:r>
        <w:rPr>
          <w:rFonts w:hint="eastAsia"/>
        </w:rPr>
        <w:t xml:space="preserve">雷，P.</w:t>
      </w:r>
      <w:r>
        <w:t xml:space="preserve"> </w:t>
      </w:r>
      <w:r>
        <w:rPr>
          <w:rFonts w:hint="eastAsia"/>
        </w:rPr>
        <w:t xml:space="preserve">P.，达什，D.，&amp;库马尔，N.（2020）。用于医疗物联网的传感器：现状、安全与隐私问题、挑战及未来方向。计算机通信，160，111–131。DOI：10.1016/j.comcom.2020.05.029</w:t>
      </w:r>
    </w:p>
    <w:p>
      <w:pPr>
        <w:pStyle w:val="a3"/>
      </w:pPr>
      <w:r>
        <w:rPr>
          <w:rFonts w:hint="eastAsia"/>
        </w:rPr>
        <w:t xml:space="preserve">萨勒姆，M.，埃尔卡西尔，A.，埃尔-马达，I.</w:t>
      </w:r>
      <w:r>
        <w:t xml:space="preserve"> </w:t>
      </w:r>
      <w:r>
        <w:rPr>
          <w:rFonts w:hint="eastAsia"/>
        </w:rPr>
        <w:t xml:space="preserve">A.，优素福，K.</w:t>
      </w:r>
      <w:r>
        <w:t xml:space="preserve"> </w:t>
      </w:r>
      <w:r>
        <w:rPr>
          <w:rFonts w:hint="eastAsia"/>
        </w:rPr>
        <w:t xml:space="preserve">Y.，肖尔茨，S.</w:t>
      </w:r>
      <w:r>
        <w:t xml:space="preserve"> </w:t>
      </w:r>
      <w:r>
        <w:rPr>
          <w:rFonts w:hint="eastAsia"/>
        </w:rPr>
        <w:t xml:space="preserve">G.，&amp;穆罕默德，H.</w:t>
      </w:r>
      <w:r>
        <w:t xml:space="preserve"> </w:t>
      </w:r>
      <w:r>
        <w:rPr>
          <w:rFonts w:hint="eastAsia"/>
        </w:rPr>
        <w:t xml:space="preserve">K.（2022）。用于人体生命体征监测的非侵入式数据采集与物联网解决方案：应用、局限性及未来展望。传感器（巴塞尔），22(17)，6625。DOI：10.3390/s22176625</w:t>
      </w:r>
      <w:r>
        <w:t xml:space="preserve"> </w:t>
      </w:r>
      <w:r>
        <w:rPr>
          <w:rFonts w:hint="eastAsia"/>
        </w:rPr>
        <w:t xml:space="preserve">PMID：36081081</w:t>
      </w:r>
    </w:p>
    <w:p>
      <w:pPr>
        <w:pStyle w:val="a3"/>
      </w:pPr>
      <w:r>
        <w:rPr>
          <w:rFonts w:hint="eastAsia"/>
        </w:rPr>
        <w:t xml:space="preserve">唐，V.，蔡，K.</w:t>
      </w:r>
      <w:r>
        <w:t xml:space="preserve"> </w:t>
      </w:r>
      <w:r>
        <w:rPr>
          <w:rFonts w:hint="eastAsia"/>
        </w:rPr>
        <w:t xml:space="preserve">L.，何，G.</w:t>
      </w:r>
      <w:r>
        <w:t xml:space="preserve"> </w:t>
      </w:r>
      <w:r>
        <w:rPr>
          <w:rFonts w:hint="eastAsia"/>
        </w:rPr>
        <w:t xml:space="preserve">T.，林，H.</w:t>
      </w:r>
      <w:r>
        <w:t xml:space="preserve"> </w:t>
      </w:r>
      <w:r>
        <w:rPr>
          <w:rFonts w:hint="eastAsia"/>
        </w:rPr>
        <w:t xml:space="preserve">Y.，&amp;曾，Y.</w:t>
      </w:r>
      <w:r>
        <w:t xml:space="preserve"> </w:t>
      </w:r>
      <w:r>
        <w:rPr>
          <w:rFonts w:hint="eastAsia"/>
        </w:rPr>
        <w:t xml:space="preserve">P.（2019）。基于IoMT的老年护理管理系统，用于实现养老院的智慧健康。工业管理与数据系统，119(8)，1819–1840。DOI：10.1108/IMDS-01-2019-0024</w:t>
      </w:r>
    </w:p>
    <w:p>
      <w:pPr>
        <w:pStyle w:val="a3"/>
      </w:pPr>
      <w:r>
        <w:rPr>
          <w:rFonts w:hint="eastAsia"/>
        </w:rPr>
        <w:t xml:space="preserve">王，F.，张，M.，王，X.，马，X.，&amp;刘，J.（2020）。面向边缘计算应用的深度学习：一项最新综述。</w:t>
      </w:r>
      <w:r>
        <w:t xml:space="preserve"> </w:t>
      </w:r>
      <w:r>
        <w:rPr>
          <w:rFonts w:hint="eastAsia"/>
        </w:rPr>
        <w:t xml:space="preserve">IEEE访问：实用创新、开放解决方案，8，58322–58336。DOI：10.1109/ACCESS.2020.2982411</w:t>
      </w:r>
    </w:p>
    <w:p>
      <w:pPr>
        <w:pStyle w:val="a3"/>
      </w:pPr>
      <w:r>
        <w:rPr>
          <w:rFonts w:hint="eastAsia"/>
        </w:rPr>
        <w:t xml:space="preserve">王，H.，陈，H.，&amp;王，Y.（2024）。全球智慧养老研究热点分析——1997–2021年。中国疾病预防控制中心周报，6(9)，157–161。DOI：10.46234/ccdcw2024.032</w:t>
      </w:r>
      <w:r>
        <w:t xml:space="preserve"> </w:t>
      </w:r>
      <w:r>
        <w:rPr>
          <w:rFonts w:hint="eastAsia"/>
        </w:rPr>
        <w:t xml:space="preserve">PMID：38495592</w:t>
      </w:r>
    </w:p>
    <w:p>
      <w:pPr>
        <w:pStyle w:val="a3"/>
      </w:pPr>
      <w:r>
        <w:rPr>
          <w:rFonts w:hint="eastAsia"/>
        </w:rPr>
        <w:t xml:space="preserve">王，Q.（2022）。基于计算机物联网的智能医疗系统，用于老年痴呆症患者的居家护理。无线通信与移动计算，2022(1)，1374835。DOI：10.1155/2022/1374835</w:t>
      </w:r>
    </w:p>
    <w:p>
      <w:pPr>
        <w:pStyle w:val="a3"/>
      </w:pPr>
      <w:r>
        <w:rPr>
          <w:rFonts w:hint="eastAsia"/>
        </w:rPr>
        <w:t xml:space="preserve">杨，C.，王，W.，李，F.，&amp;杨，D.（2022）。一种面向养老院的可持续、交互式老年人医疗保健系统：一项跨学科设计。可持续性（巴塞尔），14(7)，4204。DOI：10.3390/su14074204</w:t>
      </w:r>
    </w:p>
    <w:p>
      <w:pPr>
        <w:pStyle w:val="a3"/>
      </w:pPr>
      <w:r>
        <w:rPr>
          <w:rFonts w:hint="eastAsia"/>
        </w:rPr>
        <w:t xml:space="preserve">张，A.（2024）。老龄化社会背景下银发体育经济的前景分析与创新路径研究。生态人文期刊，3(6)，1391–1411。DOI：10.62754/joe.v3i6.4120</w:t>
      </w:r>
    </w:p>
    <w:p>
      <w:pPr>
        <w:pStyle w:val="a3"/>
      </w:pPr>
      <w:r>
        <w:rPr>
          <w:rFonts w:hint="eastAsia"/>
        </w:rPr>
        <w:t xml:space="preserve">祖尼诺，C.，切纳，G.，桑齐奥，S.，&amp;瓦伦扎诺，A.（2023）。自适应无缝冗余以实现高度可靠的MQ</w:t>
      </w:r>
      <w:r>
        <w:t xml:space="preserve"> </w:t>
      </w:r>
      <w:r>
        <w:rPr>
          <w:rFonts w:hint="eastAsia"/>
        </w:rPr>
        <w:t xml:space="preserve">TT通信。IEEE工业信息学汇刊，20(1)，984–994。DOI：10.1109/TII.2023.3271708</w:t>
      </w:r>
    </w:p>
    <w:bookmarkEnd w:id="57"/>
    <w:sectPr w:rsidR="00E00BC5" w:rsidSect="00CC1AC3">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41B4EF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12667864"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6"/>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A4446"/>
    <w:rsid w:val="000512B1"/>
    <w:rsid w:val="00073F66"/>
    <w:rsid w:val="000B733D"/>
    <w:rsid w:val="00196714"/>
    <w:rsid w:val="001B4CA2"/>
    <w:rsid w:val="00300353"/>
    <w:rsid w:val="00344DEC"/>
    <w:rsid w:val="00361010"/>
    <w:rsid w:val="003866BD"/>
    <w:rsid w:val="003A4446"/>
    <w:rsid w:val="00416201"/>
    <w:rsid w:val="00456713"/>
    <w:rsid w:val="00501D86"/>
    <w:rsid w:val="00776213"/>
    <w:rsid w:val="008325FA"/>
    <w:rsid w:val="00865299"/>
    <w:rsid w:val="009E2D5F"/>
    <w:rsid w:val="009E51D7"/>
    <w:rsid w:val="009E6DC0"/>
    <w:rsid w:val="00A43B9F"/>
    <w:rsid w:val="00C33D41"/>
    <w:rsid w:val="00C948F4"/>
    <w:rsid w:val="00CC1AC3"/>
    <w:rsid w:val="00D2244C"/>
    <w:rsid w:val="00D66784"/>
    <w:rsid w:val="00DB3F2C"/>
    <w:rsid w:val="00E00BC5"/>
    <w:rsid w:val="00E610A6"/>
    <w:rsid w:val="00E65E9C"/>
    <w:rsid w:val="00EA37B4"/>
    <w:rsid w:val="00EF1A04"/>
    <w:rsid w:val="00FA0E33"/>
    <w:rsid w:val="00FB344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0" w:defUnhideWhenUsed="0">
    <w:lsdException w:name="caption" w:qFormat="1" w:uiPriority="35"/>
    <w:lsdException w:name="Title" w:uiPriority="10"/>
    <w:lsdException w:name="Subtitle" w:uiPriority="11"/>
    <w:lsdException w:name="Strong" w:qFormat="1" w:uiPriority="22"/>
    <w:lsdException w:name="Emphasis" w:qFormat="1"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DB3F2C"/>
    <w:pPr>
      <w:spacing w:after="180" w:line="274" w:lineRule="auto"/>
    </w:pPr>
  </w:style>
  <w:style w:styleId="1" w:type="paragraph">
    <w:name w:val="heading 1"/>
    <w:basedOn w:val="a"/>
    <w:next w:val="a"/>
    <w:link w:val="10"/>
    <w:uiPriority w:val="9"/>
    <w:qFormat/>
    <w:rsid w:val="00DB3F2C"/>
    <w:pPr>
      <w:keepNext/>
      <w:keepLines/>
      <w:spacing w:after="0" w:before="360" w:line="240" w:lineRule="auto"/>
      <w:outlineLvl w:val="0"/>
    </w:pPr>
    <w:rPr>
      <w:rFonts w:asciiTheme="majorHAnsi" w:cstheme="majorBidi" w:eastAsiaTheme="majorEastAsia" w:hAnsiTheme="majorHAnsi"/>
      <w:bCs/>
      <w:color w:themeColor="text2" w:val="44546A"/>
      <w:sz w:val="32"/>
      <w:szCs w:val="28"/>
    </w:rPr>
  </w:style>
  <w:style w:styleId="2" w:type="paragraph">
    <w:name w:val="heading 2"/>
    <w:basedOn w:val="a"/>
    <w:next w:val="a"/>
    <w:link w:val="20"/>
    <w:uiPriority w:val="9"/>
    <w:unhideWhenUsed/>
    <w:qFormat/>
    <w:rsid w:val="00DB3F2C"/>
    <w:pPr>
      <w:keepNext/>
      <w:keepLines/>
      <w:spacing w:after="0" w:before="120" w:line="240" w:lineRule="auto"/>
      <w:outlineLvl w:val="1"/>
    </w:pPr>
    <w:rPr>
      <w:rFonts w:asciiTheme="majorHAnsi" w:cstheme="majorBidi" w:eastAsiaTheme="majorEastAsia" w:hAnsiTheme="majorHAnsi"/>
      <w:b/>
      <w:bCs/>
      <w:color w:themeColor="accent3" w:val="A5A5A5"/>
      <w:sz w:val="28"/>
      <w:szCs w:val="26"/>
    </w:rPr>
  </w:style>
  <w:style w:styleId="3" w:type="paragraph">
    <w:name w:val="heading 3"/>
    <w:basedOn w:val="a"/>
    <w:next w:val="a"/>
    <w:link w:val="30"/>
    <w:uiPriority w:val="9"/>
    <w:unhideWhenUsed/>
    <w:qFormat/>
    <w:rsid w:val="00DB3F2C"/>
    <w:pPr>
      <w:keepNext/>
      <w:keepLines/>
      <w:spacing w:after="0" w:before="20" w:line="240" w:lineRule="auto"/>
      <w:outlineLvl w:val="2"/>
    </w:pPr>
    <w:rPr>
      <w:rFonts w:cstheme="majorBidi" w:eastAsiaTheme="majorEastAsia"/>
      <w:b/>
      <w:bCs/>
      <w:color w:themeColor="text2" w:val="44546A"/>
      <w:sz w:val="24"/>
    </w:rPr>
  </w:style>
  <w:style w:styleId="4" w:type="paragraph">
    <w:name w:val="heading 4"/>
    <w:basedOn w:val="a"/>
    <w:next w:val="a"/>
    <w:link w:val="40"/>
    <w:uiPriority w:val="9"/>
    <w:unhideWhenUsed/>
    <w:qFormat/>
    <w:rsid w:val="00DB3F2C"/>
    <w:pPr>
      <w:keepNext/>
      <w:keepLines/>
      <w:spacing w:after="0" w:before="200"/>
      <w:outlineLvl w:val="3"/>
    </w:pPr>
    <w:rPr>
      <w:rFonts w:asciiTheme="majorHAnsi" w:cstheme="majorBidi" w:eastAsiaTheme="majorEastAsia" w:hAnsiTheme="majorHAnsi"/>
      <w:b/>
      <w:bCs/>
      <w:i/>
      <w:iCs/>
      <w:color w:themeColor="text1" w:themeTint="D9" w:val="262626"/>
    </w:rPr>
  </w:style>
  <w:style w:styleId="5" w:type="paragraph">
    <w:name w:val="heading 5"/>
    <w:basedOn w:val="a"/>
    <w:next w:val="a"/>
    <w:link w:val="50"/>
    <w:uiPriority w:val="9"/>
    <w:unhideWhenUsed/>
    <w:qFormat/>
    <w:rsid w:val="00DB3F2C"/>
    <w:pPr>
      <w:keepNext/>
      <w:keepLines/>
      <w:spacing w:after="0" w:before="200"/>
      <w:outlineLvl w:val="4"/>
    </w:pPr>
    <w:rPr>
      <w:rFonts w:asciiTheme="majorHAnsi" w:cstheme="majorBidi" w:eastAsiaTheme="majorEastAsia" w:hAnsiTheme="majorHAnsi"/>
      <w:color w:val="000000"/>
    </w:rPr>
  </w:style>
  <w:style w:styleId="6" w:type="paragraph">
    <w:name w:val="heading 6"/>
    <w:basedOn w:val="a"/>
    <w:next w:val="a"/>
    <w:link w:val="60"/>
    <w:uiPriority w:val="9"/>
    <w:unhideWhenUsed/>
    <w:qFormat/>
    <w:rsid w:val="00DB3F2C"/>
    <w:pPr>
      <w:keepNext/>
      <w:keepLines/>
      <w:spacing w:after="0" w:before="200"/>
      <w:outlineLvl w:val="5"/>
    </w:pPr>
    <w:rPr>
      <w:rFonts w:asciiTheme="majorHAnsi" w:cstheme="majorBidi" w:eastAsiaTheme="majorEastAsia" w:hAnsiTheme="majorHAnsi"/>
      <w:i/>
      <w:iCs/>
      <w:color w:themeColor="text1" w:val="000000"/>
    </w:rPr>
  </w:style>
  <w:style w:styleId="7" w:type="paragraph">
    <w:name w:val="heading 7"/>
    <w:basedOn w:val="a"/>
    <w:next w:val="a"/>
    <w:link w:val="70"/>
    <w:uiPriority w:val="9"/>
    <w:unhideWhenUsed/>
    <w:qFormat/>
    <w:rsid w:val="00DB3F2C"/>
    <w:pPr>
      <w:keepNext/>
      <w:keepLines/>
      <w:spacing w:after="0" w:before="200"/>
      <w:outlineLvl w:val="6"/>
    </w:pPr>
    <w:rPr>
      <w:rFonts w:asciiTheme="majorHAnsi" w:cstheme="majorBidi" w:eastAsiaTheme="majorEastAsia" w:hAnsiTheme="majorHAnsi"/>
      <w:i/>
      <w:iCs/>
      <w:color w:themeColor="text2" w:val="44546A"/>
    </w:rPr>
  </w:style>
  <w:style w:styleId="8" w:type="paragraph">
    <w:name w:val="heading 8"/>
    <w:basedOn w:val="a"/>
    <w:next w:val="a"/>
    <w:link w:val="80"/>
    <w:uiPriority w:val="9"/>
    <w:unhideWhenUsed/>
    <w:qFormat/>
    <w:rsid w:val="00DB3F2C"/>
    <w:pPr>
      <w:keepNext/>
      <w:keepLines/>
      <w:spacing w:after="0" w:before="200"/>
      <w:outlineLvl w:val="7"/>
    </w:pPr>
    <w:rPr>
      <w:rFonts w:asciiTheme="majorHAnsi" w:cstheme="majorBidi" w:eastAsiaTheme="majorEastAsia" w:hAnsiTheme="majorHAnsi"/>
      <w:color w:val="000000"/>
      <w:sz w:val="20"/>
      <w:szCs w:val="20"/>
    </w:rPr>
  </w:style>
  <w:style w:styleId="9" w:type="paragraph">
    <w:name w:val="heading 9"/>
    <w:basedOn w:val="a"/>
    <w:next w:val="a"/>
    <w:link w:val="90"/>
    <w:uiPriority w:val="9"/>
    <w:unhideWhenUsed/>
    <w:qFormat/>
    <w:rsid w:val="00DB3F2C"/>
    <w:pPr>
      <w:keepNext/>
      <w:keepLines/>
      <w:spacing w:after="0" w:before="200"/>
      <w:outlineLvl w:val="8"/>
    </w:pPr>
    <w:rPr>
      <w:rFonts w:asciiTheme="majorHAnsi" w:cstheme="majorBidi" w:eastAsiaTheme="majorEastAsia" w:hAnsiTheme="majorHAnsi"/>
      <w:i/>
      <w:iCs/>
      <w:color w:val="000000"/>
      <w:sz w:val="20"/>
      <w:szCs w:val="20"/>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Body Text"/>
    <w:basedOn w:val="a4"/>
    <w:link w:val="a5"/>
    <w:qFormat/>
    <w:rsid w:val="00A43B9F"/>
    <w:pPr>
      <w:spacing w:before="180"/>
      <w:ind w:firstLine="200"/>
    </w:pPr>
  </w:style>
  <w:style w:customStyle="1" w:styleId="FirstParagraph" w:type="paragraph">
    <w:name w:val="First Paragraph"/>
    <w:basedOn w:val="a3"/>
    <w:next w:val="a3"/>
    <w:qFormat/>
    <w:rsid w:val="00A43B9F"/>
  </w:style>
  <w:style w:customStyle="1" w:styleId="Compact" w:type="paragraph">
    <w:name w:val="Compact"/>
    <w:basedOn w:val="a3"/>
    <w:qFormat/>
    <w:pPr>
      <w:spacing w:after="36" w:before="36"/>
      <w:ind w:firstLine="0" w:firstLineChars="0"/>
    </w:pPr>
  </w:style>
  <w:style w:styleId="a6" w:type="paragraph">
    <w:name w:val="Title"/>
    <w:basedOn w:val="a"/>
    <w:next w:val="a"/>
    <w:link w:val="a7"/>
    <w:uiPriority w:val="10"/>
    <w:qFormat/>
    <w:rsid w:val="00DB3F2C"/>
    <w:pPr>
      <w:spacing w:after="120" w:line="240" w:lineRule="auto"/>
      <w:contextualSpacing/>
    </w:pPr>
    <w:rPr>
      <w:rFonts w:asciiTheme="majorHAnsi" w:cstheme="majorBidi" w:eastAsiaTheme="majorEastAsia" w:hAnsiTheme="majorHAnsi"/>
      <w:color w:themeColor="text2" w:val="44546A"/>
      <w:spacing w:val="30"/>
      <w:kern w:val="28"/>
      <w:sz w:val="72"/>
      <w:szCs w:val="52"/>
    </w:rPr>
  </w:style>
  <w:style w:styleId="a8" w:type="paragraph">
    <w:name w:val="Subtitle"/>
    <w:basedOn w:val="a"/>
    <w:next w:val="a"/>
    <w:link w:val="a9"/>
    <w:uiPriority w:val="11"/>
    <w:qFormat/>
    <w:rsid w:val="00DB3F2C"/>
    <w:pPr>
      <w:numPr>
        <w:ilvl w:val="1"/>
      </w:numPr>
    </w:pPr>
    <w:rPr>
      <w:rFonts w:cstheme="majorBidi" w:eastAsiaTheme="majorEastAsia"/>
      <w:iCs/>
      <w:color w:themeColor="text2" w:themeTint="E6" w:val="50637D"/>
      <w:sz w:val="32"/>
      <w:szCs w:val="24"/>
    </w:rPr>
  </w:style>
  <w:style w:customStyle="1" w:styleId="Author" w:type="paragraph">
    <w:name w:val="Author"/>
    <w:next w:val="a3"/>
    <w:qFormat/>
    <w:pPr>
      <w:keepNext/>
      <w:keepLines/>
      <w:jc w:val="center"/>
    </w:pPr>
  </w:style>
  <w:style w:styleId="aa" w:type="paragraph">
    <w:name w:val="Date"/>
    <w:next w:val="a3"/>
    <w:qFormat/>
    <w:pPr>
      <w:keepNext/>
      <w:keepLines/>
      <w:jc w:val="center"/>
    </w:pPr>
  </w:style>
  <w:style w:customStyle="1" w:styleId="AbstractTitle" w:type="paragraph">
    <w:name w:val="Abstract Title"/>
    <w:basedOn w:val="a"/>
    <w:next w:val="Abstract"/>
    <w:pPr>
      <w:keepNext/>
      <w:keepLines/>
      <w:spacing w:after="0" w:before="300"/>
      <w:jc w:val="center"/>
    </w:pPr>
    <w:rPr>
      <w:b/>
      <w:color w:val="345A8A"/>
      <w:sz w:val="20"/>
      <w:szCs w:val="20"/>
    </w:rPr>
  </w:style>
  <w:style w:customStyle="1" w:styleId="Abstract" w:type="paragraph">
    <w:name w:val="Abstract"/>
    <w:basedOn w:val="a"/>
    <w:next w:val="a3"/>
    <w:qFormat/>
    <w:pPr>
      <w:keepNext/>
      <w:keepLines/>
      <w:spacing w:after="300" w:before="100"/>
    </w:pPr>
    <w:rPr>
      <w:sz w:val="20"/>
      <w:szCs w:val="20"/>
    </w:rPr>
  </w:style>
  <w:style w:styleId="ab" w:type="paragraph">
    <w:name w:val="Bibliography"/>
    <w:basedOn w:val="a"/>
  </w:style>
  <w:style w:styleId="ac" w:type="paragraph">
    <w:name w:val="Block Text"/>
    <w:basedOn w:val="a3"/>
    <w:next w:val="a3"/>
    <w:uiPriority w:val="9"/>
    <w:unhideWhenUsed/>
    <w:qFormat/>
    <w:rsid w:val="009E2D5F"/>
    <w:pPr>
      <w:keepLines/>
      <w:pageBreakBefore/>
      <w:spacing w:after="100" w:before="100"/>
      <w:ind w:firstLine="0" w:firstLineChars="0" w:left="482" w:right="482"/>
    </w:pPr>
  </w:style>
  <w:style w:styleId="ad" w:type="paragraph">
    <w:name w:val="footnote text"/>
    <w:basedOn w:val="a"/>
    <w:uiPriority w:val="9"/>
    <w:unhideWhenUsed/>
    <w:qFormat/>
  </w:style>
  <w:style w:customStyle="1" w:styleId="Table" w:type="table">
    <w:name w:val="Table"/>
    <w:semiHidden/>
    <w:unhideWhenUsed/>
    <w:qFormat/>
    <w:rsid w:val="00C948F4"/>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e" w:type="paragraph">
    <w:name w:val="caption"/>
    <w:basedOn w:val="a"/>
    <w:next w:val="a"/>
    <w:link w:val="af"/>
    <w:uiPriority w:val="35"/>
    <w:unhideWhenUsed/>
    <w:qFormat/>
    <w:rsid w:val="00DB3F2C"/>
    <w:pPr>
      <w:spacing w:line="240" w:lineRule="auto"/>
    </w:pPr>
    <w:rPr>
      <w:b/>
      <w:bCs/>
      <w:smallCaps/>
      <w:color w:themeColor="text2" w:val="44546A"/>
      <w:spacing w:val="6"/>
      <w:szCs w:val="18"/>
    </w:rPr>
  </w:style>
  <w:style w:customStyle="1" w:styleId="TableCaption" w:type="paragraph">
    <w:name w:val="Table Caption"/>
    <w:basedOn w:val="ae"/>
    <w:pPr>
      <w:keepNext/>
    </w:pPr>
  </w:style>
  <w:style w:customStyle="1" w:styleId="ImageCaption" w:type="paragraph">
    <w:name w:val="Image Caption"/>
    <w:basedOn w:val="ae"/>
  </w:style>
  <w:style w:customStyle="1" w:styleId="Figure" w:type="paragraph">
    <w:name w:val="Figure"/>
    <w:basedOn w:val="a"/>
  </w:style>
  <w:style w:customStyle="1" w:styleId="CaptionedFigure" w:type="paragraph">
    <w:name w:val="Captioned Figure"/>
    <w:basedOn w:val="Figure"/>
    <w:pPr>
      <w:keepNext/>
    </w:pPr>
  </w:style>
  <w:style w:customStyle="1" w:styleId="af" w:type="character">
    <w:name w:val="题注 字符"/>
    <w:basedOn w:val="a0"/>
    <w:link w:val="ae"/>
    <w:uiPriority w:val="35"/>
    <w:rPr>
      <w:b/>
      <w:bCs/>
      <w:smallCaps/>
      <w:color w:themeColor="text2" w:val="44546A"/>
      <w:spacing w:val="6"/>
      <w:szCs w:val="18"/>
    </w:rPr>
  </w:style>
  <w:style w:customStyle="1" w:styleId="VerbatimChar" w:type="character">
    <w:name w:val="Verbatim Char"/>
    <w:basedOn w:val="af"/>
    <w:rPr>
      <w:rFonts w:ascii="Consolas" w:hAnsi="Consolas"/>
      <w:b/>
      <w:bCs/>
      <w:smallCaps/>
      <w:color w:themeColor="accent1" w:themeShade="BF" w:val="2F5496"/>
      <w:spacing w:val="6"/>
      <w:sz w:val="22"/>
      <w:szCs w:val="16"/>
    </w:rPr>
  </w:style>
  <w:style w:customStyle="1" w:styleId="SectionNumber" w:type="character">
    <w:name w:val="Section Number"/>
    <w:basedOn w:val="af"/>
    <w:rPr>
      <w:b/>
      <w:bCs/>
      <w:smallCaps/>
      <w:color w:themeColor="accent1" w:themeShade="BF" w:val="2F5496"/>
      <w:spacing w:val="6"/>
      <w:sz w:val="16"/>
      <w:szCs w:val="16"/>
    </w:rPr>
  </w:style>
  <w:style w:styleId="af0" w:type="character">
    <w:name w:val="footnote reference"/>
    <w:basedOn w:val="af"/>
    <w:rPr>
      <w:b/>
      <w:bCs/>
      <w:smallCaps/>
      <w:color w:themeColor="accent1" w:themeShade="BF" w:val="2F5496"/>
      <w:spacing w:val="6"/>
      <w:sz w:val="16"/>
      <w:szCs w:val="16"/>
      <w:vertAlign w:val="superscript"/>
    </w:rPr>
  </w:style>
  <w:style w:styleId="af1" w:type="character">
    <w:name w:val="Hyperlink"/>
    <w:basedOn w:val="af"/>
    <w:rPr>
      <w:b/>
      <w:bCs/>
      <w:smallCaps/>
      <w:color w:themeColor="accent1" w:val="4472C4"/>
      <w:spacing w:val="6"/>
      <w:sz w:val="16"/>
      <w:szCs w:val="16"/>
    </w:rPr>
  </w:style>
  <w:style w:styleId="TOC" w:type="paragraph">
    <w:name w:val="TOC Heading"/>
    <w:basedOn w:val="1"/>
    <w:next w:val="a"/>
    <w:uiPriority w:val="39"/>
    <w:unhideWhenUsed/>
    <w:qFormat/>
    <w:rsid w:val="00DB3F2C"/>
    <w:pPr>
      <w:spacing w:before="480" w:line="264" w:lineRule="auto"/>
      <w:outlineLvl w:val="9"/>
    </w:pPr>
    <w:rPr>
      <w:b/>
    </w:rPr>
  </w:style>
  <w:style w:customStyle="1" w:styleId="10" w:type="character">
    <w:name w:val="标题 1 字符"/>
    <w:basedOn w:val="a0"/>
    <w:link w:val="1"/>
    <w:uiPriority w:val="9"/>
    <w:rsid w:val="00DB3F2C"/>
    <w:rPr>
      <w:rFonts w:asciiTheme="majorHAnsi" w:cstheme="majorBidi" w:eastAsiaTheme="majorEastAsia" w:hAnsiTheme="majorHAnsi"/>
      <w:bCs/>
      <w:color w:themeColor="text2" w:val="44546A"/>
      <w:sz w:val="32"/>
      <w:szCs w:val="28"/>
    </w:rPr>
  </w:style>
  <w:style w:customStyle="1" w:styleId="20" w:type="character">
    <w:name w:val="标题 2 字符"/>
    <w:basedOn w:val="a0"/>
    <w:link w:val="2"/>
    <w:uiPriority w:val="9"/>
    <w:rsid w:val="00DB3F2C"/>
    <w:rPr>
      <w:rFonts w:asciiTheme="majorHAnsi" w:cstheme="majorBidi" w:eastAsiaTheme="majorEastAsia" w:hAnsiTheme="majorHAnsi"/>
      <w:b/>
      <w:bCs/>
      <w:color w:themeColor="accent3" w:val="A5A5A5"/>
      <w:sz w:val="28"/>
      <w:szCs w:val="26"/>
    </w:rPr>
  </w:style>
  <w:style w:customStyle="1" w:styleId="30" w:type="character">
    <w:name w:val="标题 3 字符"/>
    <w:basedOn w:val="a0"/>
    <w:link w:val="3"/>
    <w:uiPriority w:val="9"/>
    <w:rsid w:val="00DB3F2C"/>
    <w:rPr>
      <w:rFonts w:cstheme="majorBidi" w:eastAsiaTheme="majorEastAsia"/>
      <w:b/>
      <w:bCs/>
      <w:color w:themeColor="text2" w:val="44546A"/>
      <w:sz w:val="24"/>
    </w:rPr>
  </w:style>
  <w:style w:customStyle="1" w:styleId="40" w:type="character">
    <w:name w:val="标题 4 字符"/>
    <w:basedOn w:val="a0"/>
    <w:link w:val="4"/>
    <w:uiPriority w:val="9"/>
    <w:rsid w:val="00DB3F2C"/>
    <w:rPr>
      <w:rFonts w:asciiTheme="majorHAnsi" w:cstheme="majorBidi" w:eastAsiaTheme="majorEastAsia" w:hAnsiTheme="majorHAnsi"/>
      <w:b/>
      <w:bCs/>
      <w:i/>
      <w:iCs/>
      <w:color w:themeColor="text1" w:themeTint="D9" w:val="262626"/>
    </w:rPr>
  </w:style>
  <w:style w:customStyle="1" w:styleId="50" w:type="character">
    <w:name w:val="标题 5 字符"/>
    <w:basedOn w:val="a0"/>
    <w:link w:val="5"/>
    <w:uiPriority w:val="9"/>
    <w:rsid w:val="00DB3F2C"/>
    <w:rPr>
      <w:rFonts w:asciiTheme="majorHAnsi" w:cstheme="majorBidi" w:eastAsiaTheme="majorEastAsia" w:hAnsiTheme="majorHAnsi"/>
      <w:color w:val="000000"/>
    </w:rPr>
  </w:style>
  <w:style w:customStyle="1" w:styleId="60" w:type="character">
    <w:name w:val="标题 6 字符"/>
    <w:basedOn w:val="a0"/>
    <w:link w:val="6"/>
    <w:uiPriority w:val="9"/>
    <w:rsid w:val="00DB3F2C"/>
    <w:rPr>
      <w:rFonts w:asciiTheme="majorHAnsi" w:cstheme="majorBidi" w:eastAsiaTheme="majorEastAsia" w:hAnsiTheme="majorHAnsi"/>
      <w:i/>
      <w:iCs/>
      <w:color w:themeColor="text1" w:val="000000"/>
    </w:rPr>
  </w:style>
  <w:style w:customStyle="1" w:styleId="70" w:type="character">
    <w:name w:val="标题 7 字符"/>
    <w:basedOn w:val="a0"/>
    <w:link w:val="7"/>
    <w:uiPriority w:val="9"/>
    <w:rsid w:val="00DB3F2C"/>
    <w:rPr>
      <w:rFonts w:asciiTheme="majorHAnsi" w:cstheme="majorBidi" w:eastAsiaTheme="majorEastAsia" w:hAnsiTheme="majorHAnsi"/>
      <w:i/>
      <w:iCs/>
      <w:color w:themeColor="text2" w:val="44546A"/>
    </w:rPr>
  </w:style>
  <w:style w:customStyle="1" w:styleId="80" w:type="character">
    <w:name w:val="标题 8 字符"/>
    <w:basedOn w:val="a0"/>
    <w:link w:val="8"/>
    <w:uiPriority w:val="9"/>
    <w:rsid w:val="00DB3F2C"/>
    <w:rPr>
      <w:rFonts w:asciiTheme="majorHAnsi" w:cstheme="majorBidi" w:eastAsiaTheme="majorEastAsia" w:hAnsiTheme="majorHAnsi"/>
      <w:color w:val="000000"/>
      <w:sz w:val="20"/>
      <w:szCs w:val="20"/>
    </w:rPr>
  </w:style>
  <w:style w:customStyle="1" w:styleId="90" w:type="character">
    <w:name w:val="标题 9 字符"/>
    <w:basedOn w:val="a0"/>
    <w:link w:val="9"/>
    <w:uiPriority w:val="9"/>
    <w:rsid w:val="00DB3F2C"/>
    <w:rPr>
      <w:rFonts w:asciiTheme="majorHAnsi" w:cstheme="majorBidi" w:eastAsiaTheme="majorEastAsia" w:hAnsiTheme="majorHAnsi"/>
      <w:i/>
      <w:iCs/>
      <w:color w:val="000000"/>
      <w:sz w:val="20"/>
      <w:szCs w:val="20"/>
    </w:rPr>
  </w:style>
  <w:style w:customStyle="1" w:styleId="a7" w:type="character">
    <w:name w:val="标题 字符"/>
    <w:basedOn w:val="a0"/>
    <w:link w:val="a6"/>
    <w:uiPriority w:val="10"/>
    <w:rsid w:val="00DB3F2C"/>
    <w:rPr>
      <w:rFonts w:asciiTheme="majorHAnsi" w:cstheme="majorBidi" w:eastAsiaTheme="majorEastAsia" w:hAnsiTheme="majorHAnsi"/>
      <w:color w:themeColor="text2" w:val="44546A"/>
      <w:spacing w:val="30"/>
      <w:kern w:val="28"/>
      <w:sz w:val="72"/>
      <w:szCs w:val="52"/>
    </w:rPr>
  </w:style>
  <w:style w:customStyle="1" w:styleId="a9" w:type="character">
    <w:name w:val="副标题 字符"/>
    <w:basedOn w:val="a0"/>
    <w:link w:val="a8"/>
    <w:uiPriority w:val="11"/>
    <w:rsid w:val="00DB3F2C"/>
    <w:rPr>
      <w:rFonts w:cstheme="majorBidi" w:eastAsiaTheme="majorEastAsia"/>
      <w:iCs/>
      <w:color w:themeColor="text2" w:themeTint="E6" w:val="50637D"/>
      <w:sz w:val="32"/>
      <w:szCs w:val="24"/>
    </w:rPr>
  </w:style>
  <w:style w:styleId="af2" w:type="character">
    <w:name w:val="Strong"/>
    <w:basedOn w:val="a0"/>
    <w:uiPriority w:val="22"/>
    <w:qFormat/>
    <w:rsid w:val="00DB3F2C"/>
    <w:rPr>
      <w:b/>
      <w:bCs/>
      <w:color w:themeColor="text2" w:themeTint="E6" w:val="50637D"/>
    </w:rPr>
  </w:style>
  <w:style w:styleId="af3" w:type="character">
    <w:name w:val="Emphasis"/>
    <w:basedOn w:val="a0"/>
    <w:uiPriority w:val="20"/>
    <w:qFormat/>
    <w:rsid w:val="00DB3F2C"/>
    <w:rPr>
      <w:b w:val="0"/>
      <w:i/>
      <w:iCs/>
      <w:color w:themeColor="text2" w:val="44546A"/>
    </w:rPr>
  </w:style>
  <w:style w:styleId="af4" w:type="paragraph">
    <w:name w:val="No Spacing"/>
    <w:link w:val="af5"/>
    <w:uiPriority w:val="1"/>
    <w:qFormat/>
    <w:rsid w:val="00DB3F2C"/>
    <w:pPr>
      <w:spacing w:after="0" w:line="240" w:lineRule="auto"/>
    </w:pPr>
  </w:style>
  <w:style w:customStyle="1" w:styleId="af5" w:type="character">
    <w:name w:val="无间隔 字符"/>
    <w:basedOn w:val="a0"/>
    <w:link w:val="af4"/>
    <w:uiPriority w:val="1"/>
    <w:rsid w:val="00DB3F2C"/>
  </w:style>
  <w:style w:styleId="af6" w:type="paragraph">
    <w:name w:val="List Paragraph"/>
    <w:basedOn w:val="a"/>
    <w:uiPriority w:val="34"/>
    <w:qFormat/>
    <w:rsid w:val="00DB3F2C"/>
    <w:pPr>
      <w:spacing w:line="240" w:lineRule="auto"/>
      <w:ind w:hanging="288" w:left="720"/>
      <w:contextualSpacing/>
    </w:pPr>
    <w:rPr>
      <w:color w:themeColor="text2" w:val="44546A"/>
    </w:rPr>
  </w:style>
  <w:style w:styleId="af7" w:type="paragraph">
    <w:name w:val="Quote"/>
    <w:basedOn w:val="a"/>
    <w:next w:val="a"/>
    <w:link w:val="af8"/>
    <w:uiPriority w:val="29"/>
    <w:qFormat/>
    <w:rsid w:val="00DB3F2C"/>
    <w:pPr>
      <w:pBdr>
        <w:left w:color="4472C4" w:space="13" w:sz="48" w:themeColor="accent1" w:val="single"/>
      </w:pBdr>
      <w:spacing w:after="0" w:line="360" w:lineRule="auto"/>
    </w:pPr>
    <w:rPr>
      <w:rFonts w:asciiTheme="majorHAnsi" w:hAnsiTheme="majorHAnsi"/>
      <w:b/>
      <w:i/>
      <w:iCs/>
      <w:color w:themeColor="accent1" w:val="4472C4"/>
      <w:sz w:val="24"/>
    </w:rPr>
  </w:style>
  <w:style w:customStyle="1" w:styleId="af8" w:type="character">
    <w:name w:val="引用 字符"/>
    <w:basedOn w:val="a0"/>
    <w:link w:val="af7"/>
    <w:uiPriority w:val="29"/>
    <w:rsid w:val="00DB3F2C"/>
    <w:rPr>
      <w:rFonts w:asciiTheme="majorHAnsi" w:hAnsiTheme="majorHAnsi"/>
      <w:b/>
      <w:i/>
      <w:iCs/>
      <w:color w:themeColor="accent1" w:val="4472C4"/>
      <w:sz w:val="24"/>
    </w:rPr>
  </w:style>
  <w:style w:styleId="af9" w:type="paragraph">
    <w:name w:val="Intense Quote"/>
    <w:basedOn w:val="a"/>
    <w:next w:val="a"/>
    <w:link w:val="afa"/>
    <w:uiPriority w:val="30"/>
    <w:qFormat/>
    <w:rsid w:val="00DB3F2C"/>
    <w:pPr>
      <w:pBdr>
        <w:left w:color="ED7D31" w:space="13" w:sz="48" w:themeColor="accent2" w:val="single"/>
      </w:pBdr>
      <w:spacing w:after="120" w:before="240" w:line="300" w:lineRule="auto"/>
    </w:pPr>
    <w:rPr>
      <w:b/>
      <w:bCs/>
      <w:i/>
      <w:iCs/>
      <w:color w:themeColor="accent2" w:val="ED7D31"/>
      <w:sz w:val="26"/>
    </w:rPr>
  </w:style>
  <w:style w:customStyle="1" w:styleId="afa" w:type="character">
    <w:name w:val="明显引用 字符"/>
    <w:basedOn w:val="a0"/>
    <w:link w:val="af9"/>
    <w:uiPriority w:val="30"/>
    <w:rsid w:val="00DB3F2C"/>
    <w:rPr>
      <w:b/>
      <w:bCs/>
      <w:i/>
      <w:iCs/>
      <w:color w:themeColor="accent2" w:val="ED7D31"/>
      <w:sz w:val="26"/>
    </w:rPr>
  </w:style>
  <w:style w:styleId="afb" w:type="character">
    <w:name w:val="Subtle Emphasis"/>
    <w:basedOn w:val="a0"/>
    <w:uiPriority w:val="19"/>
    <w:qFormat/>
    <w:rsid w:val="00DB3F2C"/>
    <w:rPr>
      <w:i/>
      <w:iCs/>
      <w:color w:val="000000"/>
    </w:rPr>
  </w:style>
  <w:style w:styleId="afc" w:type="character">
    <w:name w:val="Intense Emphasis"/>
    <w:basedOn w:val="a0"/>
    <w:uiPriority w:val="21"/>
    <w:qFormat/>
    <w:rsid w:val="00DB3F2C"/>
    <w:rPr>
      <w:b/>
      <w:bCs/>
      <w:i/>
      <w:iCs/>
      <w:color w:themeColor="text2" w:val="44546A"/>
    </w:rPr>
  </w:style>
  <w:style w:styleId="afd" w:type="character">
    <w:name w:val="Subtle Reference"/>
    <w:basedOn w:val="a0"/>
    <w:uiPriority w:val="31"/>
    <w:qFormat/>
    <w:rsid w:val="00DB3F2C"/>
    <w:rPr>
      <w:smallCaps/>
      <w:color w:val="000000"/>
      <w:u w:val="single"/>
    </w:rPr>
  </w:style>
  <w:style w:styleId="afe" w:type="character">
    <w:name w:val="Intense Reference"/>
    <w:basedOn w:val="a0"/>
    <w:uiPriority w:val="32"/>
    <w:qFormat/>
    <w:rsid w:val="00DB3F2C"/>
    <w:rPr>
      <w:rFonts w:asciiTheme="minorHAnsi" w:hAnsiTheme="minorHAnsi"/>
      <w:b/>
      <w:bCs/>
      <w:smallCaps/>
      <w:color w:themeColor="text2" w:val="44546A"/>
      <w:spacing w:val="5"/>
      <w:sz w:val="22"/>
      <w:u w:val="single"/>
    </w:rPr>
  </w:style>
  <w:style w:styleId="aff" w:type="character">
    <w:name w:val="Book Title"/>
    <w:basedOn w:val="a0"/>
    <w:uiPriority w:val="33"/>
    <w:qFormat/>
    <w:rsid w:val="00DB3F2C"/>
    <w:rPr>
      <w:rFonts w:asciiTheme="majorHAnsi" w:hAnsiTheme="majorHAnsi"/>
      <w:b/>
      <w:bCs/>
      <w:caps w:val="0"/>
      <w:smallCaps/>
      <w:color w:themeColor="text2" w:val="44546A"/>
      <w:spacing w:val="10"/>
      <w:sz w:val="22"/>
    </w:rPr>
  </w:style>
  <w:style w:customStyle="1" w:styleId="PersonalName" w:type="paragraph">
    <w:name w:val="Personal Name"/>
    <w:basedOn w:val="a6"/>
    <w:qFormat/>
    <w:rsid w:val="00DB3F2C"/>
    <w:rPr>
      <w:b/>
      <w:caps/>
      <w:color w:val="000000"/>
      <w:sz w:val="28"/>
      <w:szCs w:val="28"/>
    </w:rPr>
  </w:style>
  <w:style w:styleId="aff0" w:type="paragraph">
    <w:name w:val="Body Text First Indent"/>
    <w:basedOn w:val="a3"/>
    <w:link w:val="aff1"/>
    <w:rsid w:val="00300353"/>
    <w:pPr>
      <w:ind w:firstLine="0" w:firstLineChars="0" w:left="440"/>
    </w:pPr>
  </w:style>
  <w:style w:customStyle="1" w:styleId="a5" w:type="character">
    <w:name w:val="正文文本 字符"/>
    <w:basedOn w:val="a0"/>
    <w:link w:val="a3"/>
    <w:rsid w:val="00A43B9F"/>
  </w:style>
  <w:style w:customStyle="1" w:styleId="aff1" w:type="character">
    <w:name w:val="正文文本首行缩进 字符"/>
    <w:basedOn w:val="a5"/>
    <w:link w:val="aff0"/>
    <w:rsid w:val="00300353"/>
  </w:style>
  <w:style w:styleId="aff2" w:type="paragraph">
    <w:name w:val="Body Text Indent"/>
    <w:basedOn w:val="a"/>
    <w:link w:val="aff3"/>
    <w:rsid w:val="00300353"/>
    <w:pPr>
      <w:spacing w:after="120"/>
      <w:ind w:left="420" w:leftChars="200"/>
    </w:pPr>
  </w:style>
  <w:style w:customStyle="1" w:styleId="aff3" w:type="character">
    <w:name w:val="正文文本缩进 字符"/>
    <w:basedOn w:val="a0"/>
    <w:link w:val="aff2"/>
    <w:rsid w:val="00300353"/>
  </w:style>
  <w:style w:styleId="21" w:type="paragraph">
    <w:name w:val="Body Text First Indent 2"/>
    <w:basedOn w:val="aff2"/>
    <w:link w:val="22"/>
    <w:rsid w:val="00300353"/>
    <w:pPr>
      <w:ind w:firstLine="420" w:firstLineChars="200"/>
    </w:pPr>
  </w:style>
  <w:style w:customStyle="1" w:styleId="22" w:type="character">
    <w:name w:val="正文文本首行缩进 2 字符"/>
    <w:basedOn w:val="aff3"/>
    <w:link w:val="21"/>
    <w:rsid w:val="00300353"/>
  </w:style>
  <w:style w:styleId="23" w:type="paragraph">
    <w:name w:val="Body Text Indent 2"/>
    <w:basedOn w:val="a"/>
    <w:link w:val="24"/>
    <w:rsid w:val="00300353"/>
    <w:pPr>
      <w:spacing w:after="120" w:line="480" w:lineRule="auto"/>
      <w:ind w:left="420" w:leftChars="200"/>
    </w:pPr>
  </w:style>
  <w:style w:customStyle="1" w:styleId="24" w:type="character">
    <w:name w:val="正文文本缩进 2 字符"/>
    <w:basedOn w:val="a0"/>
    <w:link w:val="23"/>
    <w:rsid w:val="00300353"/>
  </w:style>
  <w:style w:styleId="a4" w:type="paragraph">
    <w:name w:val="Normal Indent"/>
    <w:basedOn w:val="a"/>
    <w:rsid w:val="00300353"/>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jpg" /><Relationship Type="http://schemas.openxmlformats.org/officeDocument/2006/relationships/image" Id="rId28" Target="media/rId28.jpg" /><Relationship Type="http://schemas.openxmlformats.org/officeDocument/2006/relationships/image" Id="rId38" Target="media/rId38.jpg" /><Relationship Type="http://schemas.openxmlformats.org/officeDocument/2006/relationships/image" Id="rId25" Target="media/rId25.jpg" /><Relationship Type="http://schemas.openxmlformats.org/officeDocument/2006/relationships/image" Id="rId42" Target="media/rId42.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75</Words>
  <Characters>428</Characters>
  <Application>Microsoft Office Word</Application>
  <DocSecurity>0</DocSecurity>
  <Lines>3</Lines>
  <Paragraphs>1</Paragraphs>
  <ScaleCrop>false</ScaleCrop>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