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 claims and revised evidence</w:t>
      </w:r>
    </w:p>
    <w:p>
      <w:r>
        <w:t>This short crosswalk links the rewritten manuscript to result commit 87110da. It does not revise the preserved original manuscript or reclassify historical results. HF denotes Hospital-first; N denotes tract-normalized modeled burden. All intervals below are paired across the same 32 realizations.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240"/>
        <w:gridCol w:w="3960"/>
      </w:tblGrid>
      <w:tr>
        <w:trPr>
          <w:tblHeader/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Original or superseded claim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Revised claim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Actual evidence and manuscript location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Hospital-first is the fastest or generally best restoration policy.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Two recovered weighted-priority sequences have small mean population-burden advantages; no universal winner is identified.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Balanced/HospFirst ΔN vs HF −0.295/−0.166 h, about 0.67%/0.38%; hospital/T80/makespan intervals span zero. Section 3.1, Table 2.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Three GA outputs represent optimized or best restoration policies.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Balanced/HospFirst are reconstructed deterministic initializers; Efficiency is a retained finite-budget search candidate. None is a demonstrated global optimum.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Same-objective scoring and retained histories, Supplement S2/Table S3/Figure S1. Different-objective fitness values are not cross-compared.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Simple HF outperformance is explained entirely by mismatch between GA fitness and T80.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First correct inferior candidate retention; then distinguish the surrogate from source-gated burden. The old HF superiority narrative no longer holds.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HospFirst own fitness 0.916459946176 vs HF0.916319981609; population ΔN−0.166 h; hospital Δ−0.022 h with interval crossing zero. Sections 2.5/4.1.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Earlier vulnerability-weighted T80 or lower inequality means greater equity.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Absolute group burdens, high–low gaps, and Gini measure different properties. No equity optimization is claimed.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Efficiency Gini0.1765 vs HF0.2187 while every group worsens; HospFirst improves Q4 by0.413 h but increases Q1 by0.117 h. Section 3.2/Figure 2.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All three GA policies worsen all four vulnerability groups.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Balanced improves all four group means; HospFirst shifts mean burden toward Q1 and away from Q4. Efficiency still worsens all four.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Fixed Q1–Q4 absolute levels and paired effects, Section 3.2.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Mapping supports actual customer supply or is generally robust.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Official evidence supports candidates; equal shares and named-system attachments remain assumptions. Overall contrast directions persist in two fixed-decision stresses, while group relations change.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λ=0.5/1/2; Efficiency signed Q4−Q1 mean +0.495/−1.388/−3.540 h. Sections 2.2/2.7/3.3. No true-share or downstream-damage validation.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Restoration assumptions mainly alter absolute recovery time.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Relative severe-damage workload can change the magnitude of policy costs.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Efficiency population excess vs HF rises15.076→26.245 h; change11.169 [9.303,12.880] h. Section 3.3/Table 3.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Modeled burden hours are resident outage hours; population metrics all measure the same average.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Normalized service-access deficit is a model quantity; full-population and population×resolved-mass weighting are distinct estimands.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Denominators3,520,382 people and3,426,254.42 population–candidate-mass units. Section 2.6/Eq.2/S3.1.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 effect or missing recovery may be classified as neutral.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Twelve fully unresolved tracts remain unknown, with NA normalized burden and direction probability.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51,770 people,1.45% of full domain; never near-zero. Sections 2.2/2.6/Figure 3.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One population percentage describes who is delayed in every realization.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Classification of tract mean effects differs from classifying every realization then averaging.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Efficiency baseline worsened80.07% by mean effects vs76.57% realization-first mean; DS4×2 93.33% vs75.33%. Section 3.2–3.3/S3.2.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Crew or source scenarios are verified actual LA operations; historical times validate tract recovery.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Fixed57 pooled crews and21 reference sources define conditional operations. Capacity and delivered-power constraints remain outside scope.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Sections 2.1/2.3/2.4/4.3. No crew-count or power-flow validation is claimed.</w:t>
            </w:r>
          </w:p>
        </w:tc>
      </w:tr>
      <w:tr>
        <w:trPr>
          <w:cantSplit/>
        </w:trPr>
        <w:tc>
          <w:tcPr>
            <w:tcW w:type="dxa" w:w="2592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Four policy points establish an efficiency–equity optimal frontier or a single-coefficient effect.</w:t>
            </w:r>
          </w:p>
        </w:tc>
        <w:tc>
          <w:tcPr>
            <w:tcW w:type="dxa" w:w="324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Four fixed policy bundles provide conditional distributional examples, not an optimized frontier or isolated equity intervention.</w:t>
            </w:r>
          </w:p>
        </w:tc>
        <w:tc>
          <w:tcPr>
            <w:tcW w:type="dxa" w:w="3960"/>
            <w:tcMar>
              <w:top w:w="35" w:type="dxa"/>
              <w:bottom w:w="35" w:type="dxa"/>
              <w:left w:w="65" w:type="dxa"/>
              <w:right w:w="65" w:type="dxa"/>
            </w:tcMar>
            <w:tcBorders>
              <w:bottom w:val="single" w:sz="4" w:color="AAAAAA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Multiple coefficient changes; paired burden/logistics evidence. Sections 2.5/4.1/4.3/5.</w:t>
            </w:r>
          </w:p>
        </w:tc>
      </w:tr>
    </w:tbl>
    <w:p/>
    <w:p>
      <w:r>
        <w:t>The revised Results, Discussion, and Conclusion rely on these bounded claims. They do not reuse old 92-node rankings, percolation findings, composite hotspots, clustering, or historical recovery curves as new scientific evidence.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rPr>
      <w:sz w:val="19"/>
    </w:rPr>
  </w:style>
  <w:style w:type="paragraph" w:customStyle="1" w:styleId="Reviewquote">
    <w:name w:val="Review quote"/>
    <w:basedOn w:val="Normal"/>
    <w:pPr>
      <w:ind w:left="216"/>
    </w:pPr>
    <w:rPr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Evidence Crosswalk</dc:title>
  <dc:subject>Conditional restoration decisions; results based on commit 87110da</dc:subject>
  <dc:creator>Yinchen Yi; Yutong Li; Marta C. González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