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Project Nebula Brief</w:t>
      </w:r>
    </w:p>
    <w:p>
      <w:r>
        <w:t>Project Nebula aims to launch a lightweight note-taking device in Q3.</w:t>
      </w:r>
    </w:p>
    <w:p>
      <w:pPr>
        <w:pStyle w:val="Heading2"/>
      </w:pPr>
      <w:r>
        <w:t>Goals</w:t>
      </w:r>
    </w:p>
    <w:p>
      <w:r>
        <w:t>Ship the first hardware batch, validate battery life, and collect 100 beta user reports.</w:t>
      </w:r>
    </w:p>
    <w:p>
      <w:pPr>
        <w:pStyle w:val="Heading2"/>
      </w:pPr>
      <w:r>
        <w:t>Risks</w:t>
      </w:r>
    </w:p>
    <w:p>
      <w:r>
        <w:t>Supply chain delay and firmware stability are the top two risks.</w:t>
      </w:r>
    </w:p>
  </w:body>
</w:document>
</file>

<file path=word/styles.xml><?xml version="1.0" encoding="utf-8"?>
<w:styles xmlns:w="http://schemas.openxmlformats.org/wordprocessingml/2006/main">
  <w:style w:styleId="Heading1">
    <w:name w:val="heading 1"/>
  </w:style>
  <w:style w:styleId="Heading2">
    <w:name w:val="heading 2"/>
  </w:style>
</w:styles>
</file>