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A1AB7" w14:textId="77777777" w:rsidR="00A6207F" w:rsidRPr="00BF051E" w:rsidRDefault="00000000" w:rsidP="00156E3A">
      <w:pPr>
        <w:spacing w:after="100"/>
        <w:jc w:val="center"/>
        <w:rPr>
          <w:rFonts w:eastAsia="微软雅黑"/>
          <w:lang w:eastAsia="zh-CN"/>
        </w:rPr>
      </w:pPr>
      <w:proofErr w:type="gramStart"/>
      <w:r w:rsidRPr="00BF051E">
        <w:rPr>
          <w:rFonts w:eastAsia="微软雅黑"/>
          <w:b/>
          <w:sz w:val="44"/>
          <w:lang w:eastAsia="zh-CN"/>
        </w:rPr>
        <w:t>庄贤投资</w:t>
      </w:r>
      <w:proofErr w:type="gramEnd"/>
      <w:r w:rsidRPr="00BF051E">
        <w:rPr>
          <w:rFonts w:eastAsia="微软雅黑"/>
          <w:b/>
          <w:sz w:val="44"/>
          <w:lang w:eastAsia="zh-CN"/>
        </w:rPr>
        <w:t>深度分析报告</w:t>
      </w:r>
    </w:p>
    <w:p w14:paraId="192FC283" w14:textId="77777777" w:rsidR="00A6207F" w:rsidRPr="00BF051E" w:rsidRDefault="00000000" w:rsidP="00156E3A">
      <w:pPr>
        <w:spacing w:after="100"/>
        <w:jc w:val="both"/>
        <w:rPr>
          <w:rFonts w:eastAsia="微软雅黑"/>
          <w:sz w:val="20"/>
          <w:szCs w:val="21"/>
          <w:lang w:eastAsia="zh-CN"/>
        </w:rPr>
      </w:pPr>
      <w:r w:rsidRPr="00BF051E">
        <w:rPr>
          <w:rFonts w:eastAsia="微软雅黑"/>
          <w:b/>
          <w:sz w:val="20"/>
          <w:szCs w:val="21"/>
          <w:lang w:eastAsia="zh-CN"/>
        </w:rPr>
        <w:t>研究对象</w:t>
      </w:r>
      <w:r w:rsidRPr="00BF051E">
        <w:rPr>
          <w:rFonts w:eastAsia="微软雅黑"/>
          <w:sz w:val="20"/>
          <w:szCs w:val="21"/>
          <w:lang w:eastAsia="zh-CN"/>
        </w:rPr>
        <w:t>：杭州</w:t>
      </w:r>
      <w:proofErr w:type="gramStart"/>
      <w:r w:rsidRPr="00BF051E">
        <w:rPr>
          <w:rFonts w:eastAsia="微软雅黑"/>
          <w:sz w:val="20"/>
          <w:szCs w:val="21"/>
          <w:lang w:eastAsia="zh-CN"/>
        </w:rPr>
        <w:t>庄贤投资</w:t>
      </w:r>
      <w:proofErr w:type="gramEnd"/>
      <w:r w:rsidRPr="00BF051E">
        <w:rPr>
          <w:rFonts w:eastAsia="微软雅黑"/>
          <w:sz w:val="20"/>
          <w:szCs w:val="21"/>
          <w:lang w:eastAsia="zh-CN"/>
        </w:rPr>
        <w:t xml:space="preserve">管理合伙企业（有限合伙） </w:t>
      </w:r>
      <w:r w:rsidRPr="00BF051E">
        <w:rPr>
          <w:rFonts w:eastAsia="微软雅黑"/>
          <w:b/>
          <w:sz w:val="20"/>
          <w:szCs w:val="21"/>
          <w:lang w:eastAsia="zh-CN"/>
        </w:rPr>
        <w:t>研究范围</w:t>
      </w:r>
      <w:r w:rsidRPr="00BF051E">
        <w:rPr>
          <w:rFonts w:eastAsia="微软雅黑"/>
          <w:sz w:val="20"/>
          <w:szCs w:val="21"/>
          <w:lang w:eastAsia="zh-CN"/>
        </w:rPr>
        <w:t xml:space="preserve">：公开数据资料 </w:t>
      </w:r>
      <w:r w:rsidRPr="00BF051E">
        <w:rPr>
          <w:rFonts w:eastAsia="微软雅黑"/>
          <w:b/>
          <w:sz w:val="20"/>
          <w:szCs w:val="21"/>
          <w:lang w:eastAsia="zh-CN"/>
        </w:rPr>
        <w:t>数据截止</w:t>
      </w:r>
      <w:r w:rsidRPr="00BF051E">
        <w:rPr>
          <w:rFonts w:eastAsia="微软雅黑"/>
          <w:sz w:val="20"/>
          <w:szCs w:val="21"/>
          <w:lang w:eastAsia="zh-CN"/>
        </w:rPr>
        <w:t>：2026年4月30日</w:t>
      </w:r>
    </w:p>
    <w:p w14:paraId="5845E1DF"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t>投资摘要</w:t>
      </w:r>
    </w:p>
    <w:p w14:paraId="0BF71064" w14:textId="77777777" w:rsidR="00A6207F" w:rsidRPr="00BF051E" w:rsidRDefault="00000000" w:rsidP="00156E3A">
      <w:pPr>
        <w:spacing w:after="100"/>
        <w:jc w:val="both"/>
        <w:rPr>
          <w:rFonts w:eastAsia="微软雅黑"/>
          <w:lang w:eastAsia="zh-CN"/>
        </w:rPr>
      </w:pPr>
      <w:proofErr w:type="gramStart"/>
      <w:r w:rsidRPr="00BF051E">
        <w:rPr>
          <w:rFonts w:eastAsia="微软雅黑"/>
          <w:b/>
          <w:lang w:eastAsia="zh-CN"/>
        </w:rPr>
        <w:t>庄贤大</w:t>
      </w:r>
      <w:proofErr w:type="gramEnd"/>
      <w:r w:rsidRPr="00BF051E">
        <w:rPr>
          <w:rFonts w:eastAsia="微软雅黑"/>
          <w:b/>
          <w:lang w:eastAsia="zh-CN"/>
        </w:rPr>
        <w:t>周期策略 = 化工产业认知 + 供需拐点识别 + 个股利润兑现 + 交易纪律约束。</w:t>
      </w:r>
    </w:p>
    <w:tbl>
      <w:tblPr>
        <w:tblStyle w:val="aff1"/>
        <w:tblW w:w="0" w:type="auto"/>
        <w:jc w:val="center"/>
        <w:tblLook w:val="04A0" w:firstRow="1" w:lastRow="0" w:firstColumn="1" w:lastColumn="0" w:noHBand="0" w:noVBand="1"/>
      </w:tblPr>
      <w:tblGrid>
        <w:gridCol w:w="1418"/>
        <w:gridCol w:w="8328"/>
      </w:tblGrid>
      <w:tr w:rsidR="00A6207F" w:rsidRPr="00BF051E" w14:paraId="49F55C32" w14:textId="77777777" w:rsidTr="00302758">
        <w:trPr>
          <w:jc w:val="center"/>
        </w:trPr>
        <w:tc>
          <w:tcPr>
            <w:tcW w:w="1418" w:type="dxa"/>
            <w:noWrap/>
            <w:vAlign w:val="center"/>
          </w:tcPr>
          <w:p w14:paraId="203C80C8" w14:textId="7A74119D" w:rsidR="00A6207F" w:rsidRPr="00BF051E" w:rsidRDefault="00000000" w:rsidP="00156E3A">
            <w:pPr>
              <w:spacing w:line="276" w:lineRule="auto"/>
              <w:jc w:val="both"/>
              <w:rPr>
                <w:rFonts w:eastAsia="微软雅黑"/>
              </w:rPr>
            </w:pPr>
            <w:proofErr w:type="spellStart"/>
            <w:r w:rsidRPr="00BF051E">
              <w:rPr>
                <w:rFonts w:eastAsia="微软雅黑"/>
                <w:b/>
                <w:sz w:val="17"/>
              </w:rPr>
              <w:t>摘要</w:t>
            </w:r>
            <w:proofErr w:type="spellEnd"/>
          </w:p>
        </w:tc>
        <w:tc>
          <w:tcPr>
            <w:tcW w:w="8328" w:type="dxa"/>
            <w:noWrap/>
            <w:vAlign w:val="center"/>
          </w:tcPr>
          <w:p w14:paraId="4C2531D3" w14:textId="77777777" w:rsidR="00A6207F" w:rsidRPr="00BF051E" w:rsidRDefault="00000000" w:rsidP="00156E3A">
            <w:pPr>
              <w:spacing w:line="276" w:lineRule="auto"/>
              <w:jc w:val="both"/>
              <w:rPr>
                <w:rFonts w:eastAsia="微软雅黑"/>
              </w:rPr>
            </w:pPr>
            <w:r w:rsidRPr="00BF051E">
              <w:rPr>
                <w:rFonts w:eastAsia="微软雅黑"/>
                <w:b/>
                <w:sz w:val="17"/>
              </w:rPr>
              <w:t>核心提炼</w:t>
            </w:r>
          </w:p>
        </w:tc>
      </w:tr>
      <w:tr w:rsidR="00A6207F" w:rsidRPr="00BF051E" w14:paraId="7C6EF47F" w14:textId="77777777" w:rsidTr="00302758">
        <w:trPr>
          <w:jc w:val="center"/>
        </w:trPr>
        <w:tc>
          <w:tcPr>
            <w:tcW w:w="1418" w:type="dxa"/>
            <w:noWrap/>
            <w:vAlign w:val="center"/>
          </w:tcPr>
          <w:p w14:paraId="64DEBD42" w14:textId="77777777" w:rsidR="00A6207F" w:rsidRPr="00BF051E" w:rsidRDefault="00000000" w:rsidP="00156E3A">
            <w:pPr>
              <w:spacing w:line="276" w:lineRule="auto"/>
              <w:jc w:val="both"/>
              <w:rPr>
                <w:rFonts w:eastAsia="微软雅黑"/>
              </w:rPr>
            </w:pPr>
            <w:r w:rsidRPr="00BF051E">
              <w:rPr>
                <w:rFonts w:eastAsia="微软雅黑"/>
                <w:sz w:val="17"/>
              </w:rPr>
              <w:t>能力来源</w:t>
            </w:r>
          </w:p>
        </w:tc>
        <w:tc>
          <w:tcPr>
            <w:tcW w:w="8328" w:type="dxa"/>
            <w:noWrap/>
            <w:vAlign w:val="center"/>
          </w:tcPr>
          <w:p w14:paraId="500F77AC"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化工产业链认知、实体产业网络与买方研究方法共同构成策略基础。</w:t>
            </w:r>
          </w:p>
        </w:tc>
      </w:tr>
      <w:tr w:rsidR="00A6207F" w:rsidRPr="00BF051E" w14:paraId="5D486017" w14:textId="77777777" w:rsidTr="00302758">
        <w:trPr>
          <w:jc w:val="center"/>
        </w:trPr>
        <w:tc>
          <w:tcPr>
            <w:tcW w:w="1418" w:type="dxa"/>
            <w:noWrap/>
            <w:vAlign w:val="center"/>
          </w:tcPr>
          <w:p w14:paraId="47A6A55F"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收益机制</w:t>
            </w:r>
            <w:proofErr w:type="spellEnd"/>
          </w:p>
        </w:tc>
        <w:tc>
          <w:tcPr>
            <w:tcW w:w="8328" w:type="dxa"/>
            <w:noWrap/>
            <w:vAlign w:val="center"/>
          </w:tcPr>
          <w:p w14:paraId="5F230374"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从价格、库存、事件和产能变化中识别供需错配，再映射到个股利润兑现。</w:t>
            </w:r>
          </w:p>
        </w:tc>
      </w:tr>
      <w:tr w:rsidR="00A6207F" w:rsidRPr="00BF051E" w14:paraId="1376C5FD" w14:textId="77777777" w:rsidTr="00302758">
        <w:trPr>
          <w:jc w:val="center"/>
        </w:trPr>
        <w:tc>
          <w:tcPr>
            <w:tcW w:w="1418" w:type="dxa"/>
            <w:noWrap/>
            <w:vAlign w:val="center"/>
          </w:tcPr>
          <w:p w14:paraId="3C9B4239"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业绩特征</w:t>
            </w:r>
            <w:proofErr w:type="spellEnd"/>
          </w:p>
        </w:tc>
        <w:tc>
          <w:tcPr>
            <w:tcW w:w="8328" w:type="dxa"/>
            <w:noWrap/>
            <w:vAlign w:val="center"/>
          </w:tcPr>
          <w:p w14:paraId="2B4865D1"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长期收益弹性较强，但收益分布具有状态依赖，历史最大回撤较深。</w:t>
            </w:r>
          </w:p>
        </w:tc>
      </w:tr>
      <w:tr w:rsidR="00A6207F" w:rsidRPr="00BF051E" w14:paraId="4EE56DC9" w14:textId="77777777" w:rsidTr="00302758">
        <w:trPr>
          <w:jc w:val="center"/>
        </w:trPr>
        <w:tc>
          <w:tcPr>
            <w:tcW w:w="1418" w:type="dxa"/>
            <w:noWrap/>
            <w:vAlign w:val="center"/>
          </w:tcPr>
          <w:p w14:paraId="4E964431"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配置定位</w:t>
            </w:r>
            <w:proofErr w:type="spellEnd"/>
          </w:p>
        </w:tc>
        <w:tc>
          <w:tcPr>
            <w:tcW w:w="8328" w:type="dxa"/>
            <w:noWrap/>
            <w:vAlign w:val="center"/>
          </w:tcPr>
          <w:p w14:paraId="75C2D800"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适合作为周期弹性资产，配置比例应随环境适配度和风险预算动态调整。</w:t>
            </w:r>
          </w:p>
        </w:tc>
      </w:tr>
    </w:tbl>
    <w:p w14:paraId="52B1A68A" w14:textId="77777777" w:rsidR="00A6207F" w:rsidRPr="00BF051E" w:rsidRDefault="00A6207F" w:rsidP="00156E3A">
      <w:pPr>
        <w:jc w:val="both"/>
        <w:rPr>
          <w:rFonts w:eastAsia="微软雅黑"/>
          <w:lang w:eastAsia="zh-CN"/>
        </w:rPr>
      </w:pPr>
    </w:p>
    <w:p w14:paraId="044ED2E7" w14:textId="77777777" w:rsidR="00A6207F" w:rsidRPr="00BF051E" w:rsidRDefault="00000000" w:rsidP="00156E3A">
      <w:pPr>
        <w:spacing w:after="100"/>
        <w:jc w:val="both"/>
        <w:rPr>
          <w:rFonts w:eastAsia="微软雅黑"/>
          <w:lang w:eastAsia="zh-CN"/>
        </w:rPr>
      </w:pPr>
      <w:r w:rsidRPr="00BF051E">
        <w:rPr>
          <w:rFonts w:eastAsia="微软雅黑"/>
          <w:b/>
          <w:lang w:eastAsia="zh-CN"/>
        </w:rPr>
        <w:t>核心结论：</w:t>
      </w:r>
      <w:proofErr w:type="gramStart"/>
      <w:r w:rsidRPr="00BF051E">
        <w:rPr>
          <w:rFonts w:eastAsia="微软雅黑"/>
          <w:b/>
          <w:lang w:eastAsia="zh-CN"/>
        </w:rPr>
        <w:t>庄贤更</w:t>
      </w:r>
      <w:proofErr w:type="gramEnd"/>
      <w:r w:rsidRPr="00BF051E">
        <w:rPr>
          <w:rFonts w:eastAsia="微软雅黑"/>
          <w:b/>
          <w:lang w:eastAsia="zh-CN"/>
        </w:rPr>
        <w:t>适合作为权益组合中的周期/资源/化工专项增强模块，而非核心权益底仓</w:t>
      </w:r>
      <w:proofErr w:type="gramStart"/>
      <w:r w:rsidRPr="00BF051E">
        <w:rPr>
          <w:rFonts w:eastAsia="微软雅黑"/>
          <w:b/>
          <w:lang w:eastAsia="zh-CN"/>
        </w:rPr>
        <w:t>或低波绝对</w:t>
      </w:r>
      <w:proofErr w:type="gramEnd"/>
      <w:r w:rsidRPr="00BF051E">
        <w:rPr>
          <w:rFonts w:eastAsia="微软雅黑"/>
          <w:b/>
          <w:lang w:eastAsia="zh-CN"/>
        </w:rPr>
        <w:t>收益替代。</w:t>
      </w:r>
    </w:p>
    <w:p w14:paraId="5EFDA86E" w14:textId="77777777" w:rsidR="00A6207F" w:rsidRPr="00BF051E" w:rsidRDefault="00000000" w:rsidP="00156E3A">
      <w:pPr>
        <w:spacing w:after="100"/>
        <w:jc w:val="both"/>
        <w:rPr>
          <w:rFonts w:eastAsia="微软雅黑"/>
          <w:lang w:eastAsia="zh-CN"/>
        </w:rPr>
      </w:pPr>
      <w:proofErr w:type="gramStart"/>
      <w:r w:rsidRPr="00BF051E">
        <w:rPr>
          <w:rFonts w:eastAsia="微软雅黑"/>
          <w:lang w:eastAsia="zh-CN"/>
        </w:rPr>
        <w:t>庄贤投资</w:t>
      </w:r>
      <w:proofErr w:type="gramEnd"/>
      <w:r w:rsidRPr="00BF051E">
        <w:rPr>
          <w:rFonts w:eastAsia="微软雅黑"/>
          <w:lang w:eastAsia="zh-CN"/>
        </w:rPr>
        <w:t>是一家以</w:t>
      </w:r>
      <w:proofErr w:type="gramStart"/>
      <w:r w:rsidRPr="00BF051E">
        <w:rPr>
          <w:rFonts w:eastAsia="微软雅黑"/>
          <w:lang w:eastAsia="zh-CN"/>
        </w:rPr>
        <w:t>化工及泛周期</w:t>
      </w:r>
      <w:proofErr w:type="gramEnd"/>
      <w:r w:rsidRPr="00BF051E">
        <w:rPr>
          <w:rFonts w:eastAsia="微软雅黑"/>
          <w:lang w:eastAsia="zh-CN"/>
        </w:rPr>
        <w:t>产业研究为主要能力基础的主观股票管理人。其“大周期”策略并非传统意义上的周期股 Beta 配置，而是以供需变化为统一分析框架，在化工、有色、贵金属、农产品、新材料及部分出海产</w:t>
      </w:r>
      <w:proofErr w:type="gramStart"/>
      <w:r w:rsidRPr="00BF051E">
        <w:rPr>
          <w:rFonts w:eastAsia="微软雅黑"/>
          <w:lang w:eastAsia="zh-CN"/>
        </w:rPr>
        <w:t>能方向</w:t>
      </w:r>
      <w:proofErr w:type="gramEnd"/>
      <w:r w:rsidRPr="00BF051E">
        <w:rPr>
          <w:rFonts w:eastAsia="微软雅黑"/>
          <w:lang w:eastAsia="zh-CN"/>
        </w:rPr>
        <w:t>中，寻找价格、库存、产能、成本与利润预期之间的错配机会。</w:t>
      </w:r>
    </w:p>
    <w:p w14:paraId="44336CDC" w14:textId="77777777" w:rsidR="00A6207F" w:rsidRPr="00BF051E" w:rsidRDefault="00000000" w:rsidP="00156E3A">
      <w:pPr>
        <w:spacing w:after="100"/>
        <w:jc w:val="both"/>
        <w:rPr>
          <w:rFonts w:eastAsia="微软雅黑"/>
          <w:lang w:eastAsia="zh-CN"/>
        </w:rPr>
      </w:pPr>
      <w:r w:rsidRPr="00BF051E">
        <w:rPr>
          <w:rFonts w:eastAsia="微软雅黑"/>
          <w:lang w:eastAsia="zh-CN"/>
        </w:rPr>
        <w:t>从配置视角看，庄贤的价值在于提供与消费、医药、TMT 等主流成长风格不同的收益来源。</w:t>
      </w:r>
      <w:r w:rsidRPr="00BF051E">
        <w:rPr>
          <w:rFonts w:eastAsia="微软雅黑"/>
          <w:b/>
          <w:lang w:eastAsia="zh-CN"/>
        </w:rPr>
        <w:t>其优势集中在化工产业链认知、细分品种供需跟踪、事件响应和个股兑现判断，较适合在供给冲击、需求爆发、供需紧平衡、资源</w:t>
      </w:r>
      <w:proofErr w:type="gramStart"/>
      <w:r w:rsidRPr="00BF051E">
        <w:rPr>
          <w:rFonts w:eastAsia="微软雅黑"/>
          <w:b/>
          <w:lang w:eastAsia="zh-CN"/>
        </w:rPr>
        <w:t>重估及政策</w:t>
      </w:r>
      <w:proofErr w:type="gramEnd"/>
      <w:r w:rsidRPr="00BF051E">
        <w:rPr>
          <w:rFonts w:eastAsia="微软雅黑"/>
          <w:b/>
          <w:lang w:eastAsia="zh-CN"/>
        </w:rPr>
        <w:t>推动出清的环境中发挥作用。</w:t>
      </w:r>
    </w:p>
    <w:p w14:paraId="03E41927" w14:textId="77777777" w:rsidR="00A6207F" w:rsidRPr="00BF051E" w:rsidRDefault="00000000" w:rsidP="00156E3A">
      <w:pPr>
        <w:spacing w:after="100"/>
        <w:jc w:val="both"/>
        <w:rPr>
          <w:rFonts w:eastAsia="微软雅黑"/>
          <w:lang w:eastAsia="zh-CN"/>
        </w:rPr>
      </w:pPr>
      <w:r w:rsidRPr="00BF051E">
        <w:rPr>
          <w:rFonts w:eastAsia="微软雅黑"/>
          <w:lang w:eastAsia="zh-CN"/>
        </w:rPr>
        <w:t>同时，庄贤不是低波动、全天候或全市场均衡型管理人。锐进2号作为运行时间最长的代表产品，自2018年以来</w:t>
      </w:r>
      <w:proofErr w:type="gramStart"/>
      <w:r w:rsidRPr="00BF051E">
        <w:rPr>
          <w:rFonts w:eastAsia="微软雅黑"/>
          <w:lang w:eastAsia="zh-CN"/>
        </w:rPr>
        <w:t>年化收益</w:t>
      </w:r>
      <w:proofErr w:type="gramEnd"/>
      <w:r w:rsidRPr="00BF051E">
        <w:rPr>
          <w:rFonts w:eastAsia="微软雅黑"/>
          <w:lang w:eastAsia="zh-CN"/>
        </w:rPr>
        <w:t>24.39%，最大回撤-33.13%，回撤区间为2021年12月至2024年2月，回撤时长26个月、修复耗时19个月。</w:t>
      </w:r>
      <w:proofErr w:type="gramStart"/>
      <w:r w:rsidRPr="00BF051E">
        <w:rPr>
          <w:rFonts w:eastAsia="微软雅黑"/>
          <w:lang w:eastAsia="zh-CN"/>
        </w:rPr>
        <w:t>该业绩</w:t>
      </w:r>
      <w:proofErr w:type="gramEnd"/>
      <w:r w:rsidRPr="00BF051E">
        <w:rPr>
          <w:rFonts w:eastAsia="微软雅黑"/>
          <w:lang w:eastAsia="zh-CN"/>
        </w:rPr>
        <w:t>特征说明，其长期收益具有较强弹性，但净值体验高度依赖周期、资源和化工方向的市场环境。</w:t>
      </w:r>
    </w:p>
    <w:p w14:paraId="60A5AFDA" w14:textId="77777777" w:rsidR="00A6207F" w:rsidRPr="00BF051E" w:rsidRDefault="00000000" w:rsidP="00156E3A">
      <w:pPr>
        <w:spacing w:after="100"/>
        <w:jc w:val="both"/>
        <w:rPr>
          <w:rFonts w:eastAsia="微软雅黑"/>
          <w:lang w:eastAsia="zh-CN"/>
        </w:rPr>
      </w:pPr>
      <w:r w:rsidRPr="00BF051E">
        <w:rPr>
          <w:rFonts w:eastAsia="微软雅黑"/>
          <w:b/>
          <w:lang w:eastAsia="zh-CN"/>
        </w:rPr>
        <w:t>更进一步看，2022-2023年连续亏损并不只是单一年份的投资失误，而是对策略底层假设的一次压力测试：当供需改善、利润增长和股价表现之间的传导链条被资金流出、估值下移和风格偏离削弱时，产业研究优势难以完全转化为净值收益。</w:t>
      </w:r>
      <w:r w:rsidRPr="00BF051E">
        <w:rPr>
          <w:rFonts w:eastAsia="微软雅黑"/>
          <w:lang w:eastAsia="zh-CN"/>
        </w:rPr>
        <w:t xml:space="preserve"> 因此，对庄贤的评价应同时关注其“找机会”的能力和“环境不适配时控制暴露”的能力。</w:t>
      </w:r>
    </w:p>
    <w:p w14:paraId="4F58315C" w14:textId="77777777" w:rsidR="00A6207F" w:rsidRPr="00BF051E" w:rsidRDefault="00000000" w:rsidP="00156E3A">
      <w:pPr>
        <w:spacing w:after="100"/>
        <w:jc w:val="both"/>
        <w:rPr>
          <w:rFonts w:eastAsia="微软雅黑"/>
          <w:lang w:eastAsia="zh-CN"/>
        </w:rPr>
      </w:pPr>
      <w:r w:rsidRPr="00BF051E">
        <w:rPr>
          <w:rFonts w:eastAsia="微软雅黑"/>
          <w:lang w:eastAsia="zh-CN"/>
        </w:rPr>
        <w:lastRenderedPageBreak/>
        <w:t>综合判断，庄贤适合作为权益组合中的周期/资源/化工专项增强模块，而非核心权益底仓或绝对收益替代。配置前提是投资人认可其能力圈，接受阶段性长回撤，并持续跟踪其收益是否来自化工和泛周期供需错配，而非单一市场环境红利或风格外延漂移。</w:t>
      </w:r>
    </w:p>
    <w:tbl>
      <w:tblPr>
        <w:tblStyle w:val="aff1"/>
        <w:tblW w:w="0" w:type="auto"/>
        <w:jc w:val="center"/>
        <w:tblLook w:val="04A0" w:firstRow="1" w:lastRow="0" w:firstColumn="1" w:lastColumn="0" w:noHBand="0" w:noVBand="1"/>
      </w:tblPr>
      <w:tblGrid>
        <w:gridCol w:w="1560"/>
        <w:gridCol w:w="8186"/>
      </w:tblGrid>
      <w:tr w:rsidR="00A6207F" w:rsidRPr="00BF051E" w14:paraId="4BD9A050" w14:textId="77777777" w:rsidTr="00302758">
        <w:trPr>
          <w:jc w:val="center"/>
        </w:trPr>
        <w:tc>
          <w:tcPr>
            <w:tcW w:w="1560" w:type="dxa"/>
            <w:noWrap/>
            <w:vAlign w:val="center"/>
          </w:tcPr>
          <w:p w14:paraId="056A773C" w14:textId="77777777" w:rsidR="00A6207F" w:rsidRPr="00BF051E" w:rsidRDefault="00000000" w:rsidP="00156E3A">
            <w:pPr>
              <w:spacing w:line="276" w:lineRule="auto"/>
              <w:jc w:val="both"/>
              <w:rPr>
                <w:rFonts w:eastAsia="微软雅黑"/>
              </w:rPr>
            </w:pPr>
            <w:proofErr w:type="spellStart"/>
            <w:r w:rsidRPr="00BF051E">
              <w:rPr>
                <w:rFonts w:eastAsia="微软雅黑"/>
                <w:b/>
                <w:sz w:val="17"/>
              </w:rPr>
              <w:t>策略评价主线</w:t>
            </w:r>
            <w:proofErr w:type="spellEnd"/>
          </w:p>
        </w:tc>
        <w:tc>
          <w:tcPr>
            <w:tcW w:w="8186" w:type="dxa"/>
            <w:noWrap/>
            <w:vAlign w:val="center"/>
          </w:tcPr>
          <w:p w14:paraId="606CDFFC" w14:textId="77777777" w:rsidR="00A6207F" w:rsidRPr="00BF051E" w:rsidRDefault="00000000" w:rsidP="00156E3A">
            <w:pPr>
              <w:spacing w:line="276" w:lineRule="auto"/>
              <w:jc w:val="both"/>
              <w:rPr>
                <w:rFonts w:eastAsia="微软雅黑"/>
              </w:rPr>
            </w:pPr>
            <w:r w:rsidRPr="00BF051E">
              <w:rPr>
                <w:rFonts w:eastAsia="微软雅黑"/>
                <w:b/>
                <w:sz w:val="17"/>
              </w:rPr>
              <w:t>重点观察</w:t>
            </w:r>
          </w:p>
        </w:tc>
      </w:tr>
      <w:tr w:rsidR="00A6207F" w:rsidRPr="00BF051E" w14:paraId="29076555" w14:textId="77777777" w:rsidTr="00302758">
        <w:trPr>
          <w:jc w:val="center"/>
        </w:trPr>
        <w:tc>
          <w:tcPr>
            <w:tcW w:w="1560" w:type="dxa"/>
            <w:noWrap/>
            <w:vAlign w:val="center"/>
          </w:tcPr>
          <w:p w14:paraId="76E7E7C3" w14:textId="77777777" w:rsidR="00A6207F" w:rsidRPr="00BF051E" w:rsidRDefault="00000000" w:rsidP="00156E3A">
            <w:pPr>
              <w:spacing w:line="276" w:lineRule="auto"/>
              <w:jc w:val="both"/>
              <w:rPr>
                <w:rFonts w:eastAsia="微软雅黑"/>
              </w:rPr>
            </w:pPr>
            <w:r w:rsidRPr="00BF051E">
              <w:rPr>
                <w:rFonts w:eastAsia="微软雅黑"/>
                <w:sz w:val="17"/>
              </w:rPr>
              <w:t>收益来源</w:t>
            </w:r>
          </w:p>
        </w:tc>
        <w:tc>
          <w:tcPr>
            <w:tcW w:w="8186" w:type="dxa"/>
            <w:noWrap/>
            <w:vAlign w:val="center"/>
          </w:tcPr>
          <w:p w14:paraId="39B327B7"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供需拐点、资源重估、政策出清和个股利润兑现。</w:t>
            </w:r>
          </w:p>
        </w:tc>
      </w:tr>
      <w:tr w:rsidR="00A6207F" w:rsidRPr="00BF051E" w14:paraId="22BE61C3" w14:textId="77777777" w:rsidTr="00302758">
        <w:trPr>
          <w:jc w:val="center"/>
        </w:trPr>
        <w:tc>
          <w:tcPr>
            <w:tcW w:w="1560" w:type="dxa"/>
            <w:noWrap/>
            <w:vAlign w:val="center"/>
          </w:tcPr>
          <w:p w14:paraId="1BC73D28"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主要约束</w:t>
            </w:r>
            <w:proofErr w:type="spellEnd"/>
          </w:p>
        </w:tc>
        <w:tc>
          <w:tcPr>
            <w:tcW w:w="8186" w:type="dxa"/>
            <w:noWrap/>
            <w:vAlign w:val="center"/>
          </w:tcPr>
          <w:p w14:paraId="4581E1C0"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周期环境依赖、阶段性深回撤、产品线底层风险相关性较高。</w:t>
            </w:r>
          </w:p>
        </w:tc>
      </w:tr>
      <w:tr w:rsidR="00A6207F" w:rsidRPr="00BF051E" w14:paraId="0441A0B2" w14:textId="77777777" w:rsidTr="00302758">
        <w:trPr>
          <w:jc w:val="center"/>
        </w:trPr>
        <w:tc>
          <w:tcPr>
            <w:tcW w:w="1560" w:type="dxa"/>
            <w:noWrap/>
            <w:vAlign w:val="center"/>
          </w:tcPr>
          <w:p w14:paraId="7CB9359A"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跟踪重点</w:t>
            </w:r>
            <w:proofErr w:type="spellEnd"/>
          </w:p>
        </w:tc>
        <w:tc>
          <w:tcPr>
            <w:tcW w:w="8186" w:type="dxa"/>
            <w:noWrap/>
            <w:vAlign w:val="center"/>
          </w:tcPr>
          <w:p w14:paraId="684A44E3"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价格、库存、政策、资金流向、规模容量和风控执行。</w:t>
            </w:r>
          </w:p>
        </w:tc>
      </w:tr>
    </w:tbl>
    <w:p w14:paraId="64BE732D" w14:textId="77777777" w:rsidR="00A6207F" w:rsidRPr="00BF051E" w:rsidRDefault="00A6207F" w:rsidP="00156E3A">
      <w:pPr>
        <w:jc w:val="both"/>
        <w:rPr>
          <w:rFonts w:eastAsia="微软雅黑"/>
          <w:lang w:eastAsia="zh-CN"/>
        </w:rPr>
      </w:pPr>
    </w:p>
    <w:p w14:paraId="79556D1F"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t>一、团队背景与核心人员</w:t>
      </w:r>
    </w:p>
    <w:p w14:paraId="5D482E0E"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1.1 组织基因：实体产业背景塑造研究路径</w:t>
      </w:r>
    </w:p>
    <w:p w14:paraId="351BA93A" w14:textId="77777777" w:rsidR="00A6207F" w:rsidRPr="00BF051E" w:rsidRDefault="00000000" w:rsidP="00156E3A">
      <w:pPr>
        <w:spacing w:after="100"/>
        <w:jc w:val="both"/>
        <w:rPr>
          <w:rFonts w:eastAsia="微软雅黑"/>
          <w:lang w:eastAsia="zh-CN"/>
        </w:rPr>
      </w:pPr>
      <w:r w:rsidRPr="00BF051E">
        <w:rPr>
          <w:rFonts w:eastAsia="微软雅黑"/>
          <w:lang w:eastAsia="zh-CN"/>
        </w:rPr>
        <w:t>庄贤投资成立于2016年，具备私募基金管理人资格。公司早期与实体企业投资部门渊源较深，投</w:t>
      </w:r>
      <w:proofErr w:type="gramStart"/>
      <w:r w:rsidRPr="00BF051E">
        <w:rPr>
          <w:rFonts w:eastAsia="微软雅黑"/>
          <w:lang w:eastAsia="zh-CN"/>
        </w:rPr>
        <w:t>研</w:t>
      </w:r>
      <w:proofErr w:type="gramEnd"/>
      <w:r w:rsidRPr="00BF051E">
        <w:rPr>
          <w:rFonts w:eastAsia="微软雅黑"/>
          <w:lang w:eastAsia="zh-CN"/>
        </w:rPr>
        <w:t>体系更偏产业链和企业经营视角，而非单纯从二级市场行业分类出发。长三角化工和制造业企业资源，是其形成大周期策略的重要基础。</w:t>
      </w:r>
    </w:p>
    <w:p w14:paraId="0137DD42"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1.2 核心人员：宏观框架与化工研究互补</w:t>
      </w:r>
    </w:p>
    <w:p w14:paraId="572FCF84" w14:textId="77777777" w:rsidR="00A6207F" w:rsidRPr="00BF051E" w:rsidRDefault="00000000" w:rsidP="00156E3A">
      <w:pPr>
        <w:spacing w:after="100"/>
        <w:jc w:val="both"/>
        <w:rPr>
          <w:rFonts w:eastAsia="微软雅黑"/>
          <w:lang w:eastAsia="zh-CN"/>
        </w:rPr>
      </w:pPr>
      <w:r w:rsidRPr="00BF051E">
        <w:rPr>
          <w:rFonts w:eastAsia="微软雅黑"/>
          <w:lang w:eastAsia="zh-CN"/>
        </w:rPr>
        <w:t>王安为总经理</w:t>
      </w:r>
      <w:proofErr w:type="gramStart"/>
      <w:r w:rsidRPr="00BF051E">
        <w:rPr>
          <w:rFonts w:eastAsia="微软雅黑"/>
          <w:lang w:eastAsia="zh-CN"/>
        </w:rPr>
        <w:t>兼基金</w:t>
      </w:r>
      <w:proofErr w:type="gramEnd"/>
      <w:r w:rsidRPr="00BF051E">
        <w:rPr>
          <w:rFonts w:eastAsia="微软雅黑"/>
          <w:lang w:eastAsia="zh-CN"/>
        </w:rPr>
        <w:t>经理，清华大学金融硕士，曾任 BDA 投资咨询（老虎基金亚太研究）投资分析师、复星集团投资经理。其早期研究训练偏重基础数据核验和证伪思维，产业投资经历则强化了从企业经营视角理解资产价值的能力。2016年王安回到杭州三元集团任投资部总经理，庄贤的设立与三元控股集团投资部具有直接渊源。该履历使庄贤天然更贴近制造业、化工和周期资产，也解释了其策略长期围绕供需、成本、产能、库存和产业链景气展开。</w:t>
      </w:r>
    </w:p>
    <w:p w14:paraId="6038F10A" w14:textId="77777777" w:rsidR="00A6207F" w:rsidRPr="00BF051E" w:rsidRDefault="00000000" w:rsidP="00156E3A">
      <w:pPr>
        <w:spacing w:after="100"/>
        <w:jc w:val="both"/>
        <w:rPr>
          <w:rFonts w:eastAsia="微软雅黑"/>
          <w:lang w:eastAsia="zh-CN"/>
        </w:rPr>
      </w:pPr>
      <w:r w:rsidRPr="00BF051E">
        <w:rPr>
          <w:rFonts w:eastAsia="微软雅黑"/>
          <w:lang w:eastAsia="zh-CN"/>
        </w:rPr>
        <w:t>宋哲建为基金经理，清华大学工学硕士、化学工程学士，曾任中投证券行业研究员、富国基金资深高级研究员，2020年7月加入庄贤。其优势在于化工产业链研究、技术路线、成本结构和细分品类供需判断。</w:t>
      </w:r>
      <w:proofErr w:type="gramStart"/>
      <w:r w:rsidRPr="00BF051E">
        <w:rPr>
          <w:rFonts w:eastAsia="微软雅黑"/>
          <w:lang w:eastAsia="zh-CN"/>
        </w:rPr>
        <w:t>宋哲建的</w:t>
      </w:r>
      <w:proofErr w:type="gramEnd"/>
      <w:r w:rsidRPr="00BF051E">
        <w:rPr>
          <w:rFonts w:eastAsia="微软雅黑"/>
          <w:lang w:eastAsia="zh-CN"/>
        </w:rPr>
        <w:t>加入增强了庄贤股票策略的化工研究深度，使其研究能力不只依赖产业资源，也具备较系统的买方研究方法。</w:t>
      </w:r>
    </w:p>
    <w:p w14:paraId="0383FC21"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1.3 能力边界：核心化工圈向泛周期延伸</w:t>
      </w:r>
    </w:p>
    <w:p w14:paraId="796C3C40" w14:textId="77777777" w:rsidR="00A6207F" w:rsidRPr="00BF051E" w:rsidRDefault="00000000" w:rsidP="00156E3A">
      <w:pPr>
        <w:spacing w:after="100"/>
        <w:jc w:val="both"/>
        <w:rPr>
          <w:rFonts w:eastAsia="微软雅黑"/>
          <w:lang w:eastAsia="zh-CN"/>
        </w:rPr>
      </w:pPr>
      <w:r w:rsidRPr="00BF051E">
        <w:rPr>
          <w:rFonts w:eastAsia="微软雅黑"/>
          <w:lang w:eastAsia="zh-CN"/>
        </w:rPr>
        <w:t>投</w:t>
      </w:r>
      <w:proofErr w:type="gramStart"/>
      <w:r w:rsidRPr="00BF051E">
        <w:rPr>
          <w:rFonts w:eastAsia="微软雅黑"/>
          <w:lang w:eastAsia="zh-CN"/>
        </w:rPr>
        <w:t>研</w:t>
      </w:r>
      <w:proofErr w:type="gramEnd"/>
      <w:r w:rsidRPr="00BF051E">
        <w:rPr>
          <w:rFonts w:eastAsia="微软雅黑"/>
          <w:lang w:eastAsia="zh-CN"/>
        </w:rPr>
        <w:t>能力圈呈现明显层次：核心化工圈覆盖约100-150只化工大板块个股，典型周期圈覆盖工业、农业等周期属性标的，泛周期圈覆盖部分金融、消费等具周期属性的方向。该分层反映了庄贤的</w:t>
      </w:r>
      <w:proofErr w:type="gramStart"/>
      <w:r w:rsidRPr="00BF051E">
        <w:rPr>
          <w:rFonts w:eastAsia="微软雅黑"/>
          <w:lang w:eastAsia="zh-CN"/>
        </w:rPr>
        <w:t>真实优势</w:t>
      </w:r>
      <w:proofErr w:type="gramEnd"/>
      <w:r w:rsidRPr="00BF051E">
        <w:rPr>
          <w:rFonts w:eastAsia="微软雅黑"/>
          <w:lang w:eastAsia="zh-CN"/>
        </w:rPr>
        <w:t>边界：化工为最高置信度，典型周期次之，泛周期更多承担补充表达功能。</w:t>
      </w:r>
    </w:p>
    <w:p w14:paraId="48506147" w14:textId="77777777" w:rsidR="00A6207F" w:rsidRPr="00BF051E" w:rsidRDefault="00000000" w:rsidP="00156E3A">
      <w:pPr>
        <w:spacing w:after="100"/>
        <w:jc w:val="both"/>
        <w:rPr>
          <w:rFonts w:eastAsia="微软雅黑"/>
          <w:lang w:eastAsia="zh-CN"/>
        </w:rPr>
      </w:pPr>
      <w:r w:rsidRPr="00BF051E">
        <w:rPr>
          <w:rFonts w:eastAsia="微软雅黑"/>
          <w:lang w:eastAsia="zh-CN"/>
        </w:rPr>
        <w:lastRenderedPageBreak/>
        <w:t>因此，庄贤的竞争力来自“核心人员+产业网络+化工研究”的组合。优势是风格稳定、反应较快、能力圈清晰；局限是核心人员依赖较高，策略外延扩张需要相应研究资源承接。若未来规模继续扩大或产品线进一步外延，团队宽度和投资决策分工将成为重要观察点。</w:t>
      </w:r>
    </w:p>
    <w:tbl>
      <w:tblPr>
        <w:tblStyle w:val="aff1"/>
        <w:tblW w:w="0" w:type="auto"/>
        <w:jc w:val="center"/>
        <w:tblLook w:val="04A0" w:firstRow="1" w:lastRow="0" w:firstColumn="1" w:lastColumn="0" w:noHBand="0" w:noVBand="1"/>
      </w:tblPr>
      <w:tblGrid>
        <w:gridCol w:w="1701"/>
        <w:gridCol w:w="8045"/>
      </w:tblGrid>
      <w:tr w:rsidR="00A6207F" w:rsidRPr="00BF051E" w14:paraId="72F58AC4" w14:textId="77777777" w:rsidTr="00302758">
        <w:trPr>
          <w:jc w:val="center"/>
        </w:trPr>
        <w:tc>
          <w:tcPr>
            <w:tcW w:w="1701" w:type="dxa"/>
            <w:noWrap/>
            <w:vAlign w:val="center"/>
          </w:tcPr>
          <w:p w14:paraId="4EB0CEB6" w14:textId="77777777" w:rsidR="00A6207F" w:rsidRPr="00BF051E" w:rsidRDefault="00000000" w:rsidP="00156E3A">
            <w:pPr>
              <w:spacing w:line="276" w:lineRule="auto"/>
              <w:jc w:val="both"/>
              <w:rPr>
                <w:rFonts w:eastAsia="微软雅黑"/>
              </w:rPr>
            </w:pPr>
            <w:proofErr w:type="spellStart"/>
            <w:r w:rsidRPr="00BF051E">
              <w:rPr>
                <w:rFonts w:eastAsia="微软雅黑"/>
                <w:b/>
                <w:sz w:val="17"/>
              </w:rPr>
              <w:t>团队能力拆解</w:t>
            </w:r>
            <w:proofErr w:type="spellEnd"/>
          </w:p>
        </w:tc>
        <w:tc>
          <w:tcPr>
            <w:tcW w:w="8045" w:type="dxa"/>
            <w:noWrap/>
            <w:vAlign w:val="center"/>
          </w:tcPr>
          <w:p w14:paraId="6FF707DD" w14:textId="77777777" w:rsidR="00A6207F" w:rsidRPr="00BF051E" w:rsidRDefault="00000000" w:rsidP="00156E3A">
            <w:pPr>
              <w:spacing w:line="276" w:lineRule="auto"/>
              <w:jc w:val="both"/>
              <w:rPr>
                <w:rFonts w:eastAsia="微软雅黑"/>
              </w:rPr>
            </w:pPr>
            <w:r w:rsidRPr="00BF051E">
              <w:rPr>
                <w:rFonts w:eastAsia="微软雅黑"/>
                <w:b/>
                <w:sz w:val="17"/>
              </w:rPr>
              <w:t>对策略的含义</w:t>
            </w:r>
          </w:p>
        </w:tc>
      </w:tr>
      <w:tr w:rsidR="00A6207F" w:rsidRPr="00BF051E" w14:paraId="357B09AB" w14:textId="77777777" w:rsidTr="00302758">
        <w:trPr>
          <w:jc w:val="center"/>
        </w:trPr>
        <w:tc>
          <w:tcPr>
            <w:tcW w:w="1701" w:type="dxa"/>
            <w:noWrap/>
            <w:vAlign w:val="center"/>
          </w:tcPr>
          <w:p w14:paraId="50D9672E" w14:textId="77777777" w:rsidR="00A6207F" w:rsidRPr="00BF051E" w:rsidRDefault="00000000" w:rsidP="00156E3A">
            <w:pPr>
              <w:spacing w:line="276" w:lineRule="auto"/>
              <w:jc w:val="both"/>
              <w:rPr>
                <w:rFonts w:eastAsia="微软雅黑"/>
              </w:rPr>
            </w:pPr>
            <w:r w:rsidRPr="00BF051E">
              <w:rPr>
                <w:rFonts w:eastAsia="微软雅黑"/>
                <w:sz w:val="17"/>
              </w:rPr>
              <w:t>产业背景</w:t>
            </w:r>
          </w:p>
        </w:tc>
        <w:tc>
          <w:tcPr>
            <w:tcW w:w="8045" w:type="dxa"/>
            <w:noWrap/>
            <w:vAlign w:val="center"/>
          </w:tcPr>
          <w:p w14:paraId="3F5831CB"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强化从企业经营、成本、产能和供需角度理解资产价值。</w:t>
            </w:r>
          </w:p>
        </w:tc>
      </w:tr>
      <w:tr w:rsidR="00A6207F" w:rsidRPr="00BF051E" w14:paraId="59428066" w14:textId="77777777" w:rsidTr="00302758">
        <w:trPr>
          <w:jc w:val="center"/>
        </w:trPr>
        <w:tc>
          <w:tcPr>
            <w:tcW w:w="1701" w:type="dxa"/>
            <w:noWrap/>
            <w:vAlign w:val="center"/>
          </w:tcPr>
          <w:p w14:paraId="4C2EC58E"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化工研究</w:t>
            </w:r>
            <w:proofErr w:type="spellEnd"/>
          </w:p>
        </w:tc>
        <w:tc>
          <w:tcPr>
            <w:tcW w:w="8045" w:type="dxa"/>
            <w:noWrap/>
            <w:vAlign w:val="center"/>
          </w:tcPr>
          <w:p w14:paraId="395DA9A9"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提升细分品种、技术路线、成本结构和利润兑现判断能力。</w:t>
            </w:r>
          </w:p>
        </w:tc>
      </w:tr>
      <w:tr w:rsidR="00A6207F" w:rsidRPr="00BF051E" w14:paraId="5D3A6683" w14:textId="77777777" w:rsidTr="00302758">
        <w:trPr>
          <w:jc w:val="center"/>
        </w:trPr>
        <w:tc>
          <w:tcPr>
            <w:tcW w:w="1701" w:type="dxa"/>
            <w:noWrap/>
            <w:vAlign w:val="center"/>
          </w:tcPr>
          <w:p w14:paraId="6744B83F"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核心人员依赖</w:t>
            </w:r>
            <w:proofErr w:type="spellEnd"/>
          </w:p>
        </w:tc>
        <w:tc>
          <w:tcPr>
            <w:tcW w:w="8045" w:type="dxa"/>
            <w:noWrap/>
            <w:vAlign w:val="center"/>
          </w:tcPr>
          <w:p w14:paraId="525D3801"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风格稳定但组织弹性有限，规模扩大后需观察团队宽度。</w:t>
            </w:r>
          </w:p>
        </w:tc>
      </w:tr>
    </w:tbl>
    <w:p w14:paraId="247B9BDD" w14:textId="77777777" w:rsidR="00A6207F" w:rsidRPr="00BF051E" w:rsidRDefault="00A6207F" w:rsidP="00156E3A">
      <w:pPr>
        <w:jc w:val="both"/>
        <w:rPr>
          <w:rFonts w:eastAsia="微软雅黑"/>
          <w:lang w:eastAsia="zh-CN"/>
        </w:rPr>
      </w:pPr>
    </w:p>
    <w:p w14:paraId="351732D2"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t>二、产品线与业绩分析</w:t>
      </w:r>
    </w:p>
    <w:p w14:paraId="56056B58"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2.1 产品线差异：同一框架下的不同风险预算</w:t>
      </w:r>
    </w:p>
    <w:p w14:paraId="28F3ECA1" w14:textId="77777777" w:rsidR="00A6207F" w:rsidRPr="00BF051E" w:rsidRDefault="00000000" w:rsidP="00156E3A">
      <w:pPr>
        <w:spacing w:after="100"/>
        <w:jc w:val="both"/>
        <w:rPr>
          <w:rFonts w:eastAsia="微软雅黑"/>
          <w:lang w:eastAsia="zh-CN"/>
        </w:rPr>
      </w:pPr>
      <w:r w:rsidRPr="00BF051E">
        <w:rPr>
          <w:rFonts w:eastAsia="微软雅黑"/>
          <w:lang w:eastAsia="zh-CN"/>
        </w:rPr>
        <w:t>庄贤股票多头策略主要形成锐进、锐远、</w:t>
      </w:r>
      <w:proofErr w:type="gramStart"/>
      <w:r w:rsidRPr="00BF051E">
        <w:rPr>
          <w:rFonts w:eastAsia="微软雅黑"/>
          <w:lang w:eastAsia="zh-CN"/>
        </w:rPr>
        <w:t>锐途三类</w:t>
      </w:r>
      <w:proofErr w:type="gramEnd"/>
      <w:r w:rsidRPr="00BF051E">
        <w:rPr>
          <w:rFonts w:eastAsia="微软雅黑"/>
          <w:lang w:eastAsia="zh-CN"/>
        </w:rPr>
        <w:t>产品线。三者共享同一套大周期供需研究框架，但在组合约束、工具使用、个股弹性和目标客户风险偏好上存在差异。</w:t>
      </w:r>
    </w:p>
    <w:p w14:paraId="30C9B847" w14:textId="77777777" w:rsidR="00A6207F" w:rsidRPr="00BF051E" w:rsidRDefault="00000000" w:rsidP="00156E3A">
      <w:pPr>
        <w:spacing w:after="100"/>
        <w:jc w:val="both"/>
        <w:rPr>
          <w:rFonts w:eastAsia="微软雅黑"/>
          <w:lang w:eastAsia="zh-CN"/>
        </w:rPr>
      </w:pPr>
      <w:r w:rsidRPr="00BF051E">
        <w:rPr>
          <w:rFonts w:eastAsia="微软雅黑"/>
          <w:lang w:eastAsia="zh-CN"/>
        </w:rPr>
        <w:t>锐进系列更接近庄贤股票策略的基础版本，围绕A</w:t>
      </w:r>
      <w:proofErr w:type="gramStart"/>
      <w:r w:rsidRPr="00BF051E">
        <w:rPr>
          <w:rFonts w:eastAsia="微软雅黑"/>
          <w:lang w:eastAsia="zh-CN"/>
        </w:rPr>
        <w:t>股典型</w:t>
      </w:r>
      <w:proofErr w:type="gramEnd"/>
      <w:r w:rsidRPr="00BF051E">
        <w:rPr>
          <w:rFonts w:eastAsia="微软雅黑"/>
          <w:lang w:eastAsia="zh-CN"/>
        </w:rPr>
        <w:t>周期股供需错配进行布局，强调景气度拐点、持仓均衡和风险收益平衡。该系列运行时间最长，更适合作为观察庄贤核心策略穿越不同市场环境能力的样本。</w:t>
      </w:r>
    </w:p>
    <w:p w14:paraId="45AF42D3" w14:textId="77777777" w:rsidR="00A6207F" w:rsidRPr="00BF051E" w:rsidRDefault="00000000" w:rsidP="00156E3A">
      <w:pPr>
        <w:spacing w:after="100"/>
        <w:jc w:val="both"/>
        <w:rPr>
          <w:rFonts w:eastAsia="微软雅黑"/>
          <w:lang w:eastAsia="zh-CN"/>
        </w:rPr>
      </w:pPr>
      <w:r w:rsidRPr="00BF051E">
        <w:rPr>
          <w:rFonts w:eastAsia="微软雅黑"/>
          <w:lang w:eastAsia="zh-CN"/>
        </w:rPr>
        <w:t>锐</w:t>
      </w:r>
      <w:proofErr w:type="gramStart"/>
      <w:r w:rsidRPr="00BF051E">
        <w:rPr>
          <w:rFonts w:eastAsia="微软雅黑"/>
          <w:lang w:eastAsia="zh-CN"/>
        </w:rPr>
        <w:t>远系列</w:t>
      </w:r>
      <w:proofErr w:type="gramEnd"/>
      <w:r w:rsidRPr="00BF051E">
        <w:rPr>
          <w:rFonts w:eastAsia="微软雅黑"/>
          <w:lang w:eastAsia="zh-CN"/>
        </w:rPr>
        <w:t>定位更进取，弹性和集中度更高，且可通过收益互换等工具参与部分港股非通标的。其收益弹性显著强于锐进，但波动水平也更高，更适合风险预算较高、希望增强周期成长弹性的资金。</w:t>
      </w:r>
    </w:p>
    <w:p w14:paraId="6FA379FB" w14:textId="77777777" w:rsidR="00A6207F" w:rsidRPr="00BF051E" w:rsidRDefault="00000000" w:rsidP="00156E3A">
      <w:pPr>
        <w:spacing w:after="100"/>
        <w:jc w:val="both"/>
        <w:rPr>
          <w:rFonts w:eastAsia="微软雅黑"/>
          <w:lang w:eastAsia="zh-CN"/>
        </w:rPr>
      </w:pPr>
      <w:proofErr w:type="gramStart"/>
      <w:r w:rsidRPr="00BF051E">
        <w:rPr>
          <w:rFonts w:eastAsia="微软雅黑"/>
          <w:lang w:eastAsia="zh-CN"/>
        </w:rPr>
        <w:t>锐途系列</w:t>
      </w:r>
      <w:proofErr w:type="gramEnd"/>
      <w:r w:rsidRPr="00BF051E">
        <w:rPr>
          <w:rFonts w:eastAsia="微软雅黑"/>
          <w:lang w:eastAsia="zh-CN"/>
        </w:rPr>
        <w:t>定位更保守，主要通过较低</w:t>
      </w:r>
      <w:proofErr w:type="gramStart"/>
      <w:r w:rsidRPr="00BF051E">
        <w:rPr>
          <w:rFonts w:eastAsia="微软雅黑"/>
          <w:lang w:eastAsia="zh-CN"/>
        </w:rPr>
        <w:t>仓位</w:t>
      </w:r>
      <w:proofErr w:type="gramEnd"/>
      <w:r w:rsidRPr="00BF051E">
        <w:rPr>
          <w:rFonts w:eastAsia="微软雅黑"/>
          <w:lang w:eastAsia="zh-CN"/>
        </w:rPr>
        <w:t>、低估值标的和更严格</w:t>
      </w:r>
      <w:proofErr w:type="gramStart"/>
      <w:r w:rsidRPr="00BF051E">
        <w:rPr>
          <w:rFonts w:eastAsia="微软雅黑"/>
          <w:lang w:eastAsia="zh-CN"/>
        </w:rPr>
        <w:t>仓位</w:t>
      </w:r>
      <w:proofErr w:type="gramEnd"/>
      <w:r w:rsidRPr="00BF051E">
        <w:rPr>
          <w:rFonts w:eastAsia="微软雅黑"/>
          <w:lang w:eastAsia="zh-CN"/>
        </w:rPr>
        <w:t>约束降低净值波动。该系列适合希望参与庄贤供需框架、但对回撤更敏感的资金。不过，</w:t>
      </w:r>
      <w:proofErr w:type="gramStart"/>
      <w:r w:rsidRPr="00BF051E">
        <w:rPr>
          <w:rFonts w:eastAsia="微软雅黑"/>
          <w:lang w:eastAsia="zh-CN"/>
        </w:rPr>
        <w:t>锐途并不</w:t>
      </w:r>
      <w:proofErr w:type="gramEnd"/>
      <w:r w:rsidRPr="00BF051E">
        <w:rPr>
          <w:rFonts w:eastAsia="微软雅黑"/>
          <w:lang w:eastAsia="zh-CN"/>
        </w:rPr>
        <w:t>改变底层资产属性，其波动降低更多来自</w:t>
      </w:r>
      <w:proofErr w:type="gramStart"/>
      <w:r w:rsidRPr="00BF051E">
        <w:rPr>
          <w:rFonts w:eastAsia="微软雅黑"/>
          <w:lang w:eastAsia="zh-CN"/>
        </w:rPr>
        <w:t>仓位</w:t>
      </w:r>
      <w:proofErr w:type="gramEnd"/>
      <w:r w:rsidRPr="00BF051E">
        <w:rPr>
          <w:rFonts w:eastAsia="微软雅黑"/>
          <w:lang w:eastAsia="zh-CN"/>
        </w:rPr>
        <w:t>控制，而非策略相关性显著下降。</w:t>
      </w:r>
    </w:p>
    <w:p w14:paraId="6D8B9083" w14:textId="77777777" w:rsidR="00A6207F" w:rsidRPr="00BF051E" w:rsidRDefault="00000000" w:rsidP="00156E3A">
      <w:pPr>
        <w:spacing w:after="100"/>
        <w:jc w:val="both"/>
        <w:rPr>
          <w:rFonts w:eastAsia="微软雅黑"/>
          <w:lang w:eastAsia="zh-CN"/>
        </w:rPr>
      </w:pPr>
      <w:r w:rsidRPr="00BF051E">
        <w:rPr>
          <w:rFonts w:eastAsia="微软雅黑"/>
          <w:b/>
          <w:lang w:eastAsia="zh-CN"/>
        </w:rPr>
        <w:t>因此，三条产品线的差异并非“策略不同”，而是同一策略在不同风险预算下的表达。机构配置时应先确定希望承担的周期/资源/化工风险敞口，再选择对应产品线，而不是将三</w:t>
      </w:r>
      <w:proofErr w:type="gramStart"/>
      <w:r w:rsidRPr="00BF051E">
        <w:rPr>
          <w:rFonts w:eastAsia="微软雅黑"/>
          <w:b/>
          <w:lang w:eastAsia="zh-CN"/>
        </w:rPr>
        <w:t>者简单</w:t>
      </w:r>
      <w:proofErr w:type="gramEnd"/>
      <w:r w:rsidRPr="00BF051E">
        <w:rPr>
          <w:rFonts w:eastAsia="微软雅黑"/>
          <w:b/>
          <w:lang w:eastAsia="zh-CN"/>
        </w:rPr>
        <w:t>视为分散化组合。</w:t>
      </w:r>
    </w:p>
    <w:p w14:paraId="1E33D506" w14:textId="77777777" w:rsidR="00A6207F" w:rsidRPr="00BF051E" w:rsidRDefault="00000000" w:rsidP="00156E3A">
      <w:pPr>
        <w:pStyle w:val="21"/>
        <w:spacing w:after="100"/>
        <w:jc w:val="both"/>
        <w:rPr>
          <w:rFonts w:ascii="微软雅黑" w:eastAsia="微软雅黑" w:hAnsi="微软雅黑"/>
        </w:rPr>
      </w:pPr>
      <w:r w:rsidRPr="00BF051E">
        <w:rPr>
          <w:rFonts w:ascii="微软雅黑" w:eastAsia="微软雅黑" w:hAnsi="微软雅黑"/>
          <w:b w:val="0"/>
        </w:rPr>
        <w:t xml:space="preserve">2.2 </w:t>
      </w:r>
      <w:proofErr w:type="spellStart"/>
      <w:r w:rsidRPr="00BF051E">
        <w:rPr>
          <w:rFonts w:ascii="微软雅黑" w:eastAsia="微软雅黑" w:hAnsi="微软雅黑"/>
          <w:b w:val="0"/>
        </w:rPr>
        <w:t>产品核心指标</w:t>
      </w:r>
      <w:proofErr w:type="spellEnd"/>
    </w:p>
    <w:tbl>
      <w:tblPr>
        <w:tblStyle w:val="aff1"/>
        <w:tblW w:w="0" w:type="auto"/>
        <w:jc w:val="center"/>
        <w:tblLook w:val="04A0" w:firstRow="1" w:lastRow="0" w:firstColumn="1" w:lastColumn="0" w:noHBand="0" w:noVBand="1"/>
      </w:tblPr>
      <w:tblGrid>
        <w:gridCol w:w="1218"/>
        <w:gridCol w:w="1218"/>
        <w:gridCol w:w="1218"/>
        <w:gridCol w:w="1218"/>
        <w:gridCol w:w="1218"/>
        <w:gridCol w:w="1847"/>
        <w:gridCol w:w="851"/>
        <w:gridCol w:w="956"/>
      </w:tblGrid>
      <w:tr w:rsidR="00A6207F" w:rsidRPr="00BF051E" w14:paraId="02AF1C0B" w14:textId="77777777" w:rsidTr="00302758">
        <w:trPr>
          <w:jc w:val="center"/>
        </w:trPr>
        <w:tc>
          <w:tcPr>
            <w:tcW w:w="1218" w:type="dxa"/>
            <w:noWrap/>
            <w:vAlign w:val="center"/>
          </w:tcPr>
          <w:p w14:paraId="457FFC27" w14:textId="77777777" w:rsidR="00A6207F" w:rsidRPr="00BF051E" w:rsidRDefault="00000000" w:rsidP="00156E3A">
            <w:pPr>
              <w:spacing w:line="276" w:lineRule="auto"/>
              <w:jc w:val="center"/>
              <w:rPr>
                <w:rFonts w:eastAsia="微软雅黑"/>
              </w:rPr>
            </w:pPr>
            <w:proofErr w:type="spellStart"/>
            <w:r w:rsidRPr="00BF051E">
              <w:rPr>
                <w:rFonts w:eastAsia="微软雅黑"/>
                <w:b/>
                <w:sz w:val="17"/>
              </w:rPr>
              <w:t>产品</w:t>
            </w:r>
            <w:proofErr w:type="spellEnd"/>
          </w:p>
        </w:tc>
        <w:tc>
          <w:tcPr>
            <w:tcW w:w="1218" w:type="dxa"/>
            <w:noWrap/>
            <w:vAlign w:val="center"/>
          </w:tcPr>
          <w:p w14:paraId="59F94E1E" w14:textId="77777777" w:rsidR="00A6207F" w:rsidRPr="00BF051E" w:rsidRDefault="00000000" w:rsidP="00156E3A">
            <w:pPr>
              <w:spacing w:line="276" w:lineRule="auto"/>
              <w:jc w:val="center"/>
              <w:rPr>
                <w:rFonts w:eastAsia="微软雅黑"/>
              </w:rPr>
            </w:pPr>
            <w:r w:rsidRPr="00BF051E">
              <w:rPr>
                <w:rFonts w:eastAsia="微软雅黑"/>
                <w:b/>
                <w:sz w:val="17"/>
              </w:rPr>
              <w:t>起始日</w:t>
            </w:r>
          </w:p>
        </w:tc>
        <w:tc>
          <w:tcPr>
            <w:tcW w:w="1218" w:type="dxa"/>
            <w:noWrap/>
            <w:vAlign w:val="center"/>
          </w:tcPr>
          <w:p w14:paraId="4C36A898" w14:textId="77777777" w:rsidR="00A6207F" w:rsidRPr="00BF051E" w:rsidRDefault="00000000" w:rsidP="00156E3A">
            <w:pPr>
              <w:spacing w:line="276" w:lineRule="auto"/>
              <w:jc w:val="center"/>
              <w:rPr>
                <w:rFonts w:eastAsia="微软雅黑"/>
              </w:rPr>
            </w:pPr>
            <w:r w:rsidRPr="00BF051E">
              <w:rPr>
                <w:rFonts w:eastAsia="微软雅黑"/>
                <w:b/>
                <w:sz w:val="17"/>
              </w:rPr>
              <w:t>年化收益</w:t>
            </w:r>
          </w:p>
        </w:tc>
        <w:tc>
          <w:tcPr>
            <w:tcW w:w="1218" w:type="dxa"/>
            <w:noWrap/>
            <w:vAlign w:val="center"/>
          </w:tcPr>
          <w:p w14:paraId="67EEA4EF" w14:textId="77777777" w:rsidR="00A6207F" w:rsidRPr="00BF051E" w:rsidRDefault="00000000" w:rsidP="00156E3A">
            <w:pPr>
              <w:spacing w:line="276" w:lineRule="auto"/>
              <w:jc w:val="center"/>
              <w:rPr>
                <w:rFonts w:eastAsia="微软雅黑"/>
              </w:rPr>
            </w:pPr>
            <w:r w:rsidRPr="00BF051E">
              <w:rPr>
                <w:rFonts w:eastAsia="微软雅黑"/>
                <w:b/>
                <w:sz w:val="17"/>
              </w:rPr>
              <w:t>年化波动</w:t>
            </w:r>
          </w:p>
        </w:tc>
        <w:tc>
          <w:tcPr>
            <w:tcW w:w="1218" w:type="dxa"/>
            <w:noWrap/>
            <w:vAlign w:val="center"/>
          </w:tcPr>
          <w:p w14:paraId="493A5D3C" w14:textId="77777777" w:rsidR="00A6207F" w:rsidRPr="00BF051E" w:rsidRDefault="00000000" w:rsidP="00156E3A">
            <w:pPr>
              <w:spacing w:line="276" w:lineRule="auto"/>
              <w:jc w:val="center"/>
              <w:rPr>
                <w:rFonts w:eastAsia="微软雅黑"/>
              </w:rPr>
            </w:pPr>
            <w:r w:rsidRPr="00BF051E">
              <w:rPr>
                <w:rFonts w:eastAsia="微软雅黑"/>
                <w:b/>
                <w:sz w:val="17"/>
              </w:rPr>
              <w:t>最大回撤</w:t>
            </w:r>
          </w:p>
        </w:tc>
        <w:tc>
          <w:tcPr>
            <w:tcW w:w="1847" w:type="dxa"/>
            <w:noWrap/>
            <w:vAlign w:val="center"/>
          </w:tcPr>
          <w:p w14:paraId="5F179CAA" w14:textId="77777777" w:rsidR="00A6207F" w:rsidRPr="00BF051E" w:rsidRDefault="00000000" w:rsidP="00156E3A">
            <w:pPr>
              <w:spacing w:line="276" w:lineRule="auto"/>
              <w:jc w:val="center"/>
              <w:rPr>
                <w:rFonts w:eastAsia="微软雅黑"/>
              </w:rPr>
            </w:pPr>
            <w:r w:rsidRPr="00BF051E">
              <w:rPr>
                <w:rFonts w:eastAsia="微软雅黑"/>
                <w:b/>
                <w:sz w:val="17"/>
              </w:rPr>
              <w:t>回撤期</w:t>
            </w:r>
          </w:p>
        </w:tc>
        <w:tc>
          <w:tcPr>
            <w:tcW w:w="851" w:type="dxa"/>
            <w:noWrap/>
            <w:vAlign w:val="center"/>
          </w:tcPr>
          <w:p w14:paraId="27E205BE" w14:textId="77777777" w:rsidR="00A6207F" w:rsidRPr="00BF051E" w:rsidRDefault="00000000" w:rsidP="00156E3A">
            <w:pPr>
              <w:spacing w:line="276" w:lineRule="auto"/>
              <w:jc w:val="center"/>
              <w:rPr>
                <w:rFonts w:eastAsia="微软雅黑"/>
              </w:rPr>
            </w:pPr>
            <w:r w:rsidRPr="00BF051E">
              <w:rPr>
                <w:rFonts w:eastAsia="微软雅黑"/>
                <w:b/>
                <w:sz w:val="17"/>
              </w:rPr>
              <w:t>修复</w:t>
            </w:r>
          </w:p>
        </w:tc>
        <w:tc>
          <w:tcPr>
            <w:tcW w:w="956" w:type="dxa"/>
            <w:noWrap/>
            <w:vAlign w:val="center"/>
          </w:tcPr>
          <w:p w14:paraId="250317A7" w14:textId="77777777" w:rsidR="00A6207F" w:rsidRPr="00BF051E" w:rsidRDefault="00000000" w:rsidP="00156E3A">
            <w:pPr>
              <w:spacing w:line="276" w:lineRule="auto"/>
              <w:jc w:val="center"/>
              <w:rPr>
                <w:rFonts w:eastAsia="微软雅黑"/>
              </w:rPr>
            </w:pPr>
            <w:r w:rsidRPr="00BF051E">
              <w:rPr>
                <w:rFonts w:eastAsia="微软雅黑"/>
                <w:b/>
                <w:sz w:val="17"/>
              </w:rPr>
              <w:t>定位</w:t>
            </w:r>
          </w:p>
        </w:tc>
      </w:tr>
      <w:tr w:rsidR="00A6207F" w:rsidRPr="00BF051E" w14:paraId="70608AE5" w14:textId="77777777" w:rsidTr="00302758">
        <w:trPr>
          <w:jc w:val="center"/>
        </w:trPr>
        <w:tc>
          <w:tcPr>
            <w:tcW w:w="1218" w:type="dxa"/>
            <w:noWrap/>
            <w:vAlign w:val="center"/>
          </w:tcPr>
          <w:p w14:paraId="12D37238" w14:textId="77777777" w:rsidR="00A6207F" w:rsidRPr="00BF051E" w:rsidRDefault="00000000" w:rsidP="00156E3A">
            <w:pPr>
              <w:spacing w:line="276" w:lineRule="auto"/>
              <w:jc w:val="center"/>
              <w:rPr>
                <w:rFonts w:eastAsia="微软雅黑"/>
              </w:rPr>
            </w:pPr>
            <w:r w:rsidRPr="00BF051E">
              <w:rPr>
                <w:rFonts w:eastAsia="微软雅黑"/>
                <w:sz w:val="17"/>
              </w:rPr>
              <w:t>锐进2号</w:t>
            </w:r>
          </w:p>
        </w:tc>
        <w:tc>
          <w:tcPr>
            <w:tcW w:w="1218" w:type="dxa"/>
            <w:noWrap/>
            <w:vAlign w:val="center"/>
          </w:tcPr>
          <w:p w14:paraId="54D185DE" w14:textId="77777777" w:rsidR="00A6207F" w:rsidRPr="00BF051E" w:rsidRDefault="00000000" w:rsidP="00156E3A">
            <w:pPr>
              <w:spacing w:line="276" w:lineRule="auto"/>
              <w:jc w:val="center"/>
              <w:rPr>
                <w:rFonts w:eastAsia="微软雅黑"/>
              </w:rPr>
            </w:pPr>
            <w:r w:rsidRPr="00BF051E">
              <w:rPr>
                <w:rFonts w:eastAsia="微软雅黑"/>
                <w:sz w:val="17"/>
              </w:rPr>
              <w:t>2018/2/12</w:t>
            </w:r>
          </w:p>
        </w:tc>
        <w:tc>
          <w:tcPr>
            <w:tcW w:w="1218" w:type="dxa"/>
            <w:noWrap/>
            <w:vAlign w:val="center"/>
          </w:tcPr>
          <w:p w14:paraId="050976FC" w14:textId="77777777" w:rsidR="00A6207F" w:rsidRPr="00BF051E" w:rsidRDefault="00000000" w:rsidP="00156E3A">
            <w:pPr>
              <w:spacing w:line="276" w:lineRule="auto"/>
              <w:jc w:val="center"/>
              <w:rPr>
                <w:rFonts w:eastAsia="微软雅黑"/>
              </w:rPr>
            </w:pPr>
            <w:r w:rsidRPr="00BF051E">
              <w:rPr>
                <w:rFonts w:eastAsia="微软雅黑"/>
                <w:sz w:val="17"/>
              </w:rPr>
              <w:t>24.39%</w:t>
            </w:r>
          </w:p>
        </w:tc>
        <w:tc>
          <w:tcPr>
            <w:tcW w:w="1218" w:type="dxa"/>
            <w:noWrap/>
            <w:vAlign w:val="center"/>
          </w:tcPr>
          <w:p w14:paraId="57265326" w14:textId="77777777" w:rsidR="00A6207F" w:rsidRPr="00BF051E" w:rsidRDefault="00000000" w:rsidP="00156E3A">
            <w:pPr>
              <w:spacing w:line="276" w:lineRule="auto"/>
              <w:jc w:val="center"/>
              <w:rPr>
                <w:rFonts w:eastAsia="微软雅黑"/>
              </w:rPr>
            </w:pPr>
            <w:r w:rsidRPr="00BF051E">
              <w:rPr>
                <w:rFonts w:eastAsia="微软雅黑"/>
                <w:sz w:val="17"/>
              </w:rPr>
              <w:t>18.53%</w:t>
            </w:r>
          </w:p>
        </w:tc>
        <w:tc>
          <w:tcPr>
            <w:tcW w:w="1218" w:type="dxa"/>
            <w:noWrap/>
            <w:vAlign w:val="center"/>
          </w:tcPr>
          <w:p w14:paraId="7450BC15" w14:textId="77777777" w:rsidR="00A6207F" w:rsidRPr="00BF051E" w:rsidRDefault="00000000" w:rsidP="00156E3A">
            <w:pPr>
              <w:spacing w:line="276" w:lineRule="auto"/>
              <w:jc w:val="center"/>
              <w:rPr>
                <w:rFonts w:eastAsia="微软雅黑"/>
              </w:rPr>
            </w:pPr>
            <w:r w:rsidRPr="00BF051E">
              <w:rPr>
                <w:rFonts w:eastAsia="微软雅黑"/>
                <w:sz w:val="17"/>
              </w:rPr>
              <w:t>-33.13%</w:t>
            </w:r>
          </w:p>
        </w:tc>
        <w:tc>
          <w:tcPr>
            <w:tcW w:w="1847" w:type="dxa"/>
            <w:noWrap/>
            <w:vAlign w:val="center"/>
          </w:tcPr>
          <w:p w14:paraId="584C6551" w14:textId="77777777" w:rsidR="00A6207F" w:rsidRPr="00BF051E" w:rsidRDefault="00000000" w:rsidP="00156E3A">
            <w:pPr>
              <w:spacing w:line="276" w:lineRule="auto"/>
              <w:jc w:val="center"/>
              <w:rPr>
                <w:rFonts w:eastAsia="微软雅黑"/>
              </w:rPr>
            </w:pPr>
            <w:r w:rsidRPr="00BF051E">
              <w:rPr>
                <w:rFonts w:eastAsia="微软雅黑"/>
                <w:sz w:val="17"/>
              </w:rPr>
              <w:t>2021.12-2024.02</w:t>
            </w:r>
          </w:p>
        </w:tc>
        <w:tc>
          <w:tcPr>
            <w:tcW w:w="851" w:type="dxa"/>
            <w:noWrap/>
            <w:vAlign w:val="center"/>
          </w:tcPr>
          <w:p w14:paraId="05D7BFA7" w14:textId="77777777" w:rsidR="00A6207F" w:rsidRPr="00BF051E" w:rsidRDefault="00000000" w:rsidP="00156E3A">
            <w:pPr>
              <w:spacing w:line="276" w:lineRule="auto"/>
              <w:jc w:val="center"/>
              <w:rPr>
                <w:rFonts w:eastAsia="微软雅黑"/>
              </w:rPr>
            </w:pPr>
            <w:r w:rsidRPr="00BF051E">
              <w:rPr>
                <w:rFonts w:eastAsia="微软雅黑"/>
                <w:sz w:val="17"/>
              </w:rPr>
              <w:t>19月</w:t>
            </w:r>
          </w:p>
        </w:tc>
        <w:tc>
          <w:tcPr>
            <w:tcW w:w="956" w:type="dxa"/>
            <w:noWrap/>
            <w:vAlign w:val="center"/>
          </w:tcPr>
          <w:p w14:paraId="40E01A5F" w14:textId="77777777" w:rsidR="00A6207F" w:rsidRPr="00BF051E" w:rsidRDefault="00000000" w:rsidP="00156E3A">
            <w:pPr>
              <w:spacing w:line="276" w:lineRule="auto"/>
              <w:jc w:val="center"/>
              <w:rPr>
                <w:rFonts w:eastAsia="微软雅黑"/>
              </w:rPr>
            </w:pPr>
            <w:r w:rsidRPr="00BF051E">
              <w:rPr>
                <w:rFonts w:eastAsia="微软雅黑"/>
                <w:sz w:val="17"/>
              </w:rPr>
              <w:t>均衡周期</w:t>
            </w:r>
          </w:p>
        </w:tc>
      </w:tr>
      <w:tr w:rsidR="00A6207F" w:rsidRPr="00BF051E" w14:paraId="3EBFB1C0" w14:textId="77777777" w:rsidTr="00302758">
        <w:trPr>
          <w:jc w:val="center"/>
        </w:trPr>
        <w:tc>
          <w:tcPr>
            <w:tcW w:w="1218" w:type="dxa"/>
            <w:noWrap/>
            <w:vAlign w:val="center"/>
          </w:tcPr>
          <w:p w14:paraId="42BD71F8" w14:textId="77777777" w:rsidR="00A6207F" w:rsidRPr="00BF051E" w:rsidRDefault="00000000" w:rsidP="00156E3A">
            <w:pPr>
              <w:spacing w:line="276" w:lineRule="auto"/>
              <w:jc w:val="center"/>
              <w:rPr>
                <w:rFonts w:eastAsia="微软雅黑"/>
              </w:rPr>
            </w:pPr>
            <w:r w:rsidRPr="00BF051E">
              <w:rPr>
                <w:rFonts w:eastAsia="微软雅黑"/>
                <w:sz w:val="17"/>
              </w:rPr>
              <w:t>锐远1号</w:t>
            </w:r>
          </w:p>
        </w:tc>
        <w:tc>
          <w:tcPr>
            <w:tcW w:w="1218" w:type="dxa"/>
            <w:noWrap/>
            <w:vAlign w:val="center"/>
          </w:tcPr>
          <w:p w14:paraId="78CA1DD1" w14:textId="77777777" w:rsidR="00A6207F" w:rsidRPr="00BF051E" w:rsidRDefault="00000000" w:rsidP="00156E3A">
            <w:pPr>
              <w:spacing w:line="276" w:lineRule="auto"/>
              <w:jc w:val="center"/>
              <w:rPr>
                <w:rFonts w:eastAsia="微软雅黑"/>
              </w:rPr>
            </w:pPr>
            <w:r w:rsidRPr="00BF051E">
              <w:rPr>
                <w:rFonts w:eastAsia="微软雅黑"/>
                <w:sz w:val="17"/>
              </w:rPr>
              <w:t>2023/08/21</w:t>
            </w:r>
          </w:p>
        </w:tc>
        <w:tc>
          <w:tcPr>
            <w:tcW w:w="1218" w:type="dxa"/>
            <w:noWrap/>
            <w:vAlign w:val="center"/>
          </w:tcPr>
          <w:p w14:paraId="7CE6DC40" w14:textId="77777777" w:rsidR="00A6207F" w:rsidRPr="00BF051E" w:rsidRDefault="00000000" w:rsidP="00156E3A">
            <w:pPr>
              <w:spacing w:line="276" w:lineRule="auto"/>
              <w:jc w:val="center"/>
              <w:rPr>
                <w:rFonts w:eastAsia="微软雅黑"/>
              </w:rPr>
            </w:pPr>
            <w:r w:rsidRPr="00BF051E">
              <w:rPr>
                <w:rFonts w:eastAsia="微软雅黑"/>
                <w:sz w:val="17"/>
              </w:rPr>
              <w:t>46.37%</w:t>
            </w:r>
          </w:p>
        </w:tc>
        <w:tc>
          <w:tcPr>
            <w:tcW w:w="1218" w:type="dxa"/>
            <w:noWrap/>
            <w:vAlign w:val="center"/>
          </w:tcPr>
          <w:p w14:paraId="3F9C70DF" w14:textId="77777777" w:rsidR="00A6207F" w:rsidRPr="00BF051E" w:rsidRDefault="00000000" w:rsidP="00156E3A">
            <w:pPr>
              <w:spacing w:line="276" w:lineRule="auto"/>
              <w:jc w:val="center"/>
              <w:rPr>
                <w:rFonts w:eastAsia="微软雅黑"/>
              </w:rPr>
            </w:pPr>
            <w:r w:rsidRPr="00BF051E">
              <w:rPr>
                <w:rFonts w:eastAsia="微软雅黑"/>
                <w:sz w:val="17"/>
              </w:rPr>
              <w:t>27.44%</w:t>
            </w:r>
          </w:p>
        </w:tc>
        <w:tc>
          <w:tcPr>
            <w:tcW w:w="1218" w:type="dxa"/>
            <w:noWrap/>
            <w:vAlign w:val="center"/>
          </w:tcPr>
          <w:p w14:paraId="6FA2EAF5" w14:textId="77777777" w:rsidR="00A6207F" w:rsidRPr="00BF051E" w:rsidRDefault="00000000" w:rsidP="00156E3A">
            <w:pPr>
              <w:spacing w:line="276" w:lineRule="auto"/>
              <w:jc w:val="center"/>
              <w:rPr>
                <w:rFonts w:eastAsia="微软雅黑"/>
              </w:rPr>
            </w:pPr>
            <w:r w:rsidRPr="00BF051E">
              <w:rPr>
                <w:rFonts w:eastAsia="微软雅黑"/>
                <w:sz w:val="17"/>
              </w:rPr>
              <w:t>-22.13%</w:t>
            </w:r>
          </w:p>
        </w:tc>
        <w:tc>
          <w:tcPr>
            <w:tcW w:w="1847" w:type="dxa"/>
            <w:noWrap/>
            <w:vAlign w:val="center"/>
          </w:tcPr>
          <w:p w14:paraId="581CB1F0" w14:textId="77777777" w:rsidR="00A6207F" w:rsidRPr="00BF051E" w:rsidRDefault="00000000" w:rsidP="00156E3A">
            <w:pPr>
              <w:spacing w:line="276" w:lineRule="auto"/>
              <w:jc w:val="center"/>
              <w:rPr>
                <w:rFonts w:eastAsia="微软雅黑"/>
              </w:rPr>
            </w:pPr>
            <w:r w:rsidRPr="00BF051E">
              <w:rPr>
                <w:rFonts w:eastAsia="微软雅黑"/>
                <w:sz w:val="17"/>
              </w:rPr>
              <w:t>2023.11-2024.02</w:t>
            </w:r>
          </w:p>
        </w:tc>
        <w:tc>
          <w:tcPr>
            <w:tcW w:w="851" w:type="dxa"/>
            <w:noWrap/>
            <w:vAlign w:val="center"/>
          </w:tcPr>
          <w:p w14:paraId="5FE3249E" w14:textId="77777777" w:rsidR="00A6207F" w:rsidRPr="00BF051E" w:rsidRDefault="00000000" w:rsidP="00156E3A">
            <w:pPr>
              <w:spacing w:line="276" w:lineRule="auto"/>
              <w:jc w:val="center"/>
              <w:rPr>
                <w:rFonts w:eastAsia="微软雅黑"/>
              </w:rPr>
            </w:pPr>
            <w:r w:rsidRPr="00BF051E">
              <w:rPr>
                <w:rFonts w:eastAsia="微软雅黑"/>
                <w:sz w:val="17"/>
              </w:rPr>
              <w:t>3月</w:t>
            </w:r>
          </w:p>
        </w:tc>
        <w:tc>
          <w:tcPr>
            <w:tcW w:w="956" w:type="dxa"/>
            <w:noWrap/>
            <w:vAlign w:val="center"/>
          </w:tcPr>
          <w:p w14:paraId="2800B8D6" w14:textId="77777777" w:rsidR="00A6207F" w:rsidRPr="00BF051E" w:rsidRDefault="00000000" w:rsidP="00156E3A">
            <w:pPr>
              <w:spacing w:line="276" w:lineRule="auto"/>
              <w:jc w:val="center"/>
              <w:rPr>
                <w:rFonts w:eastAsia="微软雅黑"/>
              </w:rPr>
            </w:pPr>
            <w:r w:rsidRPr="00BF051E">
              <w:rPr>
                <w:rFonts w:eastAsia="微软雅黑"/>
                <w:sz w:val="17"/>
              </w:rPr>
              <w:t>进取成长</w:t>
            </w:r>
          </w:p>
        </w:tc>
      </w:tr>
      <w:tr w:rsidR="00A6207F" w:rsidRPr="00BF051E" w14:paraId="331D9077" w14:textId="77777777" w:rsidTr="00302758">
        <w:trPr>
          <w:jc w:val="center"/>
        </w:trPr>
        <w:tc>
          <w:tcPr>
            <w:tcW w:w="1218" w:type="dxa"/>
            <w:noWrap/>
            <w:vAlign w:val="center"/>
          </w:tcPr>
          <w:p w14:paraId="5B12DB94" w14:textId="77777777" w:rsidR="00A6207F" w:rsidRPr="00BF051E" w:rsidRDefault="00000000" w:rsidP="00156E3A">
            <w:pPr>
              <w:spacing w:line="276" w:lineRule="auto"/>
              <w:jc w:val="center"/>
              <w:rPr>
                <w:rFonts w:eastAsia="微软雅黑"/>
              </w:rPr>
            </w:pPr>
            <w:r w:rsidRPr="00BF051E">
              <w:rPr>
                <w:rFonts w:eastAsia="微软雅黑"/>
                <w:sz w:val="17"/>
              </w:rPr>
              <w:t>锐途1号</w:t>
            </w:r>
          </w:p>
        </w:tc>
        <w:tc>
          <w:tcPr>
            <w:tcW w:w="1218" w:type="dxa"/>
            <w:noWrap/>
            <w:vAlign w:val="center"/>
          </w:tcPr>
          <w:p w14:paraId="7D7EABE1" w14:textId="77777777" w:rsidR="00A6207F" w:rsidRPr="00BF051E" w:rsidRDefault="00000000" w:rsidP="00156E3A">
            <w:pPr>
              <w:spacing w:line="276" w:lineRule="auto"/>
              <w:jc w:val="center"/>
              <w:rPr>
                <w:rFonts w:eastAsia="微软雅黑"/>
              </w:rPr>
            </w:pPr>
            <w:r w:rsidRPr="00BF051E">
              <w:rPr>
                <w:rFonts w:eastAsia="微软雅黑"/>
                <w:sz w:val="17"/>
              </w:rPr>
              <w:t>2024/03/04</w:t>
            </w:r>
          </w:p>
        </w:tc>
        <w:tc>
          <w:tcPr>
            <w:tcW w:w="1218" w:type="dxa"/>
            <w:noWrap/>
            <w:vAlign w:val="center"/>
          </w:tcPr>
          <w:p w14:paraId="7F94E540" w14:textId="77777777" w:rsidR="00A6207F" w:rsidRPr="00BF051E" w:rsidRDefault="00000000" w:rsidP="00156E3A">
            <w:pPr>
              <w:spacing w:line="276" w:lineRule="auto"/>
              <w:jc w:val="center"/>
              <w:rPr>
                <w:rFonts w:eastAsia="微软雅黑"/>
              </w:rPr>
            </w:pPr>
            <w:r w:rsidRPr="00BF051E">
              <w:rPr>
                <w:rFonts w:eastAsia="微软雅黑"/>
                <w:sz w:val="17"/>
              </w:rPr>
              <w:t>21.25%</w:t>
            </w:r>
          </w:p>
        </w:tc>
        <w:tc>
          <w:tcPr>
            <w:tcW w:w="1218" w:type="dxa"/>
            <w:noWrap/>
            <w:vAlign w:val="center"/>
          </w:tcPr>
          <w:p w14:paraId="0E2BB4AD" w14:textId="77777777" w:rsidR="00A6207F" w:rsidRPr="00BF051E" w:rsidRDefault="00000000" w:rsidP="00156E3A">
            <w:pPr>
              <w:spacing w:line="276" w:lineRule="auto"/>
              <w:jc w:val="center"/>
              <w:rPr>
                <w:rFonts w:eastAsia="微软雅黑"/>
              </w:rPr>
            </w:pPr>
            <w:r w:rsidRPr="00BF051E">
              <w:rPr>
                <w:rFonts w:eastAsia="微软雅黑"/>
                <w:sz w:val="17"/>
              </w:rPr>
              <w:t>11.62%</w:t>
            </w:r>
          </w:p>
        </w:tc>
        <w:tc>
          <w:tcPr>
            <w:tcW w:w="1218" w:type="dxa"/>
            <w:noWrap/>
            <w:vAlign w:val="center"/>
          </w:tcPr>
          <w:p w14:paraId="3DBEFE08" w14:textId="77777777" w:rsidR="00A6207F" w:rsidRPr="00BF051E" w:rsidRDefault="00000000" w:rsidP="00156E3A">
            <w:pPr>
              <w:spacing w:line="276" w:lineRule="auto"/>
              <w:jc w:val="center"/>
              <w:rPr>
                <w:rFonts w:eastAsia="微软雅黑"/>
              </w:rPr>
            </w:pPr>
            <w:r w:rsidRPr="00BF051E">
              <w:rPr>
                <w:rFonts w:eastAsia="微软雅黑"/>
                <w:sz w:val="17"/>
              </w:rPr>
              <w:t>-9.24%</w:t>
            </w:r>
          </w:p>
        </w:tc>
        <w:tc>
          <w:tcPr>
            <w:tcW w:w="1847" w:type="dxa"/>
            <w:noWrap/>
            <w:vAlign w:val="center"/>
          </w:tcPr>
          <w:p w14:paraId="632440B0" w14:textId="77777777" w:rsidR="00A6207F" w:rsidRPr="00BF051E" w:rsidRDefault="00000000" w:rsidP="00156E3A">
            <w:pPr>
              <w:spacing w:line="276" w:lineRule="auto"/>
              <w:jc w:val="center"/>
              <w:rPr>
                <w:rFonts w:eastAsia="微软雅黑"/>
              </w:rPr>
            </w:pPr>
            <w:r w:rsidRPr="00BF051E">
              <w:rPr>
                <w:rFonts w:eastAsia="微软雅黑"/>
                <w:sz w:val="17"/>
              </w:rPr>
              <w:t>2026.03-2026.04</w:t>
            </w:r>
          </w:p>
        </w:tc>
        <w:tc>
          <w:tcPr>
            <w:tcW w:w="851" w:type="dxa"/>
            <w:noWrap/>
            <w:vAlign w:val="center"/>
          </w:tcPr>
          <w:p w14:paraId="00D27A3B" w14:textId="77777777" w:rsidR="00A6207F" w:rsidRPr="00BF051E" w:rsidRDefault="00000000" w:rsidP="00156E3A">
            <w:pPr>
              <w:spacing w:line="276" w:lineRule="auto"/>
              <w:jc w:val="center"/>
              <w:rPr>
                <w:rFonts w:eastAsia="微软雅黑"/>
              </w:rPr>
            </w:pPr>
            <w:r w:rsidRPr="00BF051E">
              <w:rPr>
                <w:rFonts w:eastAsia="微软雅黑"/>
                <w:sz w:val="17"/>
              </w:rPr>
              <w:t>未修复</w:t>
            </w:r>
          </w:p>
        </w:tc>
        <w:tc>
          <w:tcPr>
            <w:tcW w:w="956" w:type="dxa"/>
            <w:noWrap/>
            <w:vAlign w:val="center"/>
          </w:tcPr>
          <w:p w14:paraId="25A7D831" w14:textId="77777777" w:rsidR="00A6207F" w:rsidRPr="00BF051E" w:rsidRDefault="00000000" w:rsidP="00156E3A">
            <w:pPr>
              <w:spacing w:line="276" w:lineRule="auto"/>
              <w:jc w:val="center"/>
              <w:rPr>
                <w:rFonts w:eastAsia="微软雅黑"/>
              </w:rPr>
            </w:pPr>
            <w:r w:rsidRPr="00BF051E">
              <w:rPr>
                <w:rFonts w:eastAsia="微软雅黑"/>
                <w:sz w:val="17"/>
              </w:rPr>
              <w:t>低仓位</w:t>
            </w:r>
          </w:p>
        </w:tc>
      </w:tr>
    </w:tbl>
    <w:p w14:paraId="103C0135" w14:textId="77777777" w:rsidR="00A6207F" w:rsidRPr="00BF051E" w:rsidRDefault="00A6207F" w:rsidP="00156E3A">
      <w:pPr>
        <w:jc w:val="both"/>
        <w:rPr>
          <w:rFonts w:eastAsia="微软雅黑"/>
        </w:rPr>
      </w:pPr>
    </w:p>
    <w:p w14:paraId="69071386" w14:textId="77777777" w:rsidR="00A6207F" w:rsidRPr="00BF051E" w:rsidRDefault="00000000" w:rsidP="00156E3A">
      <w:pPr>
        <w:pStyle w:val="21"/>
        <w:spacing w:after="100"/>
        <w:jc w:val="both"/>
        <w:rPr>
          <w:rFonts w:ascii="微软雅黑" w:eastAsia="微软雅黑" w:hAnsi="微软雅黑"/>
        </w:rPr>
      </w:pPr>
      <w:r w:rsidRPr="00BF051E">
        <w:rPr>
          <w:rFonts w:ascii="微软雅黑" w:eastAsia="微软雅黑" w:hAnsi="微软雅黑"/>
          <w:b w:val="0"/>
        </w:rPr>
        <w:lastRenderedPageBreak/>
        <w:t>2.3 年度收益表现</w:t>
      </w:r>
    </w:p>
    <w:tbl>
      <w:tblPr>
        <w:tblStyle w:val="aff1"/>
        <w:tblW w:w="0" w:type="auto"/>
        <w:jc w:val="center"/>
        <w:tblLook w:val="04A0" w:firstRow="1" w:lastRow="0" w:firstColumn="1" w:lastColumn="0" w:noHBand="0" w:noVBand="1"/>
      </w:tblPr>
      <w:tblGrid>
        <w:gridCol w:w="1083"/>
        <w:gridCol w:w="1083"/>
        <w:gridCol w:w="1083"/>
        <w:gridCol w:w="1083"/>
        <w:gridCol w:w="1083"/>
        <w:gridCol w:w="1083"/>
        <w:gridCol w:w="1083"/>
        <w:gridCol w:w="1083"/>
        <w:gridCol w:w="1083"/>
      </w:tblGrid>
      <w:tr w:rsidR="00A6207F" w:rsidRPr="00BF051E" w14:paraId="1D242199" w14:textId="77777777">
        <w:trPr>
          <w:jc w:val="center"/>
        </w:trPr>
        <w:tc>
          <w:tcPr>
            <w:tcW w:w="1083" w:type="dxa"/>
            <w:noWrap/>
            <w:vAlign w:val="center"/>
          </w:tcPr>
          <w:p w14:paraId="4F84E5E4" w14:textId="77777777" w:rsidR="00A6207F" w:rsidRPr="00BF051E" w:rsidRDefault="00000000" w:rsidP="00156E3A">
            <w:pPr>
              <w:spacing w:line="276" w:lineRule="auto"/>
              <w:jc w:val="center"/>
              <w:rPr>
                <w:rFonts w:eastAsia="微软雅黑"/>
              </w:rPr>
            </w:pPr>
            <w:r w:rsidRPr="00BF051E">
              <w:rPr>
                <w:rFonts w:eastAsia="微软雅黑"/>
                <w:b/>
                <w:sz w:val="17"/>
              </w:rPr>
              <w:t>产品</w:t>
            </w:r>
          </w:p>
        </w:tc>
        <w:tc>
          <w:tcPr>
            <w:tcW w:w="1083" w:type="dxa"/>
            <w:noWrap/>
            <w:vAlign w:val="center"/>
          </w:tcPr>
          <w:p w14:paraId="387434B2" w14:textId="77777777" w:rsidR="00A6207F" w:rsidRPr="00BF051E" w:rsidRDefault="00000000" w:rsidP="00156E3A">
            <w:pPr>
              <w:spacing w:line="276" w:lineRule="auto"/>
              <w:jc w:val="center"/>
              <w:rPr>
                <w:rFonts w:eastAsia="微软雅黑"/>
              </w:rPr>
            </w:pPr>
            <w:r w:rsidRPr="00BF051E">
              <w:rPr>
                <w:rFonts w:eastAsia="微软雅黑"/>
                <w:b/>
                <w:sz w:val="17"/>
              </w:rPr>
              <w:t>2019</w:t>
            </w:r>
          </w:p>
        </w:tc>
        <w:tc>
          <w:tcPr>
            <w:tcW w:w="1083" w:type="dxa"/>
            <w:noWrap/>
            <w:vAlign w:val="center"/>
          </w:tcPr>
          <w:p w14:paraId="5D165479" w14:textId="77777777" w:rsidR="00A6207F" w:rsidRPr="00BF051E" w:rsidRDefault="00000000" w:rsidP="00156E3A">
            <w:pPr>
              <w:spacing w:line="276" w:lineRule="auto"/>
              <w:jc w:val="center"/>
              <w:rPr>
                <w:rFonts w:eastAsia="微软雅黑"/>
              </w:rPr>
            </w:pPr>
            <w:r w:rsidRPr="00BF051E">
              <w:rPr>
                <w:rFonts w:eastAsia="微软雅黑"/>
                <w:b/>
                <w:sz w:val="17"/>
              </w:rPr>
              <w:t>2020</w:t>
            </w:r>
          </w:p>
        </w:tc>
        <w:tc>
          <w:tcPr>
            <w:tcW w:w="1083" w:type="dxa"/>
            <w:noWrap/>
            <w:vAlign w:val="center"/>
          </w:tcPr>
          <w:p w14:paraId="3CB38E8F" w14:textId="77777777" w:rsidR="00A6207F" w:rsidRPr="00BF051E" w:rsidRDefault="00000000" w:rsidP="00156E3A">
            <w:pPr>
              <w:spacing w:line="276" w:lineRule="auto"/>
              <w:jc w:val="center"/>
              <w:rPr>
                <w:rFonts w:eastAsia="微软雅黑"/>
              </w:rPr>
            </w:pPr>
            <w:r w:rsidRPr="00BF051E">
              <w:rPr>
                <w:rFonts w:eastAsia="微软雅黑"/>
                <w:b/>
                <w:sz w:val="17"/>
              </w:rPr>
              <w:t>2021</w:t>
            </w:r>
          </w:p>
        </w:tc>
        <w:tc>
          <w:tcPr>
            <w:tcW w:w="1083" w:type="dxa"/>
            <w:noWrap/>
            <w:vAlign w:val="center"/>
          </w:tcPr>
          <w:p w14:paraId="4F70CD4E" w14:textId="77777777" w:rsidR="00A6207F" w:rsidRPr="00BF051E" w:rsidRDefault="00000000" w:rsidP="00156E3A">
            <w:pPr>
              <w:spacing w:line="276" w:lineRule="auto"/>
              <w:jc w:val="center"/>
              <w:rPr>
                <w:rFonts w:eastAsia="微软雅黑"/>
              </w:rPr>
            </w:pPr>
            <w:r w:rsidRPr="00BF051E">
              <w:rPr>
                <w:rFonts w:eastAsia="微软雅黑"/>
                <w:b/>
                <w:sz w:val="17"/>
              </w:rPr>
              <w:t>2022</w:t>
            </w:r>
          </w:p>
        </w:tc>
        <w:tc>
          <w:tcPr>
            <w:tcW w:w="1083" w:type="dxa"/>
            <w:noWrap/>
            <w:vAlign w:val="center"/>
          </w:tcPr>
          <w:p w14:paraId="3580FC82" w14:textId="77777777" w:rsidR="00A6207F" w:rsidRPr="00BF051E" w:rsidRDefault="00000000" w:rsidP="00156E3A">
            <w:pPr>
              <w:spacing w:line="276" w:lineRule="auto"/>
              <w:jc w:val="center"/>
              <w:rPr>
                <w:rFonts w:eastAsia="微软雅黑"/>
              </w:rPr>
            </w:pPr>
            <w:r w:rsidRPr="00BF051E">
              <w:rPr>
                <w:rFonts w:eastAsia="微软雅黑"/>
                <w:b/>
                <w:sz w:val="17"/>
              </w:rPr>
              <w:t>2023</w:t>
            </w:r>
          </w:p>
        </w:tc>
        <w:tc>
          <w:tcPr>
            <w:tcW w:w="1083" w:type="dxa"/>
            <w:noWrap/>
            <w:vAlign w:val="center"/>
          </w:tcPr>
          <w:p w14:paraId="3063D288" w14:textId="77777777" w:rsidR="00A6207F" w:rsidRPr="00BF051E" w:rsidRDefault="00000000" w:rsidP="00156E3A">
            <w:pPr>
              <w:spacing w:line="276" w:lineRule="auto"/>
              <w:jc w:val="center"/>
              <w:rPr>
                <w:rFonts w:eastAsia="微软雅黑"/>
              </w:rPr>
            </w:pPr>
            <w:r w:rsidRPr="00BF051E">
              <w:rPr>
                <w:rFonts w:eastAsia="微软雅黑"/>
                <w:b/>
                <w:sz w:val="17"/>
              </w:rPr>
              <w:t>2024</w:t>
            </w:r>
          </w:p>
        </w:tc>
        <w:tc>
          <w:tcPr>
            <w:tcW w:w="1083" w:type="dxa"/>
            <w:noWrap/>
            <w:vAlign w:val="center"/>
          </w:tcPr>
          <w:p w14:paraId="009073F1" w14:textId="77777777" w:rsidR="00A6207F" w:rsidRPr="00BF051E" w:rsidRDefault="00000000" w:rsidP="00156E3A">
            <w:pPr>
              <w:spacing w:line="276" w:lineRule="auto"/>
              <w:jc w:val="center"/>
              <w:rPr>
                <w:rFonts w:eastAsia="微软雅黑"/>
              </w:rPr>
            </w:pPr>
            <w:r w:rsidRPr="00BF051E">
              <w:rPr>
                <w:rFonts w:eastAsia="微软雅黑"/>
                <w:b/>
                <w:sz w:val="17"/>
              </w:rPr>
              <w:t>2025</w:t>
            </w:r>
          </w:p>
        </w:tc>
        <w:tc>
          <w:tcPr>
            <w:tcW w:w="1083" w:type="dxa"/>
            <w:noWrap/>
            <w:vAlign w:val="center"/>
          </w:tcPr>
          <w:p w14:paraId="40BC916F" w14:textId="77777777" w:rsidR="00A6207F" w:rsidRPr="00BF051E" w:rsidRDefault="00000000" w:rsidP="00156E3A">
            <w:pPr>
              <w:spacing w:line="276" w:lineRule="auto"/>
              <w:jc w:val="center"/>
              <w:rPr>
                <w:rFonts w:eastAsia="微软雅黑"/>
              </w:rPr>
            </w:pPr>
            <w:r w:rsidRPr="00BF051E">
              <w:rPr>
                <w:rFonts w:eastAsia="微软雅黑"/>
                <w:b/>
                <w:sz w:val="17"/>
              </w:rPr>
              <w:t>2026YTD</w:t>
            </w:r>
          </w:p>
        </w:tc>
      </w:tr>
      <w:tr w:rsidR="00A6207F" w:rsidRPr="00BF051E" w14:paraId="106A8B04" w14:textId="77777777">
        <w:trPr>
          <w:jc w:val="center"/>
        </w:trPr>
        <w:tc>
          <w:tcPr>
            <w:tcW w:w="1083" w:type="dxa"/>
            <w:noWrap/>
            <w:vAlign w:val="center"/>
          </w:tcPr>
          <w:p w14:paraId="0E29BA75" w14:textId="77777777" w:rsidR="00A6207F" w:rsidRPr="00BF051E" w:rsidRDefault="00000000" w:rsidP="00156E3A">
            <w:pPr>
              <w:spacing w:line="276" w:lineRule="auto"/>
              <w:jc w:val="center"/>
              <w:rPr>
                <w:rFonts w:eastAsia="微软雅黑"/>
              </w:rPr>
            </w:pPr>
            <w:r w:rsidRPr="00BF051E">
              <w:rPr>
                <w:rFonts w:eastAsia="微软雅黑"/>
                <w:sz w:val="17"/>
              </w:rPr>
              <w:t>锐进2号</w:t>
            </w:r>
          </w:p>
        </w:tc>
        <w:tc>
          <w:tcPr>
            <w:tcW w:w="1083" w:type="dxa"/>
            <w:noWrap/>
            <w:vAlign w:val="center"/>
          </w:tcPr>
          <w:p w14:paraId="71E2E61B" w14:textId="77777777" w:rsidR="00A6207F" w:rsidRPr="00BF051E" w:rsidRDefault="00000000" w:rsidP="00156E3A">
            <w:pPr>
              <w:spacing w:line="276" w:lineRule="auto"/>
              <w:jc w:val="center"/>
              <w:rPr>
                <w:rFonts w:eastAsia="微软雅黑"/>
              </w:rPr>
            </w:pPr>
            <w:r w:rsidRPr="00BF051E">
              <w:rPr>
                <w:rFonts w:eastAsia="微软雅黑"/>
                <w:sz w:val="17"/>
              </w:rPr>
              <w:t>103.94%</w:t>
            </w:r>
          </w:p>
        </w:tc>
        <w:tc>
          <w:tcPr>
            <w:tcW w:w="1083" w:type="dxa"/>
            <w:noWrap/>
            <w:vAlign w:val="center"/>
          </w:tcPr>
          <w:p w14:paraId="28A27E37" w14:textId="77777777" w:rsidR="00A6207F" w:rsidRPr="00BF051E" w:rsidRDefault="00000000" w:rsidP="00156E3A">
            <w:pPr>
              <w:spacing w:line="276" w:lineRule="auto"/>
              <w:jc w:val="center"/>
              <w:rPr>
                <w:rFonts w:eastAsia="微软雅黑"/>
              </w:rPr>
            </w:pPr>
            <w:r w:rsidRPr="00BF051E">
              <w:rPr>
                <w:rFonts w:eastAsia="微软雅黑"/>
                <w:sz w:val="17"/>
              </w:rPr>
              <w:t>36.92%</w:t>
            </w:r>
          </w:p>
        </w:tc>
        <w:tc>
          <w:tcPr>
            <w:tcW w:w="1083" w:type="dxa"/>
            <w:noWrap/>
            <w:vAlign w:val="center"/>
          </w:tcPr>
          <w:p w14:paraId="7CD0C6BD" w14:textId="77777777" w:rsidR="00A6207F" w:rsidRPr="00BF051E" w:rsidRDefault="00000000" w:rsidP="00156E3A">
            <w:pPr>
              <w:spacing w:line="276" w:lineRule="auto"/>
              <w:jc w:val="center"/>
              <w:rPr>
                <w:rFonts w:eastAsia="微软雅黑"/>
              </w:rPr>
            </w:pPr>
            <w:r w:rsidRPr="00BF051E">
              <w:rPr>
                <w:rFonts w:eastAsia="微软雅黑"/>
                <w:sz w:val="17"/>
              </w:rPr>
              <w:t>35.29%</w:t>
            </w:r>
          </w:p>
        </w:tc>
        <w:tc>
          <w:tcPr>
            <w:tcW w:w="1083" w:type="dxa"/>
            <w:noWrap/>
            <w:vAlign w:val="center"/>
          </w:tcPr>
          <w:p w14:paraId="70653ACA" w14:textId="77777777" w:rsidR="00A6207F" w:rsidRPr="00BF051E" w:rsidRDefault="00000000" w:rsidP="00156E3A">
            <w:pPr>
              <w:spacing w:line="276" w:lineRule="auto"/>
              <w:jc w:val="center"/>
              <w:rPr>
                <w:rFonts w:eastAsia="微软雅黑"/>
              </w:rPr>
            </w:pPr>
            <w:r w:rsidRPr="00BF051E">
              <w:rPr>
                <w:rFonts w:eastAsia="微软雅黑"/>
                <w:sz w:val="17"/>
              </w:rPr>
              <w:t>-10.10%</w:t>
            </w:r>
          </w:p>
        </w:tc>
        <w:tc>
          <w:tcPr>
            <w:tcW w:w="1083" w:type="dxa"/>
            <w:noWrap/>
            <w:vAlign w:val="center"/>
          </w:tcPr>
          <w:p w14:paraId="768D5A94" w14:textId="77777777" w:rsidR="00A6207F" w:rsidRPr="00BF051E" w:rsidRDefault="00000000" w:rsidP="00156E3A">
            <w:pPr>
              <w:spacing w:line="276" w:lineRule="auto"/>
              <w:jc w:val="center"/>
              <w:rPr>
                <w:rFonts w:eastAsia="微软雅黑"/>
              </w:rPr>
            </w:pPr>
            <w:r w:rsidRPr="00BF051E">
              <w:rPr>
                <w:rFonts w:eastAsia="微软雅黑"/>
                <w:sz w:val="17"/>
              </w:rPr>
              <w:t>-18.24%</w:t>
            </w:r>
          </w:p>
        </w:tc>
        <w:tc>
          <w:tcPr>
            <w:tcW w:w="1083" w:type="dxa"/>
            <w:noWrap/>
            <w:vAlign w:val="center"/>
          </w:tcPr>
          <w:p w14:paraId="27D8E211" w14:textId="77777777" w:rsidR="00A6207F" w:rsidRPr="00BF051E" w:rsidRDefault="00000000" w:rsidP="00156E3A">
            <w:pPr>
              <w:spacing w:line="276" w:lineRule="auto"/>
              <w:jc w:val="center"/>
              <w:rPr>
                <w:rFonts w:eastAsia="微软雅黑"/>
              </w:rPr>
            </w:pPr>
            <w:r w:rsidRPr="00BF051E">
              <w:rPr>
                <w:rFonts w:eastAsia="微软雅黑"/>
                <w:sz w:val="17"/>
              </w:rPr>
              <w:t>4.16%</w:t>
            </w:r>
          </w:p>
        </w:tc>
        <w:tc>
          <w:tcPr>
            <w:tcW w:w="1083" w:type="dxa"/>
            <w:noWrap/>
            <w:vAlign w:val="center"/>
          </w:tcPr>
          <w:p w14:paraId="46657B38" w14:textId="77777777" w:rsidR="00A6207F" w:rsidRPr="00BF051E" w:rsidRDefault="00000000" w:rsidP="00156E3A">
            <w:pPr>
              <w:spacing w:line="276" w:lineRule="auto"/>
              <w:jc w:val="center"/>
              <w:rPr>
                <w:rFonts w:eastAsia="微软雅黑"/>
              </w:rPr>
            </w:pPr>
            <w:r w:rsidRPr="00BF051E">
              <w:rPr>
                <w:rFonts w:eastAsia="微软雅黑"/>
                <w:sz w:val="17"/>
              </w:rPr>
              <w:t>51.22%</w:t>
            </w:r>
          </w:p>
        </w:tc>
        <w:tc>
          <w:tcPr>
            <w:tcW w:w="1083" w:type="dxa"/>
            <w:noWrap/>
            <w:vAlign w:val="center"/>
          </w:tcPr>
          <w:p w14:paraId="3E34F367" w14:textId="77777777" w:rsidR="00A6207F" w:rsidRPr="00BF051E" w:rsidRDefault="00000000" w:rsidP="00156E3A">
            <w:pPr>
              <w:spacing w:line="276" w:lineRule="auto"/>
              <w:jc w:val="center"/>
              <w:rPr>
                <w:rFonts w:eastAsia="微软雅黑"/>
              </w:rPr>
            </w:pPr>
            <w:r w:rsidRPr="00BF051E">
              <w:rPr>
                <w:rFonts w:eastAsia="微软雅黑"/>
                <w:sz w:val="17"/>
              </w:rPr>
              <w:t>15.50%</w:t>
            </w:r>
          </w:p>
        </w:tc>
      </w:tr>
      <w:tr w:rsidR="00A6207F" w:rsidRPr="00BF051E" w14:paraId="592E5473" w14:textId="77777777">
        <w:trPr>
          <w:jc w:val="center"/>
        </w:trPr>
        <w:tc>
          <w:tcPr>
            <w:tcW w:w="1083" w:type="dxa"/>
            <w:noWrap/>
            <w:vAlign w:val="center"/>
          </w:tcPr>
          <w:p w14:paraId="6263CEB3" w14:textId="77777777" w:rsidR="00A6207F" w:rsidRPr="00BF051E" w:rsidRDefault="00000000" w:rsidP="00156E3A">
            <w:pPr>
              <w:spacing w:line="276" w:lineRule="auto"/>
              <w:jc w:val="center"/>
              <w:rPr>
                <w:rFonts w:eastAsia="微软雅黑"/>
              </w:rPr>
            </w:pPr>
            <w:r w:rsidRPr="00BF051E">
              <w:rPr>
                <w:rFonts w:eastAsia="微软雅黑"/>
                <w:sz w:val="17"/>
              </w:rPr>
              <w:t>锐远1号</w:t>
            </w:r>
          </w:p>
        </w:tc>
        <w:tc>
          <w:tcPr>
            <w:tcW w:w="1083" w:type="dxa"/>
            <w:noWrap/>
            <w:vAlign w:val="center"/>
          </w:tcPr>
          <w:p w14:paraId="29FD9659"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007DAEB3"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70A3BEC0"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54D9AEA8"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3E0E3F6B"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43A3C449" w14:textId="77777777" w:rsidR="00A6207F" w:rsidRPr="00BF051E" w:rsidRDefault="00000000" w:rsidP="00156E3A">
            <w:pPr>
              <w:spacing w:line="276" w:lineRule="auto"/>
              <w:jc w:val="center"/>
              <w:rPr>
                <w:rFonts w:eastAsia="微软雅黑"/>
              </w:rPr>
            </w:pPr>
            <w:r w:rsidRPr="00BF051E">
              <w:rPr>
                <w:rFonts w:eastAsia="微软雅黑"/>
                <w:sz w:val="17"/>
              </w:rPr>
              <w:t>38.71%</w:t>
            </w:r>
          </w:p>
        </w:tc>
        <w:tc>
          <w:tcPr>
            <w:tcW w:w="1083" w:type="dxa"/>
            <w:noWrap/>
            <w:vAlign w:val="center"/>
          </w:tcPr>
          <w:p w14:paraId="7CAE0B3E" w14:textId="77777777" w:rsidR="00A6207F" w:rsidRPr="00BF051E" w:rsidRDefault="00000000" w:rsidP="00156E3A">
            <w:pPr>
              <w:spacing w:line="276" w:lineRule="auto"/>
              <w:jc w:val="center"/>
              <w:rPr>
                <w:rFonts w:eastAsia="微软雅黑"/>
              </w:rPr>
            </w:pPr>
            <w:r w:rsidRPr="00BF051E">
              <w:rPr>
                <w:rFonts w:eastAsia="微软雅黑"/>
                <w:sz w:val="17"/>
              </w:rPr>
              <w:t>83.41%</w:t>
            </w:r>
          </w:p>
        </w:tc>
        <w:tc>
          <w:tcPr>
            <w:tcW w:w="1083" w:type="dxa"/>
            <w:noWrap/>
            <w:vAlign w:val="center"/>
          </w:tcPr>
          <w:p w14:paraId="3BF24ADA" w14:textId="77777777" w:rsidR="00A6207F" w:rsidRPr="00BF051E" w:rsidRDefault="00000000" w:rsidP="00156E3A">
            <w:pPr>
              <w:spacing w:line="276" w:lineRule="auto"/>
              <w:jc w:val="center"/>
              <w:rPr>
                <w:rFonts w:eastAsia="微软雅黑"/>
              </w:rPr>
            </w:pPr>
            <w:r w:rsidRPr="00BF051E">
              <w:rPr>
                <w:rFonts w:eastAsia="微软雅黑"/>
                <w:sz w:val="17"/>
              </w:rPr>
              <w:t>9.83%</w:t>
            </w:r>
          </w:p>
        </w:tc>
      </w:tr>
      <w:tr w:rsidR="00A6207F" w:rsidRPr="00BF051E" w14:paraId="6E19F947" w14:textId="77777777">
        <w:trPr>
          <w:jc w:val="center"/>
        </w:trPr>
        <w:tc>
          <w:tcPr>
            <w:tcW w:w="1083" w:type="dxa"/>
            <w:noWrap/>
            <w:vAlign w:val="center"/>
          </w:tcPr>
          <w:p w14:paraId="616AB603" w14:textId="77777777" w:rsidR="00A6207F" w:rsidRPr="00BF051E" w:rsidRDefault="00000000" w:rsidP="00156E3A">
            <w:pPr>
              <w:spacing w:line="276" w:lineRule="auto"/>
              <w:jc w:val="center"/>
              <w:rPr>
                <w:rFonts w:eastAsia="微软雅黑"/>
              </w:rPr>
            </w:pPr>
            <w:r w:rsidRPr="00BF051E">
              <w:rPr>
                <w:rFonts w:eastAsia="微软雅黑"/>
                <w:sz w:val="17"/>
              </w:rPr>
              <w:t>锐途1号</w:t>
            </w:r>
          </w:p>
        </w:tc>
        <w:tc>
          <w:tcPr>
            <w:tcW w:w="1083" w:type="dxa"/>
            <w:noWrap/>
            <w:vAlign w:val="center"/>
          </w:tcPr>
          <w:p w14:paraId="55D5830E"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7B11947D"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6C7A6888"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2F09239E"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0CA821C5"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29242CFA" w14:textId="77777777" w:rsidR="00A6207F" w:rsidRPr="00BF051E" w:rsidRDefault="00000000" w:rsidP="00156E3A">
            <w:pPr>
              <w:spacing w:line="276" w:lineRule="auto"/>
              <w:jc w:val="center"/>
              <w:rPr>
                <w:rFonts w:eastAsia="微软雅黑"/>
              </w:rPr>
            </w:pPr>
            <w:r w:rsidRPr="00BF051E">
              <w:rPr>
                <w:rFonts w:eastAsia="微软雅黑"/>
                <w:sz w:val="17"/>
              </w:rPr>
              <w:t>-</w:t>
            </w:r>
          </w:p>
        </w:tc>
        <w:tc>
          <w:tcPr>
            <w:tcW w:w="1083" w:type="dxa"/>
            <w:noWrap/>
            <w:vAlign w:val="center"/>
          </w:tcPr>
          <w:p w14:paraId="6BDE4550" w14:textId="77777777" w:rsidR="00A6207F" w:rsidRPr="00BF051E" w:rsidRDefault="00000000" w:rsidP="00156E3A">
            <w:pPr>
              <w:spacing w:line="276" w:lineRule="auto"/>
              <w:jc w:val="center"/>
              <w:rPr>
                <w:rFonts w:eastAsia="微软雅黑"/>
              </w:rPr>
            </w:pPr>
            <w:r w:rsidRPr="00BF051E">
              <w:rPr>
                <w:rFonts w:eastAsia="微软雅黑"/>
                <w:sz w:val="17"/>
              </w:rPr>
              <w:t>28.94%</w:t>
            </w:r>
          </w:p>
        </w:tc>
        <w:tc>
          <w:tcPr>
            <w:tcW w:w="1083" w:type="dxa"/>
            <w:noWrap/>
            <w:vAlign w:val="center"/>
          </w:tcPr>
          <w:p w14:paraId="49160DBD" w14:textId="77777777" w:rsidR="00A6207F" w:rsidRPr="00BF051E" w:rsidRDefault="00000000" w:rsidP="00156E3A">
            <w:pPr>
              <w:spacing w:line="276" w:lineRule="auto"/>
              <w:jc w:val="center"/>
              <w:rPr>
                <w:rFonts w:eastAsia="微软雅黑"/>
              </w:rPr>
            </w:pPr>
            <w:r w:rsidRPr="00BF051E">
              <w:rPr>
                <w:rFonts w:eastAsia="微软雅黑"/>
                <w:sz w:val="17"/>
              </w:rPr>
              <w:t>4.07%</w:t>
            </w:r>
          </w:p>
        </w:tc>
      </w:tr>
    </w:tbl>
    <w:p w14:paraId="757D0F07" w14:textId="77777777" w:rsidR="00A6207F" w:rsidRPr="00BF051E" w:rsidRDefault="00A6207F" w:rsidP="00156E3A">
      <w:pPr>
        <w:jc w:val="both"/>
        <w:rPr>
          <w:rFonts w:eastAsia="微软雅黑"/>
        </w:rPr>
      </w:pPr>
    </w:p>
    <w:p w14:paraId="59B671A8" w14:textId="77777777" w:rsidR="00A6207F" w:rsidRPr="00BF051E" w:rsidRDefault="00000000" w:rsidP="00156E3A">
      <w:pPr>
        <w:pStyle w:val="21"/>
        <w:spacing w:after="100"/>
        <w:jc w:val="both"/>
        <w:rPr>
          <w:rFonts w:ascii="微软雅黑" w:eastAsia="微软雅黑" w:hAnsi="微软雅黑"/>
        </w:rPr>
      </w:pPr>
      <w:r w:rsidRPr="00BF051E">
        <w:rPr>
          <w:rFonts w:ascii="微软雅黑" w:eastAsia="微软雅黑" w:hAnsi="微软雅黑"/>
          <w:b w:val="0"/>
        </w:rPr>
        <w:t>2.4 业绩特征解读</w:t>
      </w:r>
    </w:p>
    <w:p w14:paraId="47332C72" w14:textId="77777777" w:rsidR="00A6207F" w:rsidRPr="00BF051E" w:rsidRDefault="00000000" w:rsidP="00156E3A">
      <w:pPr>
        <w:spacing w:after="100"/>
        <w:jc w:val="both"/>
        <w:rPr>
          <w:rFonts w:eastAsia="微软雅黑"/>
          <w:lang w:eastAsia="zh-CN"/>
        </w:rPr>
      </w:pPr>
      <w:r w:rsidRPr="00BF051E">
        <w:rPr>
          <w:rFonts w:eastAsia="微软雅黑"/>
          <w:lang w:eastAsia="zh-CN"/>
        </w:rPr>
        <w:t>锐进2号是观察庄贤核心策略最重要的样本。2019-2021年连续取得较高收益，对应化工、资源和新能源上游等方向供需机会较多；2022-2023年连续回撤，反映出在周期承压、资金环境转弱和市场风格不利阶段，策略难以完全规避方向性风险；2025年显著修复，与资源品上行、反内卷预期、供需出清交易相匹配。</w:t>
      </w:r>
    </w:p>
    <w:p w14:paraId="113CF945" w14:textId="77777777" w:rsidR="00A6207F" w:rsidRPr="00BF051E" w:rsidRDefault="00000000" w:rsidP="00156E3A">
      <w:pPr>
        <w:spacing w:after="100"/>
        <w:jc w:val="both"/>
        <w:rPr>
          <w:rFonts w:eastAsia="微软雅黑"/>
          <w:lang w:eastAsia="zh-CN"/>
        </w:rPr>
      </w:pPr>
      <w:r w:rsidRPr="00BF051E">
        <w:rPr>
          <w:rFonts w:eastAsia="微软雅黑"/>
          <w:b/>
          <w:lang w:eastAsia="zh-CN"/>
        </w:rPr>
        <w:t>锐进2号最大回撤-33.13%，且回撤周期较长，是评价庄贤时必须重视的约束。该产品体现的</w:t>
      </w:r>
      <w:proofErr w:type="gramStart"/>
      <w:r w:rsidRPr="00BF051E">
        <w:rPr>
          <w:rFonts w:eastAsia="微软雅黑"/>
          <w:b/>
          <w:lang w:eastAsia="zh-CN"/>
        </w:rPr>
        <w:t>并不是低波绝对</w:t>
      </w:r>
      <w:proofErr w:type="gramEnd"/>
      <w:r w:rsidRPr="00BF051E">
        <w:rPr>
          <w:rFonts w:eastAsia="微软雅黑"/>
          <w:b/>
          <w:lang w:eastAsia="zh-CN"/>
        </w:rPr>
        <w:t>收益特征，而是“较高长期收益+阶段性深回撤”的周期增强特征。</w:t>
      </w:r>
      <w:r w:rsidRPr="00BF051E">
        <w:rPr>
          <w:rFonts w:eastAsia="微软雅黑"/>
          <w:lang w:eastAsia="zh-CN"/>
        </w:rPr>
        <w:t xml:space="preserve"> 其风险收益形态决定了投资人需要具备较长持有周期和较高回撤容忍度。</w:t>
      </w:r>
    </w:p>
    <w:p w14:paraId="6B337619" w14:textId="77777777" w:rsidR="00A6207F" w:rsidRPr="00BF051E" w:rsidRDefault="00000000" w:rsidP="00156E3A">
      <w:pPr>
        <w:spacing w:after="100"/>
        <w:jc w:val="both"/>
        <w:rPr>
          <w:rFonts w:eastAsia="微软雅黑"/>
          <w:lang w:eastAsia="zh-CN"/>
        </w:rPr>
      </w:pPr>
      <w:r w:rsidRPr="00BF051E">
        <w:rPr>
          <w:rFonts w:eastAsia="微软雅黑"/>
          <w:lang w:eastAsia="zh-CN"/>
        </w:rPr>
        <w:t>锐远1号收益弹性明显高于锐进2号，2024年和2025年分别取得38.71%和83.41%的收益。其差异部分来自更高弹性品种、较高集中度，以及通过收益互换参与部分港股非通标的。该产品更适合风险预算较高、希望增强进攻性的资金，但其</w:t>
      </w:r>
      <w:proofErr w:type="gramStart"/>
      <w:r w:rsidRPr="00BF051E">
        <w:rPr>
          <w:rFonts w:eastAsia="微软雅黑"/>
          <w:lang w:eastAsia="zh-CN"/>
        </w:rPr>
        <w:t>年化波动</w:t>
      </w:r>
      <w:proofErr w:type="gramEnd"/>
      <w:r w:rsidRPr="00BF051E">
        <w:rPr>
          <w:rFonts w:eastAsia="微软雅黑"/>
          <w:lang w:eastAsia="zh-CN"/>
        </w:rPr>
        <w:t>27.44%，说明高收益对应更高风险暴露。</w:t>
      </w:r>
    </w:p>
    <w:p w14:paraId="30469977" w14:textId="77777777" w:rsidR="00A6207F" w:rsidRPr="00BF051E" w:rsidRDefault="00000000" w:rsidP="00156E3A">
      <w:pPr>
        <w:spacing w:after="100"/>
        <w:jc w:val="both"/>
        <w:rPr>
          <w:rFonts w:eastAsia="微软雅黑"/>
          <w:lang w:eastAsia="zh-CN"/>
        </w:rPr>
      </w:pPr>
      <w:proofErr w:type="gramStart"/>
      <w:r w:rsidRPr="00BF051E">
        <w:rPr>
          <w:rFonts w:eastAsia="微软雅黑"/>
          <w:lang w:eastAsia="zh-CN"/>
        </w:rPr>
        <w:t>锐途1号</w:t>
      </w:r>
      <w:proofErr w:type="gramEnd"/>
      <w:r w:rsidRPr="00BF051E">
        <w:rPr>
          <w:rFonts w:eastAsia="微软雅黑"/>
          <w:lang w:eastAsia="zh-CN"/>
        </w:rPr>
        <w:t>通过低</w:t>
      </w:r>
      <w:proofErr w:type="gramStart"/>
      <w:r w:rsidRPr="00BF051E">
        <w:rPr>
          <w:rFonts w:eastAsia="微软雅黑"/>
          <w:lang w:eastAsia="zh-CN"/>
        </w:rPr>
        <w:t>仓位</w:t>
      </w:r>
      <w:proofErr w:type="gramEnd"/>
      <w:r w:rsidRPr="00BF051E">
        <w:rPr>
          <w:rFonts w:eastAsia="微软雅黑"/>
          <w:lang w:eastAsia="zh-CN"/>
        </w:rPr>
        <w:t>和低估值标的选择降低组合波动，2025年收益28.94%，但2026年1-4月收益仅4.07%，最大回撤-9.24%且截至数据日尚未修复。该产品可以作为参与庄贤框架的保守表达，但并不改变底层策略对周期和资源环境的敏感性，也不宜被理解为低相关或纯绝对收益策略。</w:t>
      </w:r>
    </w:p>
    <w:p w14:paraId="1F7A31CA" w14:textId="77777777" w:rsidR="00A6207F" w:rsidRPr="00BF051E" w:rsidRDefault="00000000" w:rsidP="00156E3A">
      <w:pPr>
        <w:spacing w:after="100"/>
        <w:jc w:val="both"/>
        <w:rPr>
          <w:rFonts w:eastAsia="微软雅黑"/>
          <w:lang w:eastAsia="zh-CN"/>
        </w:rPr>
      </w:pPr>
      <w:r w:rsidRPr="00BF051E">
        <w:rPr>
          <w:rFonts w:eastAsia="微软雅黑"/>
          <w:lang w:eastAsia="zh-CN"/>
        </w:rPr>
        <w:t>整体看，三条产品线是同一策略框架下的不同风险预算表达，而非三种独立策略。配置锐进、锐远、锐途，本质是选择不同进攻性和回撤容忍度，而不是获得底层风险来源的显著分散。</w:t>
      </w:r>
    </w:p>
    <w:tbl>
      <w:tblPr>
        <w:tblStyle w:val="aff1"/>
        <w:tblW w:w="0" w:type="auto"/>
        <w:jc w:val="center"/>
        <w:tblLook w:val="04A0" w:firstRow="1" w:lastRow="0" w:firstColumn="1" w:lastColumn="0" w:noHBand="0" w:noVBand="1"/>
      </w:tblPr>
      <w:tblGrid>
        <w:gridCol w:w="1559"/>
        <w:gridCol w:w="3313"/>
        <w:gridCol w:w="2436"/>
        <w:gridCol w:w="2436"/>
      </w:tblGrid>
      <w:tr w:rsidR="00A6207F" w:rsidRPr="00BF051E" w14:paraId="204E6C80" w14:textId="77777777" w:rsidTr="00E92D70">
        <w:trPr>
          <w:jc w:val="center"/>
        </w:trPr>
        <w:tc>
          <w:tcPr>
            <w:tcW w:w="1559" w:type="dxa"/>
            <w:noWrap/>
            <w:vAlign w:val="center"/>
          </w:tcPr>
          <w:p w14:paraId="2DD4D7C5" w14:textId="77777777" w:rsidR="00A6207F" w:rsidRPr="00BF051E" w:rsidRDefault="00000000" w:rsidP="00156E3A">
            <w:pPr>
              <w:spacing w:line="276" w:lineRule="auto"/>
              <w:jc w:val="both"/>
              <w:rPr>
                <w:rFonts w:eastAsia="微软雅黑"/>
              </w:rPr>
            </w:pPr>
            <w:proofErr w:type="spellStart"/>
            <w:r w:rsidRPr="00BF051E">
              <w:rPr>
                <w:rFonts w:eastAsia="微软雅黑"/>
                <w:b/>
                <w:sz w:val="17"/>
              </w:rPr>
              <w:t>产品选择逻辑</w:t>
            </w:r>
            <w:proofErr w:type="spellEnd"/>
          </w:p>
        </w:tc>
        <w:tc>
          <w:tcPr>
            <w:tcW w:w="3313" w:type="dxa"/>
            <w:noWrap/>
            <w:vAlign w:val="center"/>
          </w:tcPr>
          <w:p w14:paraId="59665BAF" w14:textId="77777777" w:rsidR="00A6207F" w:rsidRPr="00BF051E" w:rsidRDefault="00000000" w:rsidP="00156E3A">
            <w:pPr>
              <w:spacing w:line="276" w:lineRule="auto"/>
              <w:jc w:val="both"/>
              <w:rPr>
                <w:rFonts w:eastAsia="微软雅黑"/>
              </w:rPr>
            </w:pPr>
            <w:r w:rsidRPr="00BF051E">
              <w:rPr>
                <w:rFonts w:eastAsia="微软雅黑"/>
                <w:b/>
                <w:sz w:val="17"/>
              </w:rPr>
              <w:t>锐进2号</w:t>
            </w:r>
          </w:p>
        </w:tc>
        <w:tc>
          <w:tcPr>
            <w:tcW w:w="2436" w:type="dxa"/>
            <w:noWrap/>
            <w:vAlign w:val="center"/>
          </w:tcPr>
          <w:p w14:paraId="46D82E7A" w14:textId="77777777" w:rsidR="00A6207F" w:rsidRPr="00BF051E" w:rsidRDefault="00000000" w:rsidP="00156E3A">
            <w:pPr>
              <w:spacing w:line="276" w:lineRule="auto"/>
              <w:jc w:val="both"/>
              <w:rPr>
                <w:rFonts w:eastAsia="微软雅黑"/>
              </w:rPr>
            </w:pPr>
            <w:r w:rsidRPr="00BF051E">
              <w:rPr>
                <w:rFonts w:eastAsia="微软雅黑"/>
                <w:b/>
                <w:sz w:val="17"/>
              </w:rPr>
              <w:t>锐远1号</w:t>
            </w:r>
          </w:p>
        </w:tc>
        <w:tc>
          <w:tcPr>
            <w:tcW w:w="2436" w:type="dxa"/>
            <w:noWrap/>
            <w:vAlign w:val="center"/>
          </w:tcPr>
          <w:p w14:paraId="6E7BD95B" w14:textId="77777777" w:rsidR="00A6207F" w:rsidRPr="00BF051E" w:rsidRDefault="00000000" w:rsidP="00156E3A">
            <w:pPr>
              <w:spacing w:line="276" w:lineRule="auto"/>
              <w:jc w:val="both"/>
              <w:rPr>
                <w:rFonts w:eastAsia="微软雅黑"/>
              </w:rPr>
            </w:pPr>
            <w:r w:rsidRPr="00BF051E">
              <w:rPr>
                <w:rFonts w:eastAsia="微软雅黑"/>
                <w:b/>
                <w:sz w:val="17"/>
              </w:rPr>
              <w:t>锐途1号</w:t>
            </w:r>
          </w:p>
        </w:tc>
      </w:tr>
      <w:tr w:rsidR="00A6207F" w:rsidRPr="00BF051E" w14:paraId="29F3F93E" w14:textId="77777777" w:rsidTr="00E92D70">
        <w:trPr>
          <w:jc w:val="center"/>
        </w:trPr>
        <w:tc>
          <w:tcPr>
            <w:tcW w:w="1559" w:type="dxa"/>
            <w:noWrap/>
            <w:vAlign w:val="center"/>
          </w:tcPr>
          <w:p w14:paraId="7BA52876" w14:textId="77777777" w:rsidR="00A6207F" w:rsidRPr="00BF051E" w:rsidRDefault="00000000" w:rsidP="00156E3A">
            <w:pPr>
              <w:spacing w:line="276" w:lineRule="auto"/>
              <w:jc w:val="both"/>
              <w:rPr>
                <w:rFonts w:eastAsia="微软雅黑"/>
              </w:rPr>
            </w:pPr>
            <w:r w:rsidRPr="00BF051E">
              <w:rPr>
                <w:rFonts w:eastAsia="微软雅黑"/>
                <w:sz w:val="17"/>
              </w:rPr>
              <w:t>组合角色</w:t>
            </w:r>
          </w:p>
        </w:tc>
        <w:tc>
          <w:tcPr>
            <w:tcW w:w="3313" w:type="dxa"/>
            <w:noWrap/>
            <w:vAlign w:val="center"/>
          </w:tcPr>
          <w:p w14:paraId="0A0E3F64" w14:textId="77777777" w:rsidR="00A6207F" w:rsidRPr="00BF051E" w:rsidRDefault="00000000" w:rsidP="00156E3A">
            <w:pPr>
              <w:spacing w:line="276" w:lineRule="auto"/>
              <w:jc w:val="both"/>
              <w:rPr>
                <w:rFonts w:eastAsia="微软雅黑"/>
              </w:rPr>
            </w:pPr>
            <w:r w:rsidRPr="00BF051E">
              <w:rPr>
                <w:rFonts w:eastAsia="微软雅黑"/>
                <w:sz w:val="17"/>
              </w:rPr>
              <w:t>核心策略观察样本</w:t>
            </w:r>
          </w:p>
        </w:tc>
        <w:tc>
          <w:tcPr>
            <w:tcW w:w="2436" w:type="dxa"/>
            <w:noWrap/>
            <w:vAlign w:val="center"/>
          </w:tcPr>
          <w:p w14:paraId="5FA29101" w14:textId="77777777" w:rsidR="00A6207F" w:rsidRPr="00BF051E" w:rsidRDefault="00000000" w:rsidP="00156E3A">
            <w:pPr>
              <w:spacing w:line="276" w:lineRule="auto"/>
              <w:jc w:val="both"/>
              <w:rPr>
                <w:rFonts w:eastAsia="微软雅黑"/>
              </w:rPr>
            </w:pPr>
            <w:r w:rsidRPr="00BF051E">
              <w:rPr>
                <w:rFonts w:eastAsia="微软雅黑"/>
                <w:sz w:val="17"/>
              </w:rPr>
              <w:t>进攻弹性表达</w:t>
            </w:r>
          </w:p>
        </w:tc>
        <w:tc>
          <w:tcPr>
            <w:tcW w:w="2436" w:type="dxa"/>
            <w:noWrap/>
            <w:vAlign w:val="center"/>
          </w:tcPr>
          <w:p w14:paraId="7AA1BD9C" w14:textId="77777777" w:rsidR="00A6207F" w:rsidRPr="00BF051E" w:rsidRDefault="00000000" w:rsidP="00156E3A">
            <w:pPr>
              <w:spacing w:line="276" w:lineRule="auto"/>
              <w:jc w:val="both"/>
              <w:rPr>
                <w:rFonts w:eastAsia="微软雅黑"/>
              </w:rPr>
            </w:pPr>
            <w:r w:rsidRPr="00BF051E">
              <w:rPr>
                <w:rFonts w:eastAsia="微软雅黑"/>
                <w:sz w:val="17"/>
              </w:rPr>
              <w:t>低仓位保守表达</w:t>
            </w:r>
          </w:p>
        </w:tc>
      </w:tr>
      <w:tr w:rsidR="00A6207F" w:rsidRPr="00BF051E" w14:paraId="3FBC6B85" w14:textId="77777777" w:rsidTr="00E92D70">
        <w:trPr>
          <w:jc w:val="center"/>
        </w:trPr>
        <w:tc>
          <w:tcPr>
            <w:tcW w:w="1559" w:type="dxa"/>
            <w:noWrap/>
            <w:vAlign w:val="center"/>
          </w:tcPr>
          <w:p w14:paraId="0FAD84D6" w14:textId="77777777" w:rsidR="00A6207F" w:rsidRPr="00BF051E" w:rsidRDefault="00000000" w:rsidP="00156E3A">
            <w:pPr>
              <w:spacing w:line="276" w:lineRule="auto"/>
              <w:jc w:val="both"/>
              <w:rPr>
                <w:rFonts w:eastAsia="微软雅黑"/>
              </w:rPr>
            </w:pPr>
            <w:r w:rsidRPr="00BF051E">
              <w:rPr>
                <w:rFonts w:eastAsia="微软雅黑"/>
                <w:sz w:val="17"/>
              </w:rPr>
              <w:t>主要差异</w:t>
            </w:r>
          </w:p>
        </w:tc>
        <w:tc>
          <w:tcPr>
            <w:tcW w:w="3313" w:type="dxa"/>
            <w:noWrap/>
            <w:vAlign w:val="center"/>
          </w:tcPr>
          <w:p w14:paraId="0ECDB9E5"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运行时间最长、均衡周期</w:t>
            </w:r>
          </w:p>
        </w:tc>
        <w:tc>
          <w:tcPr>
            <w:tcW w:w="2436" w:type="dxa"/>
            <w:noWrap/>
            <w:vAlign w:val="center"/>
          </w:tcPr>
          <w:p w14:paraId="056149DB"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集中度和工具弹性更高</w:t>
            </w:r>
          </w:p>
        </w:tc>
        <w:tc>
          <w:tcPr>
            <w:tcW w:w="2436" w:type="dxa"/>
            <w:noWrap/>
            <w:vAlign w:val="center"/>
          </w:tcPr>
          <w:p w14:paraId="005B0ADD"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通过仓位降低波动</w:t>
            </w:r>
            <w:proofErr w:type="spellEnd"/>
          </w:p>
        </w:tc>
      </w:tr>
      <w:tr w:rsidR="00A6207F" w:rsidRPr="00BF051E" w14:paraId="52ABBBD4" w14:textId="77777777" w:rsidTr="00E92D70">
        <w:trPr>
          <w:jc w:val="center"/>
        </w:trPr>
        <w:tc>
          <w:tcPr>
            <w:tcW w:w="1559" w:type="dxa"/>
            <w:noWrap/>
            <w:vAlign w:val="center"/>
          </w:tcPr>
          <w:p w14:paraId="3A759FBD" w14:textId="77777777" w:rsidR="00A6207F" w:rsidRPr="00BF051E" w:rsidRDefault="00000000" w:rsidP="00156E3A">
            <w:pPr>
              <w:spacing w:line="276" w:lineRule="auto"/>
              <w:jc w:val="both"/>
              <w:rPr>
                <w:rFonts w:eastAsia="微软雅黑"/>
              </w:rPr>
            </w:pPr>
            <w:r w:rsidRPr="00BF051E">
              <w:rPr>
                <w:rFonts w:eastAsia="微软雅黑"/>
                <w:sz w:val="17"/>
              </w:rPr>
              <w:t>配置含义</w:t>
            </w:r>
          </w:p>
        </w:tc>
        <w:tc>
          <w:tcPr>
            <w:tcW w:w="3313" w:type="dxa"/>
            <w:noWrap/>
            <w:vAlign w:val="center"/>
          </w:tcPr>
          <w:p w14:paraId="4D7DF664" w14:textId="77777777" w:rsidR="00A6207F" w:rsidRPr="00BF051E" w:rsidRDefault="00000000" w:rsidP="00156E3A">
            <w:pPr>
              <w:spacing w:line="276" w:lineRule="auto"/>
              <w:jc w:val="both"/>
              <w:rPr>
                <w:rFonts w:eastAsia="微软雅黑"/>
              </w:rPr>
            </w:pPr>
            <w:r w:rsidRPr="00BF051E">
              <w:rPr>
                <w:rFonts w:eastAsia="微软雅黑"/>
                <w:sz w:val="17"/>
              </w:rPr>
              <w:t>适合评估穿越能力</w:t>
            </w:r>
          </w:p>
        </w:tc>
        <w:tc>
          <w:tcPr>
            <w:tcW w:w="2436" w:type="dxa"/>
            <w:noWrap/>
            <w:vAlign w:val="center"/>
          </w:tcPr>
          <w:p w14:paraId="74624745" w14:textId="77777777" w:rsidR="00A6207F" w:rsidRPr="00BF051E" w:rsidRDefault="00000000" w:rsidP="00156E3A">
            <w:pPr>
              <w:spacing w:line="276" w:lineRule="auto"/>
              <w:jc w:val="both"/>
              <w:rPr>
                <w:rFonts w:eastAsia="微软雅黑"/>
              </w:rPr>
            </w:pPr>
            <w:r w:rsidRPr="00BF051E">
              <w:rPr>
                <w:rFonts w:eastAsia="微软雅黑"/>
                <w:sz w:val="17"/>
              </w:rPr>
              <w:t>适合较高风险预算</w:t>
            </w:r>
          </w:p>
        </w:tc>
        <w:tc>
          <w:tcPr>
            <w:tcW w:w="2436" w:type="dxa"/>
            <w:noWrap/>
            <w:vAlign w:val="center"/>
          </w:tcPr>
          <w:p w14:paraId="79552650" w14:textId="77777777" w:rsidR="00A6207F" w:rsidRPr="00BF051E" w:rsidRDefault="00000000" w:rsidP="00156E3A">
            <w:pPr>
              <w:spacing w:line="276" w:lineRule="auto"/>
              <w:jc w:val="both"/>
              <w:rPr>
                <w:rFonts w:eastAsia="微软雅黑"/>
              </w:rPr>
            </w:pPr>
            <w:r w:rsidRPr="00BF051E">
              <w:rPr>
                <w:rFonts w:eastAsia="微软雅黑"/>
                <w:sz w:val="17"/>
              </w:rPr>
              <w:t>适合回撤敏感资金</w:t>
            </w:r>
          </w:p>
        </w:tc>
      </w:tr>
    </w:tbl>
    <w:p w14:paraId="21519C18" w14:textId="77777777" w:rsidR="00A6207F" w:rsidRPr="00BF051E" w:rsidRDefault="00A6207F" w:rsidP="00156E3A">
      <w:pPr>
        <w:jc w:val="both"/>
        <w:rPr>
          <w:rFonts w:eastAsia="微软雅黑"/>
        </w:rPr>
      </w:pPr>
    </w:p>
    <w:p w14:paraId="52DE03A8" w14:textId="77777777" w:rsidR="00A6207F" w:rsidRPr="00BF051E" w:rsidRDefault="00000000" w:rsidP="00156E3A">
      <w:pPr>
        <w:spacing w:after="100"/>
        <w:jc w:val="both"/>
        <w:rPr>
          <w:rFonts w:eastAsia="微软雅黑"/>
        </w:rPr>
      </w:pPr>
      <w:r w:rsidRPr="00BF051E">
        <w:rPr>
          <w:rFonts w:eastAsia="微软雅黑"/>
          <w:b/>
        </w:rPr>
        <w:t>组合业绩的进一步解读</w:t>
      </w:r>
    </w:p>
    <w:p w14:paraId="2A3F340D" w14:textId="77777777" w:rsidR="00A6207F" w:rsidRPr="00BF051E" w:rsidRDefault="00000000" w:rsidP="00156E3A">
      <w:pPr>
        <w:spacing w:after="100"/>
        <w:jc w:val="both"/>
        <w:rPr>
          <w:rFonts w:eastAsia="微软雅黑"/>
          <w:lang w:eastAsia="zh-CN"/>
        </w:rPr>
      </w:pPr>
      <w:r w:rsidRPr="00BF051E">
        <w:rPr>
          <w:rFonts w:eastAsia="微软雅黑"/>
          <w:lang w:eastAsia="zh-CN"/>
        </w:rPr>
        <w:t>锐进2号的年度收益分布具有较强的“状态依赖”特征。2019-2021年连续正收益和2025年高收益，反映出策略在供需拐点密集、周期品价格弹性较强、市场愿意定价资源和上游利润时具备较强进攻性；</w:t>
      </w:r>
      <w:r w:rsidRPr="00BF051E">
        <w:rPr>
          <w:rFonts w:eastAsia="微软雅黑"/>
          <w:lang w:eastAsia="zh-CN"/>
        </w:rPr>
        <w:lastRenderedPageBreak/>
        <w:t>2022-2023年连续亏损，则说明当宏观流动性、风险偏好和市场风格共同不利时，供需框架并不能天然抵消方向性 Beta。</w:t>
      </w:r>
    </w:p>
    <w:p w14:paraId="55BC9F67" w14:textId="77777777" w:rsidR="00A6207F" w:rsidRPr="00BF051E" w:rsidRDefault="00000000" w:rsidP="00156E3A">
      <w:pPr>
        <w:spacing w:after="100"/>
        <w:jc w:val="both"/>
        <w:rPr>
          <w:rFonts w:eastAsia="微软雅黑"/>
          <w:lang w:eastAsia="zh-CN"/>
        </w:rPr>
      </w:pPr>
      <w:r w:rsidRPr="00BF051E">
        <w:rPr>
          <w:rFonts w:eastAsia="微软雅黑"/>
          <w:b/>
          <w:lang w:eastAsia="zh-CN"/>
        </w:rPr>
        <w:t>这组数据对配置人的启示在于，庄贤的收益并非均匀分布，而是明显集中于少数有利年份。该特征本身并不否定策略价值，但要求配置人在</w:t>
      </w:r>
      <w:proofErr w:type="gramStart"/>
      <w:r w:rsidRPr="00BF051E">
        <w:rPr>
          <w:rFonts w:eastAsia="微软雅黑"/>
          <w:b/>
          <w:lang w:eastAsia="zh-CN"/>
        </w:rPr>
        <w:t>仓位</w:t>
      </w:r>
      <w:proofErr w:type="gramEnd"/>
      <w:r w:rsidRPr="00BF051E">
        <w:rPr>
          <w:rFonts w:eastAsia="微软雅黑"/>
          <w:b/>
          <w:lang w:eastAsia="zh-CN"/>
        </w:rPr>
        <w:t>安排上避免“高点追认”。</w:t>
      </w:r>
      <w:r w:rsidRPr="00BF051E">
        <w:rPr>
          <w:rFonts w:eastAsia="微软雅黑"/>
          <w:lang w:eastAsia="zh-CN"/>
        </w:rPr>
        <w:t xml:space="preserve"> 如果在2021年末或周期叙事充分定价后进入，投资者可能经历较长回撤；如果在周期低位、供需出清和政策拐点逐步显性化阶段配置，则更可能捕捉其策略弹性。</w:t>
      </w:r>
    </w:p>
    <w:p w14:paraId="403C139A" w14:textId="77777777" w:rsidR="00A6207F" w:rsidRPr="00BF051E" w:rsidRDefault="00000000" w:rsidP="00156E3A">
      <w:pPr>
        <w:spacing w:after="100"/>
        <w:jc w:val="both"/>
        <w:rPr>
          <w:rFonts w:eastAsia="微软雅黑"/>
          <w:lang w:eastAsia="zh-CN"/>
        </w:rPr>
      </w:pPr>
      <w:r w:rsidRPr="00BF051E">
        <w:rPr>
          <w:rFonts w:eastAsia="微软雅黑"/>
          <w:b/>
          <w:lang w:eastAsia="zh-CN"/>
        </w:rPr>
        <w:t>2024年收益仅4.16%、2025年大幅回升，也提供了一个重要观察：低估值本身并不足以驱动庄贤策略释放收益，真正有效的催化往往来自价格信号、库存出清、政策推动或资源品重估等变量。</w:t>
      </w:r>
      <w:r w:rsidRPr="00BF051E">
        <w:rPr>
          <w:rFonts w:eastAsia="微软雅黑"/>
          <w:lang w:eastAsia="zh-CN"/>
        </w:rPr>
        <w:t xml:space="preserve"> 换言之，庄贤不是单纯的“低估值周期股买入持有”管理人，而是更依赖供需变化从潜在逻辑走向可交易信号。</w:t>
      </w:r>
    </w:p>
    <w:p w14:paraId="5BC8C4F9" w14:textId="77777777" w:rsidR="00A6207F" w:rsidRPr="00BF051E" w:rsidRDefault="00000000" w:rsidP="00156E3A">
      <w:pPr>
        <w:spacing w:after="100"/>
        <w:jc w:val="both"/>
        <w:rPr>
          <w:rFonts w:eastAsia="微软雅黑"/>
          <w:lang w:eastAsia="zh-CN"/>
        </w:rPr>
      </w:pPr>
      <w:r w:rsidRPr="00BF051E">
        <w:rPr>
          <w:rFonts w:eastAsia="微软雅黑"/>
          <w:lang w:eastAsia="zh-CN"/>
        </w:rPr>
        <w:t>锐远</w:t>
      </w:r>
      <w:proofErr w:type="gramStart"/>
      <w:r w:rsidRPr="00BF051E">
        <w:rPr>
          <w:rFonts w:eastAsia="微软雅黑"/>
          <w:lang w:eastAsia="zh-CN"/>
        </w:rPr>
        <w:t>与锐途的</w:t>
      </w:r>
      <w:proofErr w:type="gramEnd"/>
      <w:r w:rsidRPr="00BF051E">
        <w:rPr>
          <w:rFonts w:eastAsia="微软雅黑"/>
          <w:lang w:eastAsia="zh-CN"/>
        </w:rPr>
        <w:t>表现进一步说明，庄贤可以通过工具、集中度和</w:t>
      </w:r>
      <w:proofErr w:type="gramStart"/>
      <w:r w:rsidRPr="00BF051E">
        <w:rPr>
          <w:rFonts w:eastAsia="微软雅黑"/>
          <w:lang w:eastAsia="zh-CN"/>
        </w:rPr>
        <w:t>仓位</w:t>
      </w:r>
      <w:proofErr w:type="gramEnd"/>
      <w:r w:rsidRPr="00BF051E">
        <w:rPr>
          <w:rFonts w:eastAsia="微软雅黑"/>
          <w:lang w:eastAsia="zh-CN"/>
        </w:rPr>
        <w:t>改变净值弹性，但难以改变底层收益来源。锐远放大的是同一框架下的上行弹性，</w:t>
      </w:r>
      <w:proofErr w:type="gramStart"/>
      <w:r w:rsidRPr="00BF051E">
        <w:rPr>
          <w:rFonts w:eastAsia="微软雅黑"/>
          <w:lang w:eastAsia="zh-CN"/>
        </w:rPr>
        <w:t>锐途压低</w:t>
      </w:r>
      <w:proofErr w:type="gramEnd"/>
      <w:r w:rsidRPr="00BF051E">
        <w:rPr>
          <w:rFonts w:eastAsia="微软雅黑"/>
          <w:lang w:eastAsia="zh-CN"/>
        </w:rPr>
        <w:t>的是同一框架下的波动水平。对于机构组合而言，这意味着产品选择应服务于风险预算，而不能把不同产品线误认为</w:t>
      </w:r>
      <w:proofErr w:type="gramStart"/>
      <w:r w:rsidRPr="00BF051E">
        <w:rPr>
          <w:rFonts w:eastAsia="微软雅黑"/>
          <w:lang w:eastAsia="zh-CN"/>
        </w:rPr>
        <w:t>低相关</w:t>
      </w:r>
      <w:proofErr w:type="gramEnd"/>
      <w:r w:rsidRPr="00BF051E">
        <w:rPr>
          <w:rFonts w:eastAsia="微软雅黑"/>
          <w:lang w:eastAsia="zh-CN"/>
        </w:rPr>
        <w:t>配置。</w:t>
      </w:r>
    </w:p>
    <w:p w14:paraId="40396FFB"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t>三、投资框架与实践案例</w:t>
      </w:r>
    </w:p>
    <w:p w14:paraId="7689BCC2"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3.1 框架总</w:t>
      </w:r>
      <w:proofErr w:type="gramStart"/>
      <w:r w:rsidRPr="00BF051E">
        <w:rPr>
          <w:rFonts w:ascii="微软雅黑" w:eastAsia="微软雅黑" w:hAnsi="微软雅黑"/>
          <w:b w:val="0"/>
          <w:lang w:eastAsia="zh-CN"/>
        </w:rPr>
        <w:t>览</w:t>
      </w:r>
      <w:proofErr w:type="gramEnd"/>
      <w:r w:rsidRPr="00BF051E">
        <w:rPr>
          <w:rFonts w:ascii="微软雅黑" w:eastAsia="微软雅黑" w:hAnsi="微软雅黑"/>
          <w:b w:val="0"/>
          <w:lang w:eastAsia="zh-CN"/>
        </w:rPr>
        <w:t>：供需变化到股价兑现</w:t>
      </w:r>
    </w:p>
    <w:p w14:paraId="1D1B50BF" w14:textId="77777777" w:rsidR="00A6207F" w:rsidRPr="00BF051E" w:rsidRDefault="00000000" w:rsidP="00156E3A">
      <w:pPr>
        <w:spacing w:after="100"/>
        <w:jc w:val="both"/>
        <w:rPr>
          <w:rFonts w:eastAsia="微软雅黑"/>
          <w:lang w:eastAsia="zh-CN"/>
        </w:rPr>
      </w:pPr>
      <w:r w:rsidRPr="00BF051E">
        <w:rPr>
          <w:rFonts w:eastAsia="微软雅黑"/>
          <w:lang w:eastAsia="zh-CN"/>
        </w:rPr>
        <w:t>庄贤的投资框架以供需为核心，结合价格、库存、事件和个股兑现能力形成闭环。其核心问题不是简单判断“周期是否向上”，而是判断某一细分品种的供需曲线是否发生足以改变价格和利润预期的变化，以及该变化能否传导到上市公司业绩和股价。</w:t>
      </w:r>
    </w:p>
    <w:tbl>
      <w:tblPr>
        <w:tblStyle w:val="aff1"/>
        <w:tblW w:w="0" w:type="auto"/>
        <w:jc w:val="center"/>
        <w:tblLook w:val="04A0" w:firstRow="1" w:lastRow="0" w:firstColumn="1" w:lastColumn="0" w:noHBand="0" w:noVBand="1"/>
      </w:tblPr>
      <w:tblGrid>
        <w:gridCol w:w="3249"/>
        <w:gridCol w:w="3249"/>
        <w:gridCol w:w="3249"/>
      </w:tblGrid>
      <w:tr w:rsidR="00A6207F" w:rsidRPr="00BF051E" w14:paraId="15F47253" w14:textId="77777777">
        <w:trPr>
          <w:jc w:val="center"/>
        </w:trPr>
        <w:tc>
          <w:tcPr>
            <w:tcW w:w="3249" w:type="dxa"/>
            <w:noWrap/>
            <w:vAlign w:val="center"/>
          </w:tcPr>
          <w:p w14:paraId="3BF56303" w14:textId="77777777" w:rsidR="00A6207F" w:rsidRPr="00BF051E" w:rsidRDefault="00000000" w:rsidP="00156E3A">
            <w:pPr>
              <w:spacing w:line="276" w:lineRule="auto"/>
              <w:jc w:val="both"/>
              <w:rPr>
                <w:rFonts w:eastAsia="微软雅黑"/>
              </w:rPr>
            </w:pPr>
            <w:proofErr w:type="spellStart"/>
            <w:r w:rsidRPr="00BF051E">
              <w:rPr>
                <w:rFonts w:eastAsia="微软雅黑"/>
                <w:b/>
                <w:sz w:val="17"/>
              </w:rPr>
              <w:t>投资框架链条</w:t>
            </w:r>
            <w:proofErr w:type="spellEnd"/>
          </w:p>
        </w:tc>
        <w:tc>
          <w:tcPr>
            <w:tcW w:w="3249" w:type="dxa"/>
            <w:noWrap/>
            <w:vAlign w:val="center"/>
          </w:tcPr>
          <w:p w14:paraId="4FE449B3" w14:textId="77777777" w:rsidR="00A6207F" w:rsidRPr="00BF051E" w:rsidRDefault="00000000" w:rsidP="00156E3A">
            <w:pPr>
              <w:spacing w:line="276" w:lineRule="auto"/>
              <w:jc w:val="both"/>
              <w:rPr>
                <w:rFonts w:eastAsia="微软雅黑"/>
              </w:rPr>
            </w:pPr>
            <w:r w:rsidRPr="00BF051E">
              <w:rPr>
                <w:rFonts w:eastAsia="微软雅黑"/>
                <w:b/>
                <w:sz w:val="17"/>
              </w:rPr>
              <w:t>关键问题</w:t>
            </w:r>
          </w:p>
        </w:tc>
        <w:tc>
          <w:tcPr>
            <w:tcW w:w="3249" w:type="dxa"/>
            <w:noWrap/>
            <w:vAlign w:val="center"/>
          </w:tcPr>
          <w:p w14:paraId="03EC292E" w14:textId="77777777" w:rsidR="00A6207F" w:rsidRPr="00BF051E" w:rsidRDefault="00000000" w:rsidP="00156E3A">
            <w:pPr>
              <w:spacing w:line="276" w:lineRule="auto"/>
              <w:jc w:val="both"/>
              <w:rPr>
                <w:rFonts w:eastAsia="微软雅黑"/>
              </w:rPr>
            </w:pPr>
            <w:r w:rsidRPr="00BF051E">
              <w:rPr>
                <w:rFonts w:eastAsia="微软雅黑"/>
                <w:b/>
                <w:sz w:val="17"/>
              </w:rPr>
              <w:t>风险点</w:t>
            </w:r>
          </w:p>
        </w:tc>
      </w:tr>
      <w:tr w:rsidR="00A6207F" w:rsidRPr="00BF051E" w14:paraId="6832D674" w14:textId="77777777">
        <w:trPr>
          <w:jc w:val="center"/>
        </w:trPr>
        <w:tc>
          <w:tcPr>
            <w:tcW w:w="3249" w:type="dxa"/>
            <w:noWrap/>
            <w:vAlign w:val="center"/>
          </w:tcPr>
          <w:p w14:paraId="5DD29EDC" w14:textId="77777777" w:rsidR="00A6207F" w:rsidRPr="00BF051E" w:rsidRDefault="00000000" w:rsidP="00156E3A">
            <w:pPr>
              <w:spacing w:line="276" w:lineRule="auto"/>
              <w:jc w:val="both"/>
              <w:rPr>
                <w:rFonts w:eastAsia="微软雅黑"/>
              </w:rPr>
            </w:pPr>
            <w:r w:rsidRPr="00BF051E">
              <w:rPr>
                <w:rFonts w:eastAsia="微软雅黑"/>
                <w:sz w:val="17"/>
              </w:rPr>
              <w:t>供需变化</w:t>
            </w:r>
          </w:p>
        </w:tc>
        <w:tc>
          <w:tcPr>
            <w:tcW w:w="3249" w:type="dxa"/>
            <w:noWrap/>
            <w:vAlign w:val="center"/>
          </w:tcPr>
          <w:p w14:paraId="74254D6A"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价格、库存、产能或事件是否改变供需曲线。</w:t>
            </w:r>
          </w:p>
        </w:tc>
        <w:tc>
          <w:tcPr>
            <w:tcW w:w="3249" w:type="dxa"/>
            <w:noWrap/>
            <w:vAlign w:val="center"/>
          </w:tcPr>
          <w:p w14:paraId="5617C023"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信号反复或变化不足以影响利润。</w:t>
            </w:r>
          </w:p>
        </w:tc>
      </w:tr>
      <w:tr w:rsidR="00A6207F" w:rsidRPr="00BF051E" w14:paraId="1620B9D6" w14:textId="77777777">
        <w:trPr>
          <w:jc w:val="center"/>
        </w:trPr>
        <w:tc>
          <w:tcPr>
            <w:tcW w:w="3249" w:type="dxa"/>
            <w:noWrap/>
            <w:vAlign w:val="center"/>
          </w:tcPr>
          <w:p w14:paraId="015A14E2"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个股映射</w:t>
            </w:r>
            <w:proofErr w:type="spellEnd"/>
          </w:p>
        </w:tc>
        <w:tc>
          <w:tcPr>
            <w:tcW w:w="3249" w:type="dxa"/>
            <w:noWrap/>
            <w:vAlign w:val="center"/>
          </w:tcPr>
          <w:p w14:paraId="77DFD56D"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上市公司是否具备可售产能、成本优势和利润弹性。</w:t>
            </w:r>
          </w:p>
        </w:tc>
        <w:tc>
          <w:tcPr>
            <w:tcW w:w="3249" w:type="dxa"/>
            <w:noWrap/>
            <w:vAlign w:val="center"/>
          </w:tcPr>
          <w:p w14:paraId="610BA0B2"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商品涨价无法充分兑现到业绩。</w:t>
            </w:r>
          </w:p>
        </w:tc>
      </w:tr>
      <w:tr w:rsidR="00A6207F" w:rsidRPr="00BF051E" w14:paraId="2AB33DB8" w14:textId="77777777">
        <w:trPr>
          <w:jc w:val="center"/>
        </w:trPr>
        <w:tc>
          <w:tcPr>
            <w:tcW w:w="3249" w:type="dxa"/>
            <w:noWrap/>
            <w:vAlign w:val="center"/>
          </w:tcPr>
          <w:p w14:paraId="0086132C"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股价兑现</w:t>
            </w:r>
            <w:proofErr w:type="spellEnd"/>
          </w:p>
        </w:tc>
        <w:tc>
          <w:tcPr>
            <w:tcW w:w="3249" w:type="dxa"/>
            <w:noWrap/>
            <w:vAlign w:val="center"/>
          </w:tcPr>
          <w:p w14:paraId="329A3CF4"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利润变化是否被市场定价，估值是否仍有空间。</w:t>
            </w:r>
          </w:p>
        </w:tc>
        <w:tc>
          <w:tcPr>
            <w:tcW w:w="3249" w:type="dxa"/>
            <w:noWrap/>
            <w:vAlign w:val="center"/>
          </w:tcPr>
          <w:p w14:paraId="6221186F"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流动性和风格因素打断传导链条。</w:t>
            </w:r>
          </w:p>
        </w:tc>
      </w:tr>
    </w:tbl>
    <w:p w14:paraId="3953807B" w14:textId="77777777" w:rsidR="00A6207F" w:rsidRPr="00BF051E" w:rsidRDefault="00A6207F" w:rsidP="00156E3A">
      <w:pPr>
        <w:jc w:val="both"/>
        <w:rPr>
          <w:rFonts w:eastAsia="微软雅黑"/>
          <w:lang w:eastAsia="zh-CN"/>
        </w:rPr>
      </w:pPr>
    </w:p>
    <w:p w14:paraId="5374B0D8"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3.2 研究流程：价格、事件、库存与拐点</w:t>
      </w:r>
    </w:p>
    <w:p w14:paraId="3EB13738" w14:textId="77777777" w:rsidR="00A6207F" w:rsidRPr="00BF051E" w:rsidRDefault="00000000" w:rsidP="00156E3A">
      <w:pPr>
        <w:spacing w:after="100"/>
        <w:jc w:val="both"/>
        <w:rPr>
          <w:rFonts w:eastAsia="微软雅黑"/>
          <w:lang w:eastAsia="zh-CN"/>
        </w:rPr>
      </w:pPr>
      <w:r w:rsidRPr="00BF051E">
        <w:rPr>
          <w:rFonts w:eastAsia="微软雅黑"/>
          <w:b/>
          <w:lang w:eastAsia="zh-CN"/>
        </w:rPr>
        <w:t>价格跟踪：关注二阶变量。</w:t>
      </w:r>
      <w:r w:rsidRPr="00BF051E">
        <w:rPr>
          <w:rFonts w:eastAsia="微软雅黑"/>
          <w:lang w:eastAsia="zh-CN"/>
        </w:rPr>
        <w:t xml:space="preserve"> 庄贤对各</w:t>
      </w:r>
      <w:proofErr w:type="gramStart"/>
      <w:r w:rsidRPr="00BF051E">
        <w:rPr>
          <w:rFonts w:eastAsia="微软雅黑"/>
          <w:lang w:eastAsia="zh-CN"/>
        </w:rPr>
        <w:t>行业周度数据</w:t>
      </w:r>
      <w:proofErr w:type="gramEnd"/>
      <w:r w:rsidRPr="00BF051E">
        <w:rPr>
          <w:rFonts w:eastAsia="微软雅黑"/>
          <w:lang w:eastAsia="zh-CN"/>
        </w:rPr>
        <w:t>进行跟踪，尤其关注价格涨跌</w:t>
      </w:r>
      <w:proofErr w:type="gramStart"/>
      <w:r w:rsidRPr="00BF051E">
        <w:rPr>
          <w:rFonts w:eastAsia="微软雅黑"/>
          <w:lang w:eastAsia="zh-CN"/>
        </w:rPr>
        <w:t>幅变化</w:t>
      </w:r>
      <w:proofErr w:type="gramEnd"/>
      <w:r w:rsidRPr="00BF051E">
        <w:rPr>
          <w:rFonts w:eastAsia="微软雅黑"/>
          <w:lang w:eastAsia="zh-CN"/>
        </w:rPr>
        <w:t>速率。价格上涨本身并不一定构成买入信号，价格上涨速度加快、下跌速度收敛或由弱转强，才更可能提示供需关系出现边际变化。</w:t>
      </w:r>
    </w:p>
    <w:p w14:paraId="2FA036A3" w14:textId="77777777" w:rsidR="00A6207F" w:rsidRPr="00BF051E" w:rsidRDefault="00000000" w:rsidP="00156E3A">
      <w:pPr>
        <w:spacing w:after="100"/>
        <w:jc w:val="both"/>
        <w:rPr>
          <w:rFonts w:eastAsia="微软雅黑"/>
          <w:lang w:eastAsia="zh-CN"/>
        </w:rPr>
      </w:pPr>
      <w:r w:rsidRPr="00BF051E">
        <w:rPr>
          <w:rFonts w:eastAsia="微软雅黑"/>
          <w:b/>
          <w:lang w:eastAsia="zh-CN"/>
        </w:rPr>
        <w:lastRenderedPageBreak/>
        <w:t>事件分析：识别供需曲线移动。</w:t>
      </w:r>
      <w:r w:rsidRPr="00BF051E">
        <w:rPr>
          <w:rFonts w:eastAsia="微软雅黑"/>
          <w:lang w:eastAsia="zh-CN"/>
        </w:rPr>
        <w:t xml:space="preserve"> 国内外政策、突发事故、海外装置停产、贸易摩擦、反倾销和地缘冲突等因素，只有在实质改变供给或需求曲线时才构成投资机会。例如响水化工事件影响分散染料供给，海外装置停产影响TMA供给，俄</w:t>
      </w:r>
      <w:proofErr w:type="gramStart"/>
      <w:r w:rsidRPr="00BF051E">
        <w:rPr>
          <w:rFonts w:eastAsia="微软雅黑"/>
          <w:lang w:eastAsia="zh-CN"/>
        </w:rPr>
        <w:t>乌冲突</w:t>
      </w:r>
      <w:proofErr w:type="gramEnd"/>
      <w:r w:rsidRPr="00BF051E">
        <w:rPr>
          <w:rFonts w:eastAsia="微软雅黑"/>
          <w:lang w:eastAsia="zh-CN"/>
        </w:rPr>
        <w:t>影响钾肥及维生素供需预期。</w:t>
      </w:r>
    </w:p>
    <w:p w14:paraId="305CD625" w14:textId="77777777" w:rsidR="00A6207F" w:rsidRPr="00BF051E" w:rsidRDefault="00000000" w:rsidP="00156E3A">
      <w:pPr>
        <w:spacing w:after="100"/>
        <w:jc w:val="both"/>
        <w:rPr>
          <w:rFonts w:eastAsia="微软雅黑"/>
          <w:lang w:eastAsia="zh-CN"/>
        </w:rPr>
      </w:pPr>
      <w:r w:rsidRPr="00BF051E">
        <w:rPr>
          <w:rFonts w:eastAsia="微软雅黑"/>
          <w:b/>
          <w:lang w:eastAsia="zh-CN"/>
        </w:rPr>
        <w:t>库存和生产验证：用产业数据证明或证伪。</w:t>
      </w:r>
      <w:r w:rsidRPr="00BF051E">
        <w:rPr>
          <w:rFonts w:eastAsia="微软雅黑"/>
          <w:lang w:eastAsia="zh-CN"/>
        </w:rPr>
        <w:t xml:space="preserve"> 相比价格数据，库存、开工率和生产数据更难获取且连续性不足。庄贤通过公开网站、产业链一线交易数据、草根调研、上下游供应商和经销商信息进行交叉验证。该环节体现了实体企业背景和产业资源的价值，也是其相对一般二级市场研究的主要壁垒。</w:t>
      </w:r>
    </w:p>
    <w:p w14:paraId="7490157E" w14:textId="77777777" w:rsidR="00A6207F" w:rsidRPr="00BF051E" w:rsidRDefault="00000000" w:rsidP="00156E3A">
      <w:pPr>
        <w:spacing w:after="100"/>
        <w:jc w:val="both"/>
        <w:rPr>
          <w:rFonts w:eastAsia="微软雅黑"/>
          <w:lang w:eastAsia="zh-CN"/>
        </w:rPr>
      </w:pPr>
      <w:r w:rsidRPr="00BF051E">
        <w:rPr>
          <w:rFonts w:eastAsia="微软雅黑"/>
          <w:b/>
          <w:lang w:eastAsia="zh-CN"/>
        </w:rPr>
        <w:t>拐点判断：区分机会性质。</w:t>
      </w:r>
      <w:r w:rsidRPr="00BF051E">
        <w:rPr>
          <w:rFonts w:eastAsia="微软雅黑"/>
          <w:lang w:eastAsia="zh-CN"/>
        </w:rPr>
        <w:t xml:space="preserve"> 周期机会可分为需求爆发、供给端意外大幅减少、供需紧平衡、供需弱平衡。需求爆发和供需紧平衡通常对应较长持有周期；供给冲击更强调快速反应和及时退出；供需</w:t>
      </w:r>
      <w:proofErr w:type="gramStart"/>
      <w:r w:rsidRPr="00BF051E">
        <w:rPr>
          <w:rFonts w:eastAsia="微软雅黑"/>
          <w:lang w:eastAsia="zh-CN"/>
        </w:rPr>
        <w:t>弱平衡</w:t>
      </w:r>
      <w:proofErr w:type="gramEnd"/>
      <w:r w:rsidRPr="00BF051E">
        <w:rPr>
          <w:rFonts w:eastAsia="微软雅黑"/>
          <w:lang w:eastAsia="zh-CN"/>
        </w:rPr>
        <w:t>更多是库存和价格短期波动下的交易性机会。</w:t>
      </w:r>
    </w:p>
    <w:p w14:paraId="56956A9F" w14:textId="77777777" w:rsidR="00A6207F" w:rsidRPr="00BF051E" w:rsidRDefault="00000000" w:rsidP="00156E3A">
      <w:pPr>
        <w:spacing w:after="100"/>
        <w:jc w:val="both"/>
        <w:rPr>
          <w:rFonts w:eastAsia="微软雅黑"/>
          <w:lang w:eastAsia="zh-CN"/>
        </w:rPr>
      </w:pPr>
      <w:r w:rsidRPr="00BF051E">
        <w:rPr>
          <w:rFonts w:eastAsia="微软雅黑"/>
          <w:b/>
          <w:lang w:eastAsia="zh-CN"/>
        </w:rPr>
        <w:t>标的研究：从商品涨价到利润兑现。</w:t>
      </w:r>
      <w:r w:rsidRPr="00BF051E">
        <w:rPr>
          <w:rFonts w:eastAsia="微软雅黑"/>
          <w:lang w:eastAsia="zh-CN"/>
        </w:rPr>
        <w:t xml:space="preserve"> 庄贤并不只判断商品涨价，还比较上市公司是否具备可售产能、成本是否稳定、价格上涨能否传导至利润、估值是否已充分反映、股价弹性是否匹配风险。这一点决定了其策略不是单纯商品映射，而是“品种拐点+个股兑现”的结合。</w:t>
      </w:r>
    </w:p>
    <w:p w14:paraId="3D284CAC"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3.3 实践案例：能力圈有效性与边界</w:t>
      </w:r>
    </w:p>
    <w:p w14:paraId="4E124670" w14:textId="77777777" w:rsidR="00A6207F" w:rsidRPr="00BF051E" w:rsidRDefault="00000000" w:rsidP="00156E3A">
      <w:pPr>
        <w:spacing w:after="100"/>
        <w:jc w:val="both"/>
        <w:rPr>
          <w:rFonts w:eastAsia="微软雅黑"/>
          <w:lang w:eastAsia="zh-CN"/>
        </w:rPr>
      </w:pPr>
      <w:r w:rsidRPr="00BF051E">
        <w:rPr>
          <w:rFonts w:eastAsia="微软雅黑"/>
          <w:lang w:eastAsia="zh-CN"/>
        </w:rPr>
        <w:t>实践案例能够体现该框架的有效性与边界。整体看，庄贤的成功案例多发生在其能力圈较强的化工、资源和上游材料领域，且通常具备明确供需变化；失败或承压案例则多来自复工复产、流动性环境、市场风格等变量超出原有基本面假设。</w:t>
      </w:r>
    </w:p>
    <w:p w14:paraId="2E251C5E" w14:textId="77777777" w:rsidR="00A6207F" w:rsidRPr="00BF051E" w:rsidRDefault="00000000" w:rsidP="00156E3A">
      <w:pPr>
        <w:spacing w:after="100"/>
        <w:jc w:val="both"/>
        <w:rPr>
          <w:rFonts w:eastAsia="微软雅黑"/>
          <w:lang w:eastAsia="zh-CN"/>
        </w:rPr>
      </w:pPr>
      <w:r w:rsidRPr="00BF051E">
        <w:rPr>
          <w:rFonts w:eastAsia="微软雅黑"/>
          <w:b/>
          <w:lang w:eastAsia="zh-CN"/>
        </w:rPr>
        <w:t>浙江龙盛：供给冲击下的快速响应和止盈纪律。</w:t>
      </w:r>
      <w:r w:rsidRPr="00BF051E">
        <w:rPr>
          <w:rFonts w:eastAsia="微软雅黑"/>
          <w:lang w:eastAsia="zh-CN"/>
        </w:rPr>
        <w:t xml:space="preserve"> 2019年江苏响水工业园区爆炸后，分散染料供给受到冲击，价格快速上涨，相关个股成为市场关注焦点。庄贤在判断股价向下空间有限的前提下快速建仓，并在市场情绪达到高点、股价出现泡沫时分批减仓。该案例体现了其在供给冲击</w:t>
      </w:r>
      <w:proofErr w:type="gramStart"/>
      <w:r w:rsidRPr="00BF051E">
        <w:rPr>
          <w:rFonts w:eastAsia="微软雅黑"/>
          <w:lang w:eastAsia="zh-CN"/>
        </w:rPr>
        <w:t>型机会</w:t>
      </w:r>
      <w:proofErr w:type="gramEnd"/>
      <w:r w:rsidRPr="00BF051E">
        <w:rPr>
          <w:rFonts w:eastAsia="微软雅黑"/>
          <w:lang w:eastAsia="zh-CN"/>
        </w:rPr>
        <w:t>中的优势：产业链理解、事件影响评估、快速执行和止盈纪律。该类机会通常窗口较短，对信息响应速度和退出纪律要求高，较能体现庄贤在化工产业链中的能力圈优势。</w:t>
      </w:r>
    </w:p>
    <w:p w14:paraId="60BE0848" w14:textId="77777777" w:rsidR="00A6207F" w:rsidRPr="00BF051E" w:rsidRDefault="00000000" w:rsidP="00156E3A">
      <w:pPr>
        <w:spacing w:after="100"/>
        <w:jc w:val="both"/>
        <w:rPr>
          <w:rFonts w:eastAsia="微软雅黑"/>
          <w:lang w:eastAsia="zh-CN"/>
        </w:rPr>
      </w:pPr>
      <w:r w:rsidRPr="00BF051E">
        <w:rPr>
          <w:rFonts w:eastAsia="微软雅黑"/>
          <w:b/>
          <w:lang w:eastAsia="zh-CN"/>
        </w:rPr>
        <w:t>神马股份：产业链重构带来的周期成长机会。</w:t>
      </w:r>
      <w:r w:rsidRPr="00BF051E">
        <w:rPr>
          <w:rFonts w:eastAsia="微软雅黑"/>
          <w:lang w:eastAsia="zh-CN"/>
        </w:rPr>
        <w:t xml:space="preserve"> 2018年庄贤关注神马股份，并将其作为周期行业中寻找成长属性公司的案例。该公司通过并购重组打通上游原材料环节，改善成本结构和利润弹性，后续利润出现明显增长。该案例并非单纯商品涨价交易，而更接近“周期行业中的利润中枢抬升”逻辑，体现了庄贤在传统周期行业中寻找技术、成本、产能或产业链一体化带来的成长机会。</w:t>
      </w:r>
    </w:p>
    <w:p w14:paraId="75508C97" w14:textId="77777777" w:rsidR="00A6207F" w:rsidRPr="00BF051E" w:rsidRDefault="00000000" w:rsidP="00156E3A">
      <w:pPr>
        <w:spacing w:after="100"/>
        <w:jc w:val="both"/>
        <w:rPr>
          <w:rFonts w:eastAsia="微软雅黑"/>
          <w:lang w:eastAsia="zh-CN"/>
        </w:rPr>
      </w:pPr>
      <w:r w:rsidRPr="00BF051E">
        <w:rPr>
          <w:rFonts w:eastAsia="微软雅黑"/>
          <w:b/>
          <w:lang w:eastAsia="zh-CN"/>
        </w:rPr>
        <w:t>TMA/</w:t>
      </w:r>
      <w:proofErr w:type="gramStart"/>
      <w:r w:rsidRPr="00BF051E">
        <w:rPr>
          <w:rFonts w:eastAsia="微软雅黑"/>
          <w:b/>
          <w:lang w:eastAsia="zh-CN"/>
        </w:rPr>
        <w:t>正丹股份</w:t>
      </w:r>
      <w:proofErr w:type="gramEnd"/>
      <w:r w:rsidRPr="00BF051E">
        <w:rPr>
          <w:rFonts w:eastAsia="微软雅黑"/>
          <w:b/>
          <w:lang w:eastAsia="zh-CN"/>
        </w:rPr>
        <w:t>、维生素E等：小品种供需错配的弹性表达。</w:t>
      </w:r>
      <w:r w:rsidRPr="00BF051E">
        <w:rPr>
          <w:rFonts w:eastAsia="微软雅黑"/>
          <w:lang w:eastAsia="zh-CN"/>
        </w:rPr>
        <w:t xml:space="preserve"> 策略材料中多次提到海外装置停产、供给收缩和库存低位带来的小品种机会，例如TMA海外产能关停、维生素E供需紧平衡等。此类机会通常具备三个特征：细分品类市场容量不大、供给集中度较高、单一装置或少数企业变化即可影响价格。庄贤在这类机会上的优势来自对化工细分品种的长期跟踪和产业链验证能力；局限在于交易窗口较短、价格波动较大，若买入时点或退出节奏不当，也容易转化为净值波动。</w:t>
      </w:r>
    </w:p>
    <w:p w14:paraId="2E2E8646" w14:textId="77777777" w:rsidR="00A6207F" w:rsidRPr="00BF051E" w:rsidRDefault="00000000" w:rsidP="00156E3A">
      <w:pPr>
        <w:spacing w:after="100"/>
        <w:jc w:val="both"/>
        <w:rPr>
          <w:rFonts w:eastAsia="微软雅黑"/>
          <w:lang w:eastAsia="zh-CN"/>
        </w:rPr>
      </w:pPr>
      <w:r w:rsidRPr="00BF051E">
        <w:rPr>
          <w:rFonts w:eastAsia="微软雅黑"/>
          <w:b/>
          <w:lang w:eastAsia="zh-CN"/>
        </w:rPr>
        <w:lastRenderedPageBreak/>
        <w:t>亚邦股份：高置信度标的仍需执行风控。</w:t>
      </w:r>
      <w:r w:rsidRPr="00BF051E">
        <w:rPr>
          <w:rFonts w:eastAsia="微软雅黑"/>
          <w:lang w:eastAsia="zh-CN"/>
        </w:rPr>
        <w:t xml:space="preserve"> 亚邦股份所在园区被责令停产检查，复工复产进度低于预期，股价持续下行。庄贤最终在个股产生30%+回撤后止损，并复盘认为，即便对标的置信度较高，一旦出现不可抗力或投资假设失效，也应执行</w:t>
      </w:r>
      <w:proofErr w:type="gramStart"/>
      <w:r w:rsidRPr="00BF051E">
        <w:rPr>
          <w:rFonts w:eastAsia="微软雅黑"/>
          <w:lang w:eastAsia="zh-CN"/>
        </w:rPr>
        <w:t>既有风控标准</w:t>
      </w:r>
      <w:proofErr w:type="gramEnd"/>
      <w:r w:rsidRPr="00BF051E">
        <w:rPr>
          <w:rFonts w:eastAsia="微软雅黑"/>
          <w:lang w:eastAsia="zh-CN"/>
        </w:rPr>
        <w:t>。该案例说明，庄贤不仅强调研究正确，也强调错误情境下的退出机制。</w:t>
      </w:r>
    </w:p>
    <w:p w14:paraId="49E20A5D" w14:textId="77777777" w:rsidR="00A6207F" w:rsidRPr="00BF051E" w:rsidRDefault="00000000" w:rsidP="00156E3A">
      <w:pPr>
        <w:spacing w:after="100"/>
        <w:jc w:val="both"/>
        <w:rPr>
          <w:rFonts w:eastAsia="微软雅黑"/>
          <w:lang w:eastAsia="zh-CN"/>
        </w:rPr>
      </w:pPr>
      <w:r w:rsidRPr="00BF051E">
        <w:rPr>
          <w:rFonts w:eastAsia="微软雅黑"/>
          <w:b/>
          <w:lang w:eastAsia="zh-CN"/>
        </w:rPr>
        <w:t>2023年广信股份及相关复盘：基本面到股价传导可能断裂。</w:t>
      </w:r>
      <w:r w:rsidRPr="00BF051E">
        <w:rPr>
          <w:rFonts w:eastAsia="微软雅黑"/>
          <w:lang w:eastAsia="zh-CN"/>
        </w:rPr>
        <w:t xml:space="preserve"> 2023年市场资金持续净流出，庄贤复盘认为此前对净流出市场不够敬畏，业绩较好的公司如果处于下行板块，也可能先跌估值。该复盘说明，供需和基本面框架并非在任何市场环境中都有效，交易额、资金流向和风险偏好会影响基本面向股价的传导。</w:t>
      </w:r>
    </w:p>
    <w:p w14:paraId="7FB470F1" w14:textId="77777777" w:rsidR="00A6207F" w:rsidRPr="00BF051E" w:rsidRDefault="00000000" w:rsidP="00156E3A">
      <w:pPr>
        <w:spacing w:after="100"/>
        <w:jc w:val="both"/>
        <w:rPr>
          <w:rFonts w:eastAsia="微软雅黑"/>
          <w:lang w:eastAsia="zh-CN"/>
        </w:rPr>
      </w:pPr>
      <w:r w:rsidRPr="00BF051E">
        <w:rPr>
          <w:rFonts w:eastAsia="微软雅黑"/>
          <w:b/>
          <w:lang w:eastAsia="zh-CN"/>
        </w:rPr>
        <w:t>2023年整体策略承压：供需框架在弱流动性市场中的局限。</w:t>
      </w:r>
      <w:r w:rsidRPr="00BF051E">
        <w:rPr>
          <w:rFonts w:eastAsia="微软雅黑"/>
          <w:lang w:eastAsia="zh-CN"/>
        </w:rPr>
        <w:t xml:space="preserve"> 锐进2号2023年收益为-18.24%，与管理人复盘中提到的资金净流出、估值体系下移和交易阻力上升相一致。该阶段的关键问题不在于单一标的判断，而在于基本面研究和股价表现之间的传导链条被市场流动性削弱。</w:t>
      </w:r>
      <w:proofErr w:type="gramStart"/>
      <w:r w:rsidRPr="00BF051E">
        <w:rPr>
          <w:rFonts w:eastAsia="微软雅黑"/>
          <w:lang w:eastAsia="zh-CN"/>
        </w:rPr>
        <w:t>该经验</w:t>
      </w:r>
      <w:proofErr w:type="gramEnd"/>
      <w:r w:rsidRPr="00BF051E">
        <w:rPr>
          <w:rFonts w:eastAsia="微软雅黑"/>
          <w:lang w:eastAsia="zh-CN"/>
        </w:rPr>
        <w:t>促使庄贤后续更重视交易额、资金流向和市场环境变量，也构成评估其策略边界的重要样本。</w:t>
      </w:r>
    </w:p>
    <w:p w14:paraId="485DC19D" w14:textId="77777777" w:rsidR="00A6207F" w:rsidRPr="00BF051E" w:rsidRDefault="00000000" w:rsidP="00156E3A">
      <w:pPr>
        <w:spacing w:after="100"/>
        <w:jc w:val="both"/>
        <w:rPr>
          <w:rFonts w:eastAsia="微软雅黑"/>
          <w:lang w:eastAsia="zh-CN"/>
        </w:rPr>
      </w:pPr>
      <w:r w:rsidRPr="00BF051E">
        <w:rPr>
          <w:rFonts w:eastAsia="微软雅黑"/>
          <w:b/>
          <w:lang w:eastAsia="zh-CN"/>
        </w:rPr>
        <w:t>综合来看，庄贤投资框架的优势在于“产业供需判断+个股兑现+交易纪律”的组合；不足在于，当市场缺乏供需拐点，或股价主要由流动性和风格驱动时，框架信号会变弱，甚至出现研究</w:t>
      </w:r>
      <w:proofErr w:type="gramStart"/>
      <w:r w:rsidRPr="00BF051E">
        <w:rPr>
          <w:rFonts w:eastAsia="微软雅黑"/>
          <w:b/>
          <w:lang w:eastAsia="zh-CN"/>
        </w:rPr>
        <w:t>判断较</w:t>
      </w:r>
      <w:proofErr w:type="gramEnd"/>
      <w:r w:rsidRPr="00BF051E">
        <w:rPr>
          <w:rFonts w:eastAsia="微软雅黑"/>
          <w:b/>
          <w:lang w:eastAsia="zh-CN"/>
        </w:rPr>
        <w:t>合理但净值承压的情况。</w:t>
      </w:r>
    </w:p>
    <w:p w14:paraId="4FD98BCF"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t>四、策略定位与环境适配</w:t>
      </w:r>
    </w:p>
    <w:p w14:paraId="67D573FD"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4.1 策略定位：周期框架中的供需错配与成长弹性</w:t>
      </w:r>
    </w:p>
    <w:p w14:paraId="02CFB16B" w14:textId="77777777" w:rsidR="00A6207F" w:rsidRPr="00BF051E" w:rsidRDefault="00000000" w:rsidP="00156E3A">
      <w:pPr>
        <w:spacing w:after="100"/>
        <w:jc w:val="both"/>
        <w:rPr>
          <w:rFonts w:eastAsia="微软雅黑"/>
          <w:lang w:eastAsia="zh-CN"/>
        </w:rPr>
      </w:pPr>
      <w:r w:rsidRPr="00BF051E">
        <w:rPr>
          <w:rFonts w:eastAsia="微软雅黑"/>
          <w:lang w:eastAsia="zh-CN"/>
        </w:rPr>
        <w:t>庄贤对“大周期”的定义较宽：凡是由供给和需求曲线变化引发价格、利润和股价波动的机会，均可纳入周期投资逻辑。该定义使其投资范围不局限于煤炭、钢铁、基础化工等传统周期行业，也覆盖黄金、有色、农药、钾肥、光伏材料、新能源材料、AI上游材料及出海化工产能等方向。</w:t>
      </w:r>
    </w:p>
    <w:p w14:paraId="74D5F6B0" w14:textId="77777777" w:rsidR="00A6207F" w:rsidRPr="00BF051E" w:rsidRDefault="00000000" w:rsidP="00156E3A">
      <w:pPr>
        <w:spacing w:after="100"/>
        <w:jc w:val="both"/>
        <w:rPr>
          <w:rFonts w:eastAsia="微软雅黑"/>
          <w:lang w:eastAsia="zh-CN"/>
        </w:rPr>
      </w:pPr>
      <w:r w:rsidRPr="00BF051E">
        <w:rPr>
          <w:rFonts w:eastAsia="微软雅黑"/>
          <w:lang w:eastAsia="zh-CN"/>
        </w:rPr>
        <w:t>其策略本质可以概括为：在周期框架中寻找供需错配和成长弹性。庄贤并不只赚取经济周期 Beta，而是希望在周期行业中寻找三类收益来源：</w:t>
      </w:r>
    </w:p>
    <w:p w14:paraId="4F65AD35" w14:textId="77777777" w:rsidR="00A6207F" w:rsidRPr="00BF051E" w:rsidRDefault="00000000" w:rsidP="00156E3A">
      <w:pPr>
        <w:spacing w:after="100"/>
        <w:jc w:val="both"/>
        <w:rPr>
          <w:rFonts w:eastAsia="微软雅黑"/>
          <w:lang w:eastAsia="zh-CN"/>
        </w:rPr>
      </w:pPr>
      <w:r w:rsidRPr="00BF051E">
        <w:rPr>
          <w:rFonts w:eastAsia="微软雅黑"/>
          <w:lang w:eastAsia="zh-CN"/>
        </w:rPr>
        <w:t xml:space="preserve">1. </w:t>
      </w:r>
      <w:r w:rsidRPr="00BF051E">
        <w:rPr>
          <w:rFonts w:eastAsia="微软雅黑"/>
          <w:b/>
          <w:lang w:eastAsia="zh-CN"/>
        </w:rPr>
        <w:t>景气 Beta</w:t>
      </w:r>
      <w:r w:rsidRPr="00BF051E">
        <w:rPr>
          <w:rFonts w:eastAsia="微软雅黑"/>
          <w:lang w:eastAsia="zh-CN"/>
        </w:rPr>
        <w:t xml:space="preserve">：资源品、化工品或周期板块整体上行带来的行业收益。 2. </w:t>
      </w:r>
      <w:r w:rsidRPr="00BF051E">
        <w:rPr>
          <w:rFonts w:eastAsia="微软雅黑"/>
          <w:b/>
          <w:lang w:eastAsia="zh-CN"/>
        </w:rPr>
        <w:t>供需错配 Alpha</w:t>
      </w:r>
      <w:r w:rsidRPr="00BF051E">
        <w:rPr>
          <w:rFonts w:eastAsia="微软雅黑"/>
          <w:lang w:eastAsia="zh-CN"/>
        </w:rPr>
        <w:t xml:space="preserve">：价格变化速度、库存下降、产能退出、海外停产、政策限产、反倾销、反内卷等信号尚未被市场充分定价时产生的超额收益。 3. </w:t>
      </w:r>
      <w:r w:rsidRPr="00BF051E">
        <w:rPr>
          <w:rFonts w:eastAsia="微软雅黑"/>
          <w:b/>
          <w:lang w:eastAsia="zh-CN"/>
        </w:rPr>
        <w:t>周期成长 Alpha</w:t>
      </w:r>
      <w:r w:rsidRPr="00BF051E">
        <w:rPr>
          <w:rFonts w:eastAsia="微软雅黑"/>
          <w:lang w:eastAsia="zh-CN"/>
        </w:rPr>
        <w:t>：部分企业通过技术进步、成本优势、产能扩张、并购重组、产业链一体化或出海布局，使利润中枢持续上移。</w:t>
      </w:r>
    </w:p>
    <w:p w14:paraId="0AB2B0FC" w14:textId="77777777" w:rsidR="00A6207F" w:rsidRPr="00BF051E" w:rsidRDefault="00000000" w:rsidP="00156E3A">
      <w:pPr>
        <w:spacing w:after="100"/>
        <w:jc w:val="both"/>
        <w:rPr>
          <w:rFonts w:eastAsia="微软雅黑"/>
          <w:lang w:eastAsia="zh-CN"/>
        </w:rPr>
      </w:pPr>
      <w:r w:rsidRPr="00BF051E">
        <w:rPr>
          <w:rFonts w:eastAsia="微软雅黑"/>
          <w:lang w:eastAsia="zh-CN"/>
        </w:rPr>
        <w:t>该定位与传统周期投资存在差异。传统周期投资更依赖大宗商品价格涨跌，企业利润往往呈均值回归；庄贤更强调在周期范围内寻找“变革成长”企业，即公司利润并非完全随商品价格往复波动，而是通过自身</w:t>
      </w:r>
      <w:r w:rsidRPr="00BF051E">
        <w:rPr>
          <w:rFonts w:eastAsia="微软雅黑"/>
          <w:lang w:eastAsia="zh-CN"/>
        </w:rPr>
        <w:lastRenderedPageBreak/>
        <w:t>经营和产业地位提升实现中枢抬升。其“好公司＞好价格＞好行业”的排序，也体现出其不只追逐涨价品种，而是关注个股兑现质量。</w:t>
      </w:r>
    </w:p>
    <w:p w14:paraId="043C6827"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4.2 适配环境与不利环境</w:t>
      </w:r>
    </w:p>
    <w:p w14:paraId="1C7440EA" w14:textId="77777777" w:rsidR="00A6207F" w:rsidRPr="00BF051E" w:rsidRDefault="00000000" w:rsidP="00156E3A">
      <w:pPr>
        <w:spacing w:after="100"/>
        <w:jc w:val="both"/>
        <w:rPr>
          <w:rFonts w:eastAsia="微软雅黑"/>
          <w:lang w:eastAsia="zh-CN"/>
        </w:rPr>
      </w:pPr>
      <w:r w:rsidRPr="00BF051E">
        <w:rPr>
          <w:rFonts w:eastAsia="微软雅黑"/>
          <w:lang w:eastAsia="zh-CN"/>
        </w:rPr>
        <w:t>庄贤更适配以下市场环境：供需矛盾显性化，如海外停产、事故、政策限产、库存低位、行业长期亏损后的出清；资源品和上游周期资产重估，如美元弱化、资源安全、大国竞争、地缘扰动带来的黄金、铜、铝、钾等方向机会；政策推动供给侧改善，如反内卷、产能自律、行业协同去库存带来的价格修复；新产业需求拉动上游材料，如新能源、光伏、AI算力、军工、医药等对化工和新材料品种的需求扩张；全球供应链重构，如中国化工企业出海产能、全球成本优势和区域供给错配。</w:t>
      </w:r>
    </w:p>
    <w:p w14:paraId="32EB12F2" w14:textId="77777777" w:rsidR="00A6207F" w:rsidRPr="00BF051E" w:rsidRDefault="00000000" w:rsidP="00156E3A">
      <w:pPr>
        <w:spacing w:after="100"/>
        <w:jc w:val="both"/>
        <w:rPr>
          <w:rFonts w:eastAsia="微软雅黑"/>
          <w:lang w:eastAsia="zh-CN"/>
        </w:rPr>
      </w:pPr>
      <w:r w:rsidRPr="00BF051E">
        <w:rPr>
          <w:rFonts w:eastAsia="微软雅黑"/>
          <w:lang w:eastAsia="zh-CN"/>
        </w:rPr>
        <w:t>相对不利的环境包括：市场资金持续净流出、商品价格低波动且缺乏趋势、消费或软科技风格极端占优、周期基本</w:t>
      </w:r>
      <w:proofErr w:type="gramStart"/>
      <w:r w:rsidRPr="00BF051E">
        <w:rPr>
          <w:rFonts w:eastAsia="微软雅黑"/>
          <w:lang w:eastAsia="zh-CN"/>
        </w:rPr>
        <w:t>面改善但</w:t>
      </w:r>
      <w:proofErr w:type="gramEnd"/>
      <w:r w:rsidRPr="00BF051E">
        <w:rPr>
          <w:rFonts w:eastAsia="微软雅黑"/>
          <w:lang w:eastAsia="zh-CN"/>
        </w:rPr>
        <w:t>无法转化为股价、供需信号频繁反复导致交易成本上升。2023年的复盘已经体现出这一点：当交易额和资金流向成为定价主导因素时，基本</w:t>
      </w:r>
      <w:proofErr w:type="gramStart"/>
      <w:r w:rsidRPr="00BF051E">
        <w:rPr>
          <w:rFonts w:eastAsia="微软雅黑"/>
          <w:lang w:eastAsia="zh-CN"/>
        </w:rPr>
        <w:t>面改善</w:t>
      </w:r>
      <w:proofErr w:type="gramEnd"/>
      <w:r w:rsidRPr="00BF051E">
        <w:rPr>
          <w:rFonts w:eastAsia="微软雅黑"/>
          <w:lang w:eastAsia="zh-CN"/>
        </w:rPr>
        <w:t>可能不足以支撑绝对收益。</w:t>
      </w:r>
    </w:p>
    <w:tbl>
      <w:tblPr>
        <w:tblStyle w:val="aff1"/>
        <w:tblW w:w="0" w:type="auto"/>
        <w:jc w:val="center"/>
        <w:tblLook w:val="04A0" w:firstRow="1" w:lastRow="0" w:firstColumn="1" w:lastColumn="0" w:noHBand="0" w:noVBand="1"/>
      </w:tblPr>
      <w:tblGrid>
        <w:gridCol w:w="3249"/>
        <w:gridCol w:w="3249"/>
        <w:gridCol w:w="3249"/>
      </w:tblGrid>
      <w:tr w:rsidR="00A6207F" w:rsidRPr="00BF051E" w14:paraId="2DC8F9E4" w14:textId="77777777">
        <w:trPr>
          <w:jc w:val="center"/>
        </w:trPr>
        <w:tc>
          <w:tcPr>
            <w:tcW w:w="3249" w:type="dxa"/>
            <w:noWrap/>
            <w:vAlign w:val="center"/>
          </w:tcPr>
          <w:p w14:paraId="7F42A1C1" w14:textId="77777777" w:rsidR="00A6207F" w:rsidRPr="00BF051E" w:rsidRDefault="00000000" w:rsidP="00156E3A">
            <w:pPr>
              <w:spacing w:line="276" w:lineRule="auto"/>
              <w:jc w:val="both"/>
              <w:rPr>
                <w:rFonts w:eastAsia="微软雅黑"/>
              </w:rPr>
            </w:pPr>
            <w:proofErr w:type="spellStart"/>
            <w:r w:rsidRPr="00BF051E">
              <w:rPr>
                <w:rFonts w:eastAsia="微软雅黑"/>
                <w:b/>
                <w:sz w:val="17"/>
              </w:rPr>
              <w:t>环境类型</w:t>
            </w:r>
            <w:proofErr w:type="spellEnd"/>
          </w:p>
        </w:tc>
        <w:tc>
          <w:tcPr>
            <w:tcW w:w="3249" w:type="dxa"/>
            <w:noWrap/>
            <w:vAlign w:val="center"/>
          </w:tcPr>
          <w:p w14:paraId="3A447322" w14:textId="77777777" w:rsidR="00A6207F" w:rsidRPr="00BF051E" w:rsidRDefault="00000000" w:rsidP="00156E3A">
            <w:pPr>
              <w:spacing w:line="276" w:lineRule="auto"/>
              <w:jc w:val="both"/>
              <w:rPr>
                <w:rFonts w:eastAsia="微软雅黑"/>
              </w:rPr>
            </w:pPr>
            <w:r w:rsidRPr="00BF051E">
              <w:rPr>
                <w:rFonts w:eastAsia="微软雅黑"/>
                <w:b/>
                <w:sz w:val="17"/>
              </w:rPr>
              <w:t>适配度</w:t>
            </w:r>
          </w:p>
        </w:tc>
        <w:tc>
          <w:tcPr>
            <w:tcW w:w="3249" w:type="dxa"/>
            <w:noWrap/>
            <w:vAlign w:val="center"/>
          </w:tcPr>
          <w:p w14:paraId="6F01A94E" w14:textId="77777777" w:rsidR="00A6207F" w:rsidRPr="00BF051E" w:rsidRDefault="00000000" w:rsidP="00156E3A">
            <w:pPr>
              <w:spacing w:line="276" w:lineRule="auto"/>
              <w:jc w:val="both"/>
              <w:rPr>
                <w:rFonts w:eastAsia="微软雅黑"/>
              </w:rPr>
            </w:pPr>
            <w:r w:rsidRPr="00BF051E">
              <w:rPr>
                <w:rFonts w:eastAsia="微软雅黑"/>
                <w:b/>
                <w:sz w:val="17"/>
              </w:rPr>
              <w:t>组合含义</w:t>
            </w:r>
          </w:p>
        </w:tc>
      </w:tr>
      <w:tr w:rsidR="00A6207F" w:rsidRPr="00BF051E" w14:paraId="482B9B9C" w14:textId="77777777">
        <w:trPr>
          <w:jc w:val="center"/>
        </w:trPr>
        <w:tc>
          <w:tcPr>
            <w:tcW w:w="3249" w:type="dxa"/>
            <w:noWrap/>
            <w:vAlign w:val="center"/>
          </w:tcPr>
          <w:p w14:paraId="122770AE" w14:textId="77777777" w:rsidR="00A6207F" w:rsidRPr="00BF051E" w:rsidRDefault="00000000" w:rsidP="00156E3A">
            <w:pPr>
              <w:spacing w:line="276" w:lineRule="auto"/>
              <w:jc w:val="both"/>
              <w:rPr>
                <w:rFonts w:eastAsia="微软雅黑"/>
              </w:rPr>
            </w:pPr>
            <w:r w:rsidRPr="00BF051E">
              <w:rPr>
                <w:rFonts w:eastAsia="微软雅黑"/>
                <w:sz w:val="17"/>
              </w:rPr>
              <w:t>供需矛盾显性化</w:t>
            </w:r>
          </w:p>
        </w:tc>
        <w:tc>
          <w:tcPr>
            <w:tcW w:w="3249" w:type="dxa"/>
            <w:noWrap/>
            <w:vAlign w:val="center"/>
          </w:tcPr>
          <w:p w14:paraId="0E1A7651" w14:textId="77777777" w:rsidR="00A6207F" w:rsidRPr="00BF051E" w:rsidRDefault="00000000" w:rsidP="00156E3A">
            <w:pPr>
              <w:spacing w:line="276" w:lineRule="auto"/>
              <w:jc w:val="both"/>
              <w:rPr>
                <w:rFonts w:eastAsia="微软雅黑"/>
              </w:rPr>
            </w:pPr>
            <w:r w:rsidRPr="00BF051E">
              <w:rPr>
                <w:rFonts w:eastAsia="微软雅黑"/>
                <w:sz w:val="17"/>
              </w:rPr>
              <w:t>高</w:t>
            </w:r>
          </w:p>
        </w:tc>
        <w:tc>
          <w:tcPr>
            <w:tcW w:w="3249" w:type="dxa"/>
            <w:noWrap/>
            <w:vAlign w:val="center"/>
          </w:tcPr>
          <w:p w14:paraId="2839B042"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可提高周期/资源/化工风险预算。</w:t>
            </w:r>
          </w:p>
        </w:tc>
      </w:tr>
      <w:tr w:rsidR="00A6207F" w:rsidRPr="00BF051E" w14:paraId="0EDFDEAA" w14:textId="77777777">
        <w:trPr>
          <w:jc w:val="center"/>
        </w:trPr>
        <w:tc>
          <w:tcPr>
            <w:tcW w:w="3249" w:type="dxa"/>
            <w:noWrap/>
            <w:vAlign w:val="center"/>
          </w:tcPr>
          <w:p w14:paraId="4BFD7C06"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资源品重估或政策出清</w:t>
            </w:r>
          </w:p>
        </w:tc>
        <w:tc>
          <w:tcPr>
            <w:tcW w:w="3249" w:type="dxa"/>
            <w:noWrap/>
            <w:vAlign w:val="center"/>
          </w:tcPr>
          <w:p w14:paraId="568BCF8A"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较高</w:t>
            </w:r>
            <w:proofErr w:type="spellEnd"/>
          </w:p>
        </w:tc>
        <w:tc>
          <w:tcPr>
            <w:tcW w:w="3249" w:type="dxa"/>
            <w:noWrap/>
            <w:vAlign w:val="center"/>
          </w:tcPr>
          <w:p w14:paraId="4CA5C769"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策略弹性更容易释放。</w:t>
            </w:r>
          </w:p>
        </w:tc>
      </w:tr>
      <w:tr w:rsidR="00A6207F" w:rsidRPr="00BF051E" w14:paraId="48A64BFE" w14:textId="77777777">
        <w:trPr>
          <w:jc w:val="center"/>
        </w:trPr>
        <w:tc>
          <w:tcPr>
            <w:tcW w:w="3249" w:type="dxa"/>
            <w:noWrap/>
            <w:vAlign w:val="center"/>
          </w:tcPr>
          <w:p w14:paraId="3D6DD93A"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资金持续净流出</w:t>
            </w:r>
            <w:proofErr w:type="spellEnd"/>
          </w:p>
        </w:tc>
        <w:tc>
          <w:tcPr>
            <w:tcW w:w="3249" w:type="dxa"/>
            <w:noWrap/>
            <w:vAlign w:val="center"/>
          </w:tcPr>
          <w:p w14:paraId="3A336C20" w14:textId="77777777" w:rsidR="00A6207F" w:rsidRPr="00BF051E" w:rsidRDefault="00000000" w:rsidP="00156E3A">
            <w:pPr>
              <w:spacing w:line="276" w:lineRule="auto"/>
              <w:jc w:val="both"/>
              <w:rPr>
                <w:rFonts w:eastAsia="微软雅黑"/>
              </w:rPr>
            </w:pPr>
            <w:r w:rsidRPr="00BF051E">
              <w:rPr>
                <w:rFonts w:eastAsia="微软雅黑"/>
                <w:sz w:val="17"/>
              </w:rPr>
              <w:t>低</w:t>
            </w:r>
          </w:p>
        </w:tc>
        <w:tc>
          <w:tcPr>
            <w:tcW w:w="3249" w:type="dxa"/>
            <w:noWrap/>
            <w:vAlign w:val="center"/>
          </w:tcPr>
          <w:p w14:paraId="61C7CA3C"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需降低收益预期并关注回撤。</w:t>
            </w:r>
          </w:p>
        </w:tc>
      </w:tr>
      <w:tr w:rsidR="00A6207F" w:rsidRPr="00BF051E" w14:paraId="77080F2C" w14:textId="77777777">
        <w:trPr>
          <w:jc w:val="center"/>
        </w:trPr>
        <w:tc>
          <w:tcPr>
            <w:tcW w:w="3249" w:type="dxa"/>
            <w:noWrap/>
            <w:vAlign w:val="center"/>
          </w:tcPr>
          <w:p w14:paraId="2EBE3434" w14:textId="77777777" w:rsidR="00A6207F" w:rsidRPr="00BF051E" w:rsidRDefault="00000000" w:rsidP="00156E3A">
            <w:pPr>
              <w:spacing w:line="276" w:lineRule="auto"/>
              <w:jc w:val="both"/>
              <w:rPr>
                <w:rFonts w:eastAsia="微软雅黑"/>
              </w:rPr>
            </w:pPr>
            <w:proofErr w:type="spellStart"/>
            <w:r w:rsidRPr="00BF051E">
              <w:rPr>
                <w:rFonts w:eastAsia="微软雅黑"/>
                <w:sz w:val="17"/>
              </w:rPr>
              <w:t>非周期风格极端占优</w:t>
            </w:r>
            <w:proofErr w:type="spellEnd"/>
          </w:p>
        </w:tc>
        <w:tc>
          <w:tcPr>
            <w:tcW w:w="3249" w:type="dxa"/>
            <w:noWrap/>
            <w:vAlign w:val="center"/>
          </w:tcPr>
          <w:p w14:paraId="51E57C11" w14:textId="77777777" w:rsidR="00A6207F" w:rsidRPr="00BF051E" w:rsidRDefault="00000000" w:rsidP="00156E3A">
            <w:pPr>
              <w:spacing w:line="276" w:lineRule="auto"/>
              <w:jc w:val="both"/>
              <w:rPr>
                <w:rFonts w:eastAsia="微软雅黑"/>
              </w:rPr>
            </w:pPr>
            <w:r w:rsidRPr="00BF051E">
              <w:rPr>
                <w:rFonts w:eastAsia="微软雅黑"/>
                <w:sz w:val="17"/>
              </w:rPr>
              <w:t>低</w:t>
            </w:r>
          </w:p>
        </w:tc>
        <w:tc>
          <w:tcPr>
            <w:tcW w:w="3249" w:type="dxa"/>
            <w:noWrap/>
            <w:vAlign w:val="center"/>
          </w:tcPr>
          <w:p w14:paraId="6BD57576" w14:textId="77777777" w:rsidR="00A6207F" w:rsidRPr="00BF051E" w:rsidRDefault="00000000" w:rsidP="00156E3A">
            <w:pPr>
              <w:spacing w:line="276" w:lineRule="auto"/>
              <w:jc w:val="both"/>
              <w:rPr>
                <w:rFonts w:eastAsia="微软雅黑"/>
                <w:lang w:eastAsia="zh-CN"/>
              </w:rPr>
            </w:pPr>
            <w:r w:rsidRPr="00BF051E">
              <w:rPr>
                <w:rFonts w:eastAsia="微软雅黑"/>
                <w:sz w:val="17"/>
                <w:lang w:eastAsia="zh-CN"/>
              </w:rPr>
              <w:t>相对收益和绝对收益均可能承压。</w:t>
            </w:r>
          </w:p>
        </w:tc>
      </w:tr>
    </w:tbl>
    <w:p w14:paraId="0B3B0CFD" w14:textId="77777777" w:rsidR="00A6207F" w:rsidRPr="00BF051E" w:rsidRDefault="00A6207F" w:rsidP="00156E3A">
      <w:pPr>
        <w:jc w:val="both"/>
        <w:rPr>
          <w:rFonts w:eastAsia="微软雅黑"/>
          <w:lang w:eastAsia="zh-CN"/>
        </w:rPr>
      </w:pPr>
    </w:p>
    <w:p w14:paraId="736DFF14"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4.3 策略特征再认识</w:t>
      </w:r>
    </w:p>
    <w:p w14:paraId="5DDF92CE" w14:textId="77777777" w:rsidR="00A6207F" w:rsidRPr="00BF051E" w:rsidRDefault="00000000" w:rsidP="00156E3A">
      <w:pPr>
        <w:spacing w:after="100"/>
        <w:jc w:val="both"/>
        <w:rPr>
          <w:rFonts w:eastAsia="微软雅黑"/>
          <w:lang w:eastAsia="zh-CN"/>
        </w:rPr>
      </w:pPr>
      <w:r w:rsidRPr="00BF051E">
        <w:rPr>
          <w:rFonts w:eastAsia="微软雅黑"/>
          <w:lang w:eastAsia="zh-CN"/>
        </w:rPr>
        <w:t>庄贤的策略可以理解为一套“信号响应型产业投资框架”。其研究工作偏左侧，长期跟踪细分品种供需、库存和成本；但组合执行并非简单长期持有，而是需要等待价格、事件、政策或库存变化形成可交易信号。该特征介于传统价值投资和趋势交易之间：研究上更重视产业基本面，交易上又必须承认周期窗口和市场情绪的重要性。</w:t>
      </w:r>
    </w:p>
    <w:p w14:paraId="650FE271" w14:textId="77777777" w:rsidR="00A6207F" w:rsidRPr="00BF051E" w:rsidRDefault="00000000" w:rsidP="00156E3A">
      <w:pPr>
        <w:spacing w:after="100"/>
        <w:jc w:val="both"/>
        <w:rPr>
          <w:rFonts w:eastAsia="微软雅黑"/>
          <w:lang w:eastAsia="zh-CN"/>
        </w:rPr>
      </w:pPr>
      <w:r w:rsidRPr="00BF051E">
        <w:rPr>
          <w:rFonts w:eastAsia="微软雅黑"/>
          <w:b/>
          <w:lang w:eastAsia="zh-CN"/>
        </w:rPr>
        <w:t>因此，庄贤的 Alpha 更准确地说是“环境条件型 Alpha”。当供需变化能够顺利传导为价格变化、利润变化和股价重估时，管理人的产业认知和细分品种跟踪能力可以转化为超额收益；当传导链条在利润到股价环节被流动性、估值收缩或风格偏离打断时，Alpha 会明显下降，甚至被行业 Beta 覆盖。</w:t>
      </w:r>
    </w:p>
    <w:p w14:paraId="2D6F01B0" w14:textId="77777777" w:rsidR="00A6207F" w:rsidRPr="00BF051E" w:rsidRDefault="00000000" w:rsidP="00156E3A">
      <w:pPr>
        <w:spacing w:after="100"/>
        <w:jc w:val="both"/>
        <w:rPr>
          <w:rFonts w:eastAsia="微软雅黑"/>
          <w:lang w:eastAsia="zh-CN"/>
        </w:rPr>
      </w:pPr>
      <w:r w:rsidRPr="00BF051E">
        <w:rPr>
          <w:rFonts w:eastAsia="微软雅黑"/>
          <w:lang w:eastAsia="zh-CN"/>
        </w:rPr>
        <w:t>这一点也解释了其业绩波动特征。庄贤并不是通过高频择时平滑净值，而是通过持续在能力圈内寻找一系列供需错配机会，形成长期收益的累积。策略的关键不是每年</w:t>
      </w:r>
      <w:proofErr w:type="gramStart"/>
      <w:r w:rsidRPr="00BF051E">
        <w:rPr>
          <w:rFonts w:eastAsia="微软雅黑"/>
          <w:lang w:eastAsia="zh-CN"/>
        </w:rPr>
        <w:t>稳定跑</w:t>
      </w:r>
      <w:proofErr w:type="gramEnd"/>
      <w:r w:rsidRPr="00BF051E">
        <w:rPr>
          <w:rFonts w:eastAsia="微软雅黑"/>
          <w:lang w:eastAsia="zh-CN"/>
        </w:rPr>
        <w:t>赢，而是在有利环境中捕捉足够大的弹性，同时在不利环境中控制回撤不损害长期复利基础。2022-2023年的连续回撤说明后者仍是需要持续观察的环节。</w:t>
      </w:r>
    </w:p>
    <w:p w14:paraId="16A0815A"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lastRenderedPageBreak/>
        <w:t>五、风险控制</w:t>
      </w:r>
    </w:p>
    <w:p w14:paraId="268F06F4"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 xml:space="preserve">5.1 </w:t>
      </w:r>
      <w:proofErr w:type="gramStart"/>
      <w:r w:rsidRPr="00BF051E">
        <w:rPr>
          <w:rFonts w:ascii="微软雅黑" w:eastAsia="微软雅黑" w:hAnsi="微软雅黑"/>
          <w:b w:val="0"/>
          <w:lang w:eastAsia="zh-CN"/>
        </w:rPr>
        <w:t>风控框架</w:t>
      </w:r>
      <w:proofErr w:type="gramEnd"/>
      <w:r w:rsidRPr="00BF051E">
        <w:rPr>
          <w:rFonts w:ascii="微软雅黑" w:eastAsia="微软雅黑" w:hAnsi="微软雅黑"/>
          <w:b w:val="0"/>
          <w:lang w:eastAsia="zh-CN"/>
        </w:rPr>
        <w:t>：主动多头下的风险预算管理</w:t>
      </w:r>
    </w:p>
    <w:p w14:paraId="580A8D64" w14:textId="77777777" w:rsidR="00A6207F" w:rsidRPr="00BF051E" w:rsidRDefault="00000000" w:rsidP="00156E3A">
      <w:pPr>
        <w:spacing w:after="100"/>
        <w:jc w:val="both"/>
        <w:rPr>
          <w:rFonts w:eastAsia="微软雅黑"/>
          <w:lang w:eastAsia="zh-CN"/>
        </w:rPr>
      </w:pPr>
      <w:proofErr w:type="gramStart"/>
      <w:r w:rsidRPr="00BF051E">
        <w:rPr>
          <w:rFonts w:eastAsia="微软雅黑"/>
          <w:lang w:eastAsia="zh-CN"/>
        </w:rPr>
        <w:t>庄贤风控体系</w:t>
      </w:r>
      <w:proofErr w:type="gramEnd"/>
      <w:r w:rsidRPr="00BF051E">
        <w:rPr>
          <w:rFonts w:eastAsia="微软雅黑"/>
          <w:lang w:eastAsia="zh-CN"/>
        </w:rPr>
        <w:t>覆盖整体</w:t>
      </w:r>
      <w:proofErr w:type="gramStart"/>
      <w:r w:rsidRPr="00BF051E">
        <w:rPr>
          <w:rFonts w:eastAsia="微软雅黑"/>
          <w:lang w:eastAsia="zh-CN"/>
        </w:rPr>
        <w:t>仓位</w:t>
      </w:r>
      <w:proofErr w:type="gramEnd"/>
      <w:r w:rsidRPr="00BF051E">
        <w:rPr>
          <w:rFonts w:eastAsia="微软雅黑"/>
          <w:lang w:eastAsia="zh-CN"/>
        </w:rPr>
        <w:t>、净值回撤、个股集中度、个股止损和止盈机制，整体属于主动多头框架下的风险预算管理。</w:t>
      </w:r>
    </w:p>
    <w:p w14:paraId="27DF0B7F"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5.2 具体措施：</w:t>
      </w:r>
      <w:proofErr w:type="gramStart"/>
      <w:r w:rsidRPr="00BF051E">
        <w:rPr>
          <w:rFonts w:ascii="微软雅黑" w:eastAsia="微软雅黑" w:hAnsi="微软雅黑"/>
          <w:b w:val="0"/>
          <w:lang w:eastAsia="zh-CN"/>
        </w:rPr>
        <w:t>仓位</w:t>
      </w:r>
      <w:proofErr w:type="gramEnd"/>
      <w:r w:rsidRPr="00BF051E">
        <w:rPr>
          <w:rFonts w:ascii="微软雅黑" w:eastAsia="微软雅黑" w:hAnsi="微软雅黑"/>
          <w:b w:val="0"/>
          <w:lang w:eastAsia="zh-CN"/>
        </w:rPr>
        <w:t>、回撤、个股与止盈</w:t>
      </w:r>
    </w:p>
    <w:p w14:paraId="32C8DCA2" w14:textId="77777777" w:rsidR="00A6207F" w:rsidRPr="00BF051E" w:rsidRDefault="00000000" w:rsidP="00156E3A">
      <w:pPr>
        <w:spacing w:after="100"/>
        <w:jc w:val="both"/>
        <w:rPr>
          <w:rFonts w:eastAsia="微软雅黑"/>
          <w:lang w:eastAsia="zh-CN"/>
        </w:rPr>
      </w:pPr>
      <w:r w:rsidRPr="00BF051E">
        <w:rPr>
          <w:rFonts w:eastAsia="微软雅黑"/>
          <w:b/>
          <w:lang w:eastAsia="zh-CN"/>
        </w:rPr>
        <w:t>整体</w:t>
      </w:r>
      <w:proofErr w:type="gramStart"/>
      <w:r w:rsidRPr="00BF051E">
        <w:rPr>
          <w:rFonts w:eastAsia="微软雅黑"/>
          <w:b/>
          <w:lang w:eastAsia="zh-CN"/>
        </w:rPr>
        <w:t>仓位</w:t>
      </w:r>
      <w:proofErr w:type="gramEnd"/>
      <w:r w:rsidRPr="00BF051E">
        <w:rPr>
          <w:rFonts w:eastAsia="微软雅黑"/>
          <w:b/>
          <w:lang w:eastAsia="zh-CN"/>
        </w:rPr>
        <w:t>层面</w:t>
      </w:r>
      <w:r w:rsidRPr="00BF051E">
        <w:rPr>
          <w:rFonts w:eastAsia="微软雅黑"/>
          <w:lang w:eastAsia="zh-CN"/>
        </w:rPr>
        <w:t>，当产品净值不超过1.05时，整体</w:t>
      </w:r>
      <w:proofErr w:type="gramStart"/>
      <w:r w:rsidRPr="00BF051E">
        <w:rPr>
          <w:rFonts w:eastAsia="微软雅黑"/>
          <w:lang w:eastAsia="zh-CN"/>
        </w:rPr>
        <w:t>仓位</w:t>
      </w:r>
      <w:proofErr w:type="gramEnd"/>
      <w:r w:rsidRPr="00BF051E">
        <w:rPr>
          <w:rFonts w:eastAsia="微软雅黑"/>
          <w:lang w:eastAsia="zh-CN"/>
        </w:rPr>
        <w:t>不得高于5成；</w:t>
      </w:r>
      <w:proofErr w:type="gramStart"/>
      <w:r w:rsidRPr="00BF051E">
        <w:rPr>
          <w:rFonts w:eastAsia="微软雅黑"/>
          <w:lang w:eastAsia="zh-CN"/>
        </w:rPr>
        <w:t>资管产品</w:t>
      </w:r>
      <w:proofErr w:type="gramEnd"/>
      <w:r w:rsidRPr="00BF051E">
        <w:rPr>
          <w:rFonts w:eastAsia="微软雅黑"/>
          <w:lang w:eastAsia="zh-CN"/>
        </w:rPr>
        <w:t>最高</w:t>
      </w:r>
      <w:proofErr w:type="gramStart"/>
      <w:r w:rsidRPr="00BF051E">
        <w:rPr>
          <w:rFonts w:eastAsia="微软雅黑"/>
          <w:lang w:eastAsia="zh-CN"/>
        </w:rPr>
        <w:t>仓位</w:t>
      </w:r>
      <w:proofErr w:type="gramEnd"/>
      <w:r w:rsidRPr="00BF051E">
        <w:rPr>
          <w:rFonts w:eastAsia="微软雅黑"/>
          <w:lang w:eastAsia="zh-CN"/>
        </w:rPr>
        <w:t>为80%-100%，不使用杠杆。</w:t>
      </w:r>
      <w:proofErr w:type="gramStart"/>
      <w:r w:rsidRPr="00BF051E">
        <w:rPr>
          <w:rFonts w:eastAsia="微软雅黑"/>
          <w:lang w:eastAsia="zh-CN"/>
        </w:rPr>
        <w:t>锐途系列</w:t>
      </w:r>
      <w:proofErr w:type="gramEnd"/>
      <w:r w:rsidRPr="00BF051E">
        <w:rPr>
          <w:rFonts w:eastAsia="微软雅黑"/>
          <w:lang w:eastAsia="zh-CN"/>
        </w:rPr>
        <w:t>强调最高</w:t>
      </w:r>
      <w:proofErr w:type="gramStart"/>
      <w:r w:rsidRPr="00BF051E">
        <w:rPr>
          <w:rFonts w:eastAsia="微软雅黑"/>
          <w:lang w:eastAsia="zh-CN"/>
        </w:rPr>
        <w:t>仓位</w:t>
      </w:r>
      <w:proofErr w:type="gramEnd"/>
      <w:r w:rsidRPr="00BF051E">
        <w:rPr>
          <w:rFonts w:eastAsia="微软雅黑"/>
          <w:lang w:eastAsia="zh-CN"/>
        </w:rPr>
        <w:t>控制在50%以下，以追求更高收益回撤比。</w:t>
      </w:r>
    </w:p>
    <w:p w14:paraId="5EC4EFFE" w14:textId="77777777" w:rsidR="00A6207F" w:rsidRPr="00BF051E" w:rsidRDefault="00000000" w:rsidP="00156E3A">
      <w:pPr>
        <w:spacing w:after="100"/>
        <w:jc w:val="both"/>
        <w:rPr>
          <w:rFonts w:eastAsia="微软雅黑"/>
          <w:lang w:eastAsia="zh-CN"/>
        </w:rPr>
      </w:pPr>
      <w:r w:rsidRPr="00BF051E">
        <w:rPr>
          <w:rFonts w:eastAsia="微软雅黑"/>
          <w:b/>
          <w:lang w:eastAsia="zh-CN"/>
        </w:rPr>
        <w:t>净值回撤层面</w:t>
      </w:r>
      <w:r w:rsidRPr="00BF051E">
        <w:rPr>
          <w:rFonts w:eastAsia="微软雅黑"/>
          <w:lang w:eastAsia="zh-CN"/>
        </w:rPr>
        <w:t>，当净值回撤接近容许最大回撤值的50%时，管理人会主动降低</w:t>
      </w:r>
      <w:proofErr w:type="gramStart"/>
      <w:r w:rsidRPr="00BF051E">
        <w:rPr>
          <w:rFonts w:eastAsia="微软雅黑"/>
          <w:lang w:eastAsia="zh-CN"/>
        </w:rPr>
        <w:t>仓位</w:t>
      </w:r>
      <w:proofErr w:type="gramEnd"/>
      <w:r w:rsidRPr="00BF051E">
        <w:rPr>
          <w:rFonts w:eastAsia="微软雅黑"/>
          <w:lang w:eastAsia="zh-CN"/>
        </w:rPr>
        <w:t>，进行冷静复盘和思考，待净值有所修复后重启。该机制体现了组合层面的风险预算管理，但从锐进2号-33.13%的最大回撤看，其功能更偏降低损失和促进复盘，而非完全阻断回撤。</w:t>
      </w:r>
    </w:p>
    <w:p w14:paraId="4437C581" w14:textId="77777777" w:rsidR="00A6207F" w:rsidRPr="00BF051E" w:rsidRDefault="00000000" w:rsidP="00156E3A">
      <w:pPr>
        <w:spacing w:after="100"/>
        <w:jc w:val="both"/>
        <w:rPr>
          <w:rFonts w:eastAsia="微软雅黑"/>
          <w:lang w:eastAsia="zh-CN"/>
        </w:rPr>
      </w:pPr>
      <w:r w:rsidRPr="00BF051E">
        <w:rPr>
          <w:rFonts w:eastAsia="微软雅黑"/>
          <w:b/>
          <w:lang w:eastAsia="zh-CN"/>
        </w:rPr>
        <w:t>个股集中度层面</w:t>
      </w:r>
      <w:r w:rsidRPr="00BF051E">
        <w:rPr>
          <w:rFonts w:eastAsia="微软雅黑"/>
          <w:lang w:eastAsia="zh-CN"/>
        </w:rPr>
        <w:t>，单一个股集中</w:t>
      </w:r>
      <w:proofErr w:type="gramStart"/>
      <w:r w:rsidRPr="00BF051E">
        <w:rPr>
          <w:rFonts w:eastAsia="微软雅黑"/>
          <w:lang w:eastAsia="zh-CN"/>
        </w:rPr>
        <w:t>度根据</w:t>
      </w:r>
      <w:proofErr w:type="gramEnd"/>
      <w:r w:rsidRPr="00BF051E">
        <w:rPr>
          <w:rFonts w:eastAsia="微软雅黑"/>
          <w:lang w:eastAsia="zh-CN"/>
        </w:rPr>
        <w:t>置信度控制在5%-20%。单个标的</w:t>
      </w:r>
      <w:proofErr w:type="gramStart"/>
      <w:r w:rsidRPr="00BF051E">
        <w:rPr>
          <w:rFonts w:eastAsia="微软雅黑"/>
          <w:lang w:eastAsia="zh-CN"/>
        </w:rPr>
        <w:t>仓位</w:t>
      </w:r>
      <w:proofErr w:type="gramEnd"/>
      <w:r w:rsidRPr="00BF051E">
        <w:rPr>
          <w:rFonts w:eastAsia="微软雅黑"/>
          <w:lang w:eastAsia="zh-CN"/>
        </w:rPr>
        <w:t>通常按5%、10%、20%三个等级划分。该机制适用于庄贤这类细分周期股较多、单票尾部风险较高的策略。</w:t>
      </w:r>
    </w:p>
    <w:p w14:paraId="2AA0C4B9" w14:textId="77777777" w:rsidR="00A6207F" w:rsidRPr="00BF051E" w:rsidRDefault="00000000" w:rsidP="00156E3A">
      <w:pPr>
        <w:spacing w:after="100"/>
        <w:jc w:val="both"/>
        <w:rPr>
          <w:rFonts w:eastAsia="微软雅黑"/>
          <w:lang w:eastAsia="zh-CN"/>
        </w:rPr>
      </w:pPr>
      <w:r w:rsidRPr="00BF051E">
        <w:rPr>
          <w:rFonts w:eastAsia="微软雅黑"/>
          <w:b/>
          <w:lang w:eastAsia="zh-CN"/>
        </w:rPr>
        <w:t>个股回撤层面</w:t>
      </w:r>
      <w:r w:rsidRPr="00BF051E">
        <w:rPr>
          <w:rFonts w:eastAsia="微软雅黑"/>
          <w:lang w:eastAsia="zh-CN"/>
        </w:rPr>
        <w:t>，任何个股净亏损接近总资产规模2%时强</w:t>
      </w:r>
      <w:proofErr w:type="gramStart"/>
      <w:r w:rsidRPr="00BF051E">
        <w:rPr>
          <w:rFonts w:eastAsia="微软雅黑"/>
          <w:lang w:eastAsia="zh-CN"/>
        </w:rPr>
        <w:t>制止损且6个月内</w:t>
      </w:r>
      <w:proofErr w:type="gramEnd"/>
      <w:r w:rsidRPr="00BF051E">
        <w:rPr>
          <w:rFonts w:eastAsia="微软雅黑"/>
          <w:lang w:eastAsia="zh-CN"/>
        </w:rPr>
        <w:t>不得开新仓；首次开仓快速亏损超10%时预警，超20%时</w:t>
      </w:r>
      <w:proofErr w:type="gramStart"/>
      <w:r w:rsidRPr="00BF051E">
        <w:rPr>
          <w:rFonts w:eastAsia="微软雅黑"/>
          <w:lang w:eastAsia="zh-CN"/>
        </w:rPr>
        <w:t>止损且不再</w:t>
      </w:r>
      <w:proofErr w:type="gramEnd"/>
      <w:r w:rsidRPr="00BF051E">
        <w:rPr>
          <w:rFonts w:eastAsia="微软雅黑"/>
          <w:lang w:eastAsia="zh-CN"/>
        </w:rPr>
        <w:t>开新仓。不同材料中也出现首次开仓亏损15%卖出、单一标的亏损导致总资产回撤2%卖出的表述，口径虽略有差异，但核心原则一致：通过单</w:t>
      </w:r>
      <w:proofErr w:type="gramStart"/>
      <w:r w:rsidRPr="00BF051E">
        <w:rPr>
          <w:rFonts w:eastAsia="微软雅黑"/>
          <w:lang w:eastAsia="zh-CN"/>
        </w:rPr>
        <w:t>票亏损</w:t>
      </w:r>
      <w:proofErr w:type="gramEnd"/>
      <w:r w:rsidRPr="00BF051E">
        <w:rPr>
          <w:rFonts w:eastAsia="微软雅黑"/>
          <w:lang w:eastAsia="zh-CN"/>
        </w:rPr>
        <w:t>阈值控制肥尾风险。</w:t>
      </w:r>
    </w:p>
    <w:p w14:paraId="74A7C565" w14:textId="77777777" w:rsidR="00A6207F" w:rsidRPr="00BF051E" w:rsidRDefault="00000000" w:rsidP="00156E3A">
      <w:pPr>
        <w:spacing w:after="100"/>
        <w:jc w:val="both"/>
        <w:rPr>
          <w:rFonts w:eastAsia="微软雅黑"/>
          <w:lang w:eastAsia="zh-CN"/>
        </w:rPr>
      </w:pPr>
      <w:r w:rsidRPr="00BF051E">
        <w:rPr>
          <w:rFonts w:eastAsia="微软雅黑"/>
          <w:b/>
          <w:lang w:eastAsia="zh-CN"/>
        </w:rPr>
        <w:t>止</w:t>
      </w:r>
      <w:proofErr w:type="gramStart"/>
      <w:r w:rsidRPr="00BF051E">
        <w:rPr>
          <w:rFonts w:eastAsia="微软雅黑"/>
          <w:b/>
          <w:lang w:eastAsia="zh-CN"/>
        </w:rPr>
        <w:t>盈机制</w:t>
      </w:r>
      <w:proofErr w:type="gramEnd"/>
      <w:r w:rsidRPr="00BF051E">
        <w:rPr>
          <w:rFonts w:eastAsia="微软雅黑"/>
          <w:b/>
          <w:lang w:eastAsia="zh-CN"/>
        </w:rPr>
        <w:t>方面</w:t>
      </w:r>
      <w:r w:rsidRPr="00BF051E">
        <w:rPr>
          <w:rFonts w:eastAsia="微软雅黑"/>
          <w:lang w:eastAsia="zh-CN"/>
        </w:rPr>
        <w:t>，庄贤并未使用完全量化的</w:t>
      </w:r>
      <w:proofErr w:type="gramStart"/>
      <w:r w:rsidRPr="00BF051E">
        <w:rPr>
          <w:rFonts w:eastAsia="微软雅黑"/>
          <w:lang w:eastAsia="zh-CN"/>
        </w:rPr>
        <w:t>固定止</w:t>
      </w:r>
      <w:proofErr w:type="gramEnd"/>
      <w:r w:rsidRPr="00BF051E">
        <w:rPr>
          <w:rFonts w:eastAsia="微软雅黑"/>
          <w:lang w:eastAsia="zh-CN"/>
        </w:rPr>
        <w:t>盈线，而是基于利润、估值和目标市值进行动态评估。当股票市值接近或超过目标值时，会通过卖出部分利润、降低</w:t>
      </w:r>
      <w:proofErr w:type="gramStart"/>
      <w:r w:rsidRPr="00BF051E">
        <w:rPr>
          <w:rFonts w:eastAsia="微软雅黑"/>
          <w:lang w:eastAsia="zh-CN"/>
        </w:rPr>
        <w:t>仓位</w:t>
      </w:r>
      <w:proofErr w:type="gramEnd"/>
      <w:r w:rsidRPr="00BF051E">
        <w:rPr>
          <w:rFonts w:eastAsia="微软雅黑"/>
          <w:lang w:eastAsia="zh-CN"/>
        </w:rPr>
        <w:t>或全部退出实现止盈。浙江龙盛案例即体现了该机制：在市场情绪高点、股价出现泡沫时分批减仓。</w:t>
      </w:r>
    </w:p>
    <w:p w14:paraId="634CABE0"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 xml:space="preserve">5.3 </w:t>
      </w:r>
      <w:proofErr w:type="gramStart"/>
      <w:r w:rsidRPr="00BF051E">
        <w:rPr>
          <w:rFonts w:ascii="微软雅黑" w:eastAsia="微软雅黑" w:hAnsi="微软雅黑"/>
          <w:b w:val="0"/>
          <w:lang w:eastAsia="zh-CN"/>
        </w:rPr>
        <w:t>风控边界</w:t>
      </w:r>
      <w:proofErr w:type="gramEnd"/>
    </w:p>
    <w:p w14:paraId="0F6A97B4" w14:textId="77777777" w:rsidR="00A6207F" w:rsidRPr="00BF051E" w:rsidRDefault="00000000" w:rsidP="00156E3A">
      <w:pPr>
        <w:spacing w:after="100"/>
        <w:jc w:val="both"/>
        <w:rPr>
          <w:rFonts w:eastAsia="微软雅黑"/>
          <w:lang w:eastAsia="zh-CN"/>
        </w:rPr>
      </w:pPr>
      <w:proofErr w:type="gramStart"/>
      <w:r w:rsidRPr="00BF051E">
        <w:rPr>
          <w:rFonts w:eastAsia="微软雅黑"/>
          <w:lang w:eastAsia="zh-CN"/>
        </w:rPr>
        <w:t>该风控</w:t>
      </w:r>
      <w:proofErr w:type="gramEnd"/>
      <w:r w:rsidRPr="00BF051E">
        <w:rPr>
          <w:rFonts w:eastAsia="微软雅黑"/>
          <w:lang w:eastAsia="zh-CN"/>
        </w:rPr>
        <w:t>体系的优点在于纪律较清晰，能够约束个股错误和部分尾部风险；不足在于无法完全对</w:t>
      </w:r>
      <w:proofErr w:type="gramStart"/>
      <w:r w:rsidRPr="00BF051E">
        <w:rPr>
          <w:rFonts w:eastAsia="微软雅黑"/>
          <w:lang w:eastAsia="zh-CN"/>
        </w:rPr>
        <w:t>冲行业</w:t>
      </w:r>
      <w:proofErr w:type="gramEnd"/>
      <w:r w:rsidRPr="00BF051E">
        <w:rPr>
          <w:rFonts w:eastAsia="微软雅黑"/>
          <w:lang w:eastAsia="zh-CN"/>
        </w:rPr>
        <w:t xml:space="preserve"> Beta。若化工、资源和周期资产整体下行，个股止损和</w:t>
      </w:r>
      <w:proofErr w:type="gramStart"/>
      <w:r w:rsidRPr="00BF051E">
        <w:rPr>
          <w:rFonts w:eastAsia="微软雅黑"/>
          <w:lang w:eastAsia="zh-CN"/>
        </w:rPr>
        <w:t>仓位</w:t>
      </w:r>
      <w:proofErr w:type="gramEnd"/>
      <w:r w:rsidRPr="00BF051E">
        <w:rPr>
          <w:rFonts w:eastAsia="微软雅黑"/>
          <w:lang w:eastAsia="zh-CN"/>
        </w:rPr>
        <w:t>调整只能降低损失幅度，不能改变组合方向性暴露。此外，</w:t>
      </w:r>
      <w:proofErr w:type="gramStart"/>
      <w:r w:rsidRPr="00BF051E">
        <w:rPr>
          <w:rFonts w:eastAsia="微软雅黑"/>
          <w:lang w:eastAsia="zh-CN"/>
        </w:rPr>
        <w:t>严格止</w:t>
      </w:r>
      <w:proofErr w:type="gramEnd"/>
      <w:r w:rsidRPr="00BF051E">
        <w:rPr>
          <w:rFonts w:eastAsia="微软雅黑"/>
          <w:lang w:eastAsia="zh-CN"/>
        </w:rPr>
        <w:t>损在高波动和快速轮动市场中可能增加交易成本，2023年复盘亦提到首次买入胜率下降带来的额外出手成本。</w:t>
      </w:r>
    </w:p>
    <w:p w14:paraId="074A9A61" w14:textId="77777777" w:rsidR="00A6207F" w:rsidRPr="00BF051E" w:rsidRDefault="00000000" w:rsidP="00156E3A">
      <w:pPr>
        <w:spacing w:after="100"/>
        <w:jc w:val="both"/>
        <w:rPr>
          <w:rFonts w:eastAsia="微软雅黑"/>
          <w:lang w:eastAsia="zh-CN"/>
        </w:rPr>
      </w:pPr>
      <w:r w:rsidRPr="00BF051E">
        <w:rPr>
          <w:rFonts w:eastAsia="微软雅黑"/>
          <w:b/>
          <w:lang w:eastAsia="zh-CN"/>
        </w:rPr>
        <w:t>因此，庄贤</w:t>
      </w:r>
      <w:proofErr w:type="gramStart"/>
      <w:r w:rsidRPr="00BF051E">
        <w:rPr>
          <w:rFonts w:eastAsia="微软雅黑"/>
          <w:b/>
          <w:lang w:eastAsia="zh-CN"/>
        </w:rPr>
        <w:t>的风控不应</w:t>
      </w:r>
      <w:proofErr w:type="gramEnd"/>
      <w:r w:rsidRPr="00BF051E">
        <w:rPr>
          <w:rFonts w:eastAsia="微软雅黑"/>
          <w:b/>
          <w:lang w:eastAsia="zh-CN"/>
        </w:rPr>
        <w:t>被理解为市场中性或全天候策略意义上的风险隔离，而应理解为主观多头策略中较强调纪律的风险预算控制。</w:t>
      </w:r>
    </w:p>
    <w:p w14:paraId="54112160"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lastRenderedPageBreak/>
        <w:t>六、配置价值与策略边界</w:t>
      </w:r>
    </w:p>
    <w:p w14:paraId="303A4B2C"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6.1 配置价值</w:t>
      </w:r>
    </w:p>
    <w:p w14:paraId="4762B505" w14:textId="77777777" w:rsidR="00A6207F" w:rsidRPr="00BF051E" w:rsidRDefault="00000000" w:rsidP="00156E3A">
      <w:pPr>
        <w:spacing w:after="100"/>
        <w:jc w:val="both"/>
        <w:rPr>
          <w:rFonts w:eastAsia="微软雅黑"/>
          <w:lang w:eastAsia="zh-CN"/>
        </w:rPr>
      </w:pPr>
      <w:r w:rsidRPr="00BF051E">
        <w:rPr>
          <w:rFonts w:eastAsia="微软雅黑"/>
          <w:lang w:eastAsia="zh-CN"/>
        </w:rPr>
        <w:t>庄贤的配置价值主要来自三点。第一，风格差异化。相较于消费、医药、TMT 等主流权益风格，庄贤提供化工、资源和周期方向的差异</w:t>
      </w:r>
      <w:proofErr w:type="gramStart"/>
      <w:r w:rsidRPr="00BF051E">
        <w:rPr>
          <w:rFonts w:eastAsia="微软雅黑"/>
          <w:lang w:eastAsia="zh-CN"/>
        </w:rPr>
        <w:t>化收益</w:t>
      </w:r>
      <w:proofErr w:type="gramEnd"/>
      <w:r w:rsidRPr="00BF051E">
        <w:rPr>
          <w:rFonts w:eastAsia="微软雅黑"/>
          <w:lang w:eastAsia="zh-CN"/>
        </w:rPr>
        <w:t>来源。第二，产业研究壁垒。其在</w:t>
      </w:r>
      <w:proofErr w:type="gramStart"/>
      <w:r w:rsidRPr="00BF051E">
        <w:rPr>
          <w:rFonts w:eastAsia="微软雅黑"/>
          <w:lang w:eastAsia="zh-CN"/>
        </w:rPr>
        <w:t>化工及泛周期</w:t>
      </w:r>
      <w:proofErr w:type="gramEnd"/>
      <w:r w:rsidRPr="00BF051E">
        <w:rPr>
          <w:rFonts w:eastAsia="微软雅黑"/>
          <w:lang w:eastAsia="zh-CN"/>
        </w:rPr>
        <w:t>细分品种上具备较强产业链跟踪能力，能够在部分供需冲击中较早形成判断。第三，环境表达能力。当地缘冲突、政策出清、供应链重构、资源安全和商品价格波动增强时，策略具备较强进攻性。</w:t>
      </w:r>
    </w:p>
    <w:p w14:paraId="30C75915"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6.2 策略边界</w:t>
      </w:r>
    </w:p>
    <w:p w14:paraId="6AB1536B" w14:textId="77777777" w:rsidR="00A6207F" w:rsidRPr="00BF051E" w:rsidRDefault="00000000" w:rsidP="00156E3A">
      <w:pPr>
        <w:spacing w:after="100"/>
        <w:jc w:val="both"/>
        <w:rPr>
          <w:rFonts w:eastAsia="微软雅黑"/>
          <w:lang w:eastAsia="zh-CN"/>
        </w:rPr>
      </w:pPr>
      <w:r w:rsidRPr="00BF051E">
        <w:rPr>
          <w:rFonts w:eastAsia="微软雅黑"/>
          <w:lang w:eastAsia="zh-CN"/>
        </w:rPr>
        <w:t>其策略边界同样清晰：</w:t>
      </w:r>
    </w:p>
    <w:p w14:paraId="2FDA1314" w14:textId="77777777" w:rsidR="00A6207F" w:rsidRPr="00BF051E" w:rsidRDefault="00000000" w:rsidP="00156E3A">
      <w:pPr>
        <w:spacing w:after="100"/>
        <w:jc w:val="both"/>
        <w:rPr>
          <w:rFonts w:eastAsia="微软雅黑"/>
          <w:lang w:eastAsia="zh-CN"/>
        </w:rPr>
      </w:pPr>
      <w:r w:rsidRPr="00BF051E">
        <w:rPr>
          <w:rFonts w:eastAsia="微软雅黑"/>
          <w:lang w:eastAsia="zh-CN"/>
        </w:rPr>
        <w:t xml:space="preserve">? </w:t>
      </w:r>
      <w:r w:rsidRPr="00BF051E">
        <w:rPr>
          <w:rFonts w:eastAsia="微软雅黑"/>
          <w:b/>
          <w:lang w:eastAsia="zh-CN"/>
        </w:rPr>
        <w:t>能力圈边界</w:t>
      </w:r>
      <w:r w:rsidRPr="00BF051E">
        <w:rPr>
          <w:rFonts w:eastAsia="微软雅黑"/>
          <w:lang w:eastAsia="zh-CN"/>
        </w:rPr>
        <w:t>：核心优势在化工和泛周期，外延至消费、医药、软科技等领域</w:t>
      </w:r>
      <w:proofErr w:type="gramStart"/>
      <w:r w:rsidRPr="00BF051E">
        <w:rPr>
          <w:rFonts w:eastAsia="微软雅黑"/>
          <w:lang w:eastAsia="zh-CN"/>
        </w:rPr>
        <w:t>时优势</w:t>
      </w:r>
      <w:proofErr w:type="gramEnd"/>
      <w:r w:rsidRPr="00BF051E">
        <w:rPr>
          <w:rFonts w:eastAsia="微软雅黑"/>
          <w:lang w:eastAsia="zh-CN"/>
        </w:rPr>
        <w:t>不明显。</w:t>
      </w:r>
    </w:p>
    <w:p w14:paraId="5C1AAC9F" w14:textId="77777777" w:rsidR="00A6207F" w:rsidRPr="00BF051E" w:rsidRDefault="00000000" w:rsidP="00156E3A">
      <w:pPr>
        <w:spacing w:after="100"/>
        <w:jc w:val="both"/>
        <w:rPr>
          <w:rFonts w:eastAsia="微软雅黑"/>
          <w:lang w:eastAsia="zh-CN"/>
        </w:rPr>
      </w:pPr>
      <w:r w:rsidRPr="00BF051E">
        <w:rPr>
          <w:rFonts w:eastAsia="微软雅黑"/>
          <w:lang w:eastAsia="zh-CN"/>
        </w:rPr>
        <w:t xml:space="preserve">? </w:t>
      </w:r>
      <w:r w:rsidRPr="00BF051E">
        <w:rPr>
          <w:rFonts w:eastAsia="微软雅黑"/>
          <w:b/>
          <w:lang w:eastAsia="zh-CN"/>
        </w:rPr>
        <w:t>环境边界</w:t>
      </w:r>
      <w:r w:rsidRPr="00BF051E">
        <w:rPr>
          <w:rFonts w:eastAsia="微软雅黑"/>
          <w:lang w:eastAsia="zh-CN"/>
        </w:rPr>
        <w:t>：供需变化不明显、商品低波动、资金持续净流出或市场极端</w:t>
      </w:r>
      <w:proofErr w:type="gramStart"/>
      <w:r w:rsidRPr="00BF051E">
        <w:rPr>
          <w:rFonts w:eastAsia="微软雅黑"/>
          <w:lang w:eastAsia="zh-CN"/>
        </w:rPr>
        <w:t>偏好非</w:t>
      </w:r>
      <w:proofErr w:type="gramEnd"/>
      <w:r w:rsidRPr="00BF051E">
        <w:rPr>
          <w:rFonts w:eastAsia="微软雅黑"/>
          <w:lang w:eastAsia="zh-CN"/>
        </w:rPr>
        <w:t>周期风格时，策略胜率下降。</w:t>
      </w:r>
    </w:p>
    <w:p w14:paraId="065D3F1C" w14:textId="77777777" w:rsidR="00A6207F" w:rsidRPr="00BF051E" w:rsidRDefault="00000000" w:rsidP="00156E3A">
      <w:pPr>
        <w:spacing w:after="100"/>
        <w:jc w:val="both"/>
        <w:rPr>
          <w:rFonts w:eastAsia="微软雅黑"/>
          <w:lang w:eastAsia="zh-CN"/>
        </w:rPr>
      </w:pPr>
      <w:r w:rsidRPr="00BF051E">
        <w:rPr>
          <w:rFonts w:eastAsia="微软雅黑"/>
          <w:lang w:eastAsia="zh-CN"/>
        </w:rPr>
        <w:t xml:space="preserve">? </w:t>
      </w:r>
      <w:r w:rsidRPr="00BF051E">
        <w:rPr>
          <w:rFonts w:eastAsia="微软雅黑"/>
          <w:b/>
          <w:lang w:eastAsia="zh-CN"/>
        </w:rPr>
        <w:t>规模边界</w:t>
      </w:r>
      <w:r w:rsidRPr="00BF051E">
        <w:rPr>
          <w:rFonts w:eastAsia="微软雅黑"/>
          <w:lang w:eastAsia="zh-CN"/>
        </w:rPr>
        <w:t>：管理人曾提及股票主观多头合理规模控制在20-30亿元区间。考虑部分化工和周期标的流动性有限，规模扩张可能削弱建仓、</w:t>
      </w:r>
      <w:proofErr w:type="gramStart"/>
      <w:r w:rsidRPr="00BF051E">
        <w:rPr>
          <w:rFonts w:eastAsia="微软雅黑"/>
          <w:lang w:eastAsia="zh-CN"/>
        </w:rPr>
        <w:t>调仓和</w:t>
      </w:r>
      <w:proofErr w:type="gramEnd"/>
      <w:r w:rsidRPr="00BF051E">
        <w:rPr>
          <w:rFonts w:eastAsia="微软雅黑"/>
          <w:lang w:eastAsia="zh-CN"/>
        </w:rPr>
        <w:t>退出效率。</w:t>
      </w:r>
    </w:p>
    <w:p w14:paraId="424AC580" w14:textId="77777777" w:rsidR="00A6207F" w:rsidRPr="00BF051E" w:rsidRDefault="00000000" w:rsidP="00156E3A">
      <w:pPr>
        <w:spacing w:after="100"/>
        <w:jc w:val="both"/>
        <w:rPr>
          <w:rFonts w:eastAsia="微软雅黑"/>
          <w:lang w:eastAsia="zh-CN"/>
        </w:rPr>
      </w:pPr>
      <w:r w:rsidRPr="00BF051E">
        <w:rPr>
          <w:rFonts w:eastAsia="微软雅黑"/>
          <w:lang w:eastAsia="zh-CN"/>
        </w:rPr>
        <w:t xml:space="preserve">? </w:t>
      </w:r>
      <w:r w:rsidRPr="00BF051E">
        <w:rPr>
          <w:rFonts w:eastAsia="微软雅黑"/>
          <w:b/>
          <w:lang w:eastAsia="zh-CN"/>
        </w:rPr>
        <w:t>产品相关性边界</w:t>
      </w:r>
      <w:r w:rsidRPr="00BF051E">
        <w:rPr>
          <w:rFonts w:eastAsia="微软雅黑"/>
          <w:lang w:eastAsia="zh-CN"/>
        </w:rPr>
        <w:t>：锐进、锐远、</w:t>
      </w:r>
      <w:proofErr w:type="gramStart"/>
      <w:r w:rsidRPr="00BF051E">
        <w:rPr>
          <w:rFonts w:eastAsia="微软雅黑"/>
          <w:lang w:eastAsia="zh-CN"/>
        </w:rPr>
        <w:t>锐途底层</w:t>
      </w:r>
      <w:proofErr w:type="gramEnd"/>
      <w:r w:rsidRPr="00BF051E">
        <w:rPr>
          <w:rFonts w:eastAsia="微软雅黑"/>
          <w:lang w:eastAsia="zh-CN"/>
        </w:rPr>
        <w:t>逻辑一致，产品间相关性较高，不能替代多策略组合中的真正分散。</w:t>
      </w:r>
    </w:p>
    <w:p w14:paraId="49879F68" w14:textId="77777777" w:rsidR="00A6207F" w:rsidRPr="00BF051E" w:rsidRDefault="00000000" w:rsidP="00156E3A">
      <w:pPr>
        <w:spacing w:after="100"/>
        <w:jc w:val="both"/>
        <w:rPr>
          <w:rFonts w:eastAsia="微软雅黑"/>
          <w:lang w:eastAsia="zh-CN"/>
        </w:rPr>
      </w:pPr>
      <w:r w:rsidRPr="00BF051E">
        <w:rPr>
          <w:rFonts w:eastAsia="微软雅黑"/>
          <w:lang w:eastAsia="zh-CN"/>
        </w:rPr>
        <w:t xml:space="preserve">? </w:t>
      </w:r>
      <w:r w:rsidRPr="00BF051E">
        <w:rPr>
          <w:rFonts w:eastAsia="微软雅黑"/>
          <w:b/>
          <w:lang w:eastAsia="zh-CN"/>
        </w:rPr>
        <w:t>收益外推边界</w:t>
      </w:r>
      <w:r w:rsidRPr="00BF051E">
        <w:rPr>
          <w:rFonts w:eastAsia="微软雅黑"/>
          <w:lang w:eastAsia="zh-CN"/>
        </w:rPr>
        <w:t>：2025年较高收益中包含资源品上涨、反内卷预期和供需出清交易的环境红利，后续不能简单线性外推。</w:t>
      </w:r>
    </w:p>
    <w:p w14:paraId="72FB45CD"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6.3 跟踪指标</w:t>
      </w:r>
    </w:p>
    <w:p w14:paraId="2CB1AE54" w14:textId="77777777" w:rsidR="00A6207F" w:rsidRPr="00BF051E" w:rsidRDefault="00000000" w:rsidP="00156E3A">
      <w:pPr>
        <w:spacing w:after="100"/>
        <w:jc w:val="both"/>
        <w:rPr>
          <w:rFonts w:eastAsia="微软雅黑"/>
          <w:lang w:eastAsia="zh-CN"/>
        </w:rPr>
      </w:pPr>
      <w:r w:rsidRPr="00BF051E">
        <w:rPr>
          <w:rFonts w:eastAsia="微软雅黑"/>
          <w:lang w:eastAsia="zh-CN"/>
        </w:rPr>
        <w:t>配置时应重点跟踪六项指标：收益是否主要来自化工、资源和泛周期能力圈；月度观点是否落到具体价格、库存、产能和利润兑现；管理规模是否接近或突破20-30亿元合理容量；高弹性产品是否通过集中度、港股非通标的或收益互换放大尾部风险；周期不利环境中降仓、止损和复盘是否执行充分；2025年后的收益来源是否仍具可重复性，而非主要依赖单一环境红利。</w:t>
      </w:r>
    </w:p>
    <w:p w14:paraId="377992E0" w14:textId="77777777" w:rsidR="00A6207F" w:rsidRPr="00BF051E" w:rsidRDefault="00000000" w:rsidP="00156E3A">
      <w:pPr>
        <w:spacing w:after="100"/>
        <w:jc w:val="both"/>
        <w:rPr>
          <w:rFonts w:eastAsia="微软雅黑"/>
          <w:lang w:eastAsia="zh-CN"/>
        </w:rPr>
      </w:pPr>
      <w:r w:rsidRPr="00BF051E">
        <w:rPr>
          <w:rFonts w:eastAsia="微软雅黑"/>
          <w:b/>
          <w:lang w:eastAsia="zh-CN"/>
        </w:rPr>
        <w:t>从组合构建角度，庄贤更适合作为“周期弹性资产”而非“组合稳定器”。</w:t>
      </w:r>
      <w:r w:rsidRPr="00BF051E">
        <w:rPr>
          <w:rFonts w:eastAsia="微软雅黑"/>
          <w:lang w:eastAsia="zh-CN"/>
        </w:rPr>
        <w:t xml:space="preserve"> 其加入组合的主要目的，是在资源品重估、供给出清、政策修复和供应链扰动阶段提升收益弹性；不宜期待其在所有市场风格中持续提供稳定绝对收益。因此，配置比例应与投资人对周期环境的判断、整体权益</w:t>
      </w:r>
      <w:proofErr w:type="gramStart"/>
      <w:r w:rsidRPr="00BF051E">
        <w:rPr>
          <w:rFonts w:eastAsia="微软雅黑"/>
          <w:lang w:eastAsia="zh-CN"/>
        </w:rPr>
        <w:t>仓位</w:t>
      </w:r>
      <w:proofErr w:type="gramEnd"/>
      <w:r w:rsidRPr="00BF051E">
        <w:rPr>
          <w:rFonts w:eastAsia="微软雅黑"/>
          <w:lang w:eastAsia="zh-CN"/>
        </w:rPr>
        <w:t>和已有资源品暴露综合匹配。</w:t>
      </w:r>
    </w:p>
    <w:p w14:paraId="4E04645B" w14:textId="77777777" w:rsidR="00A6207F" w:rsidRPr="00BF051E" w:rsidRDefault="00000000" w:rsidP="00156E3A">
      <w:pPr>
        <w:spacing w:after="100"/>
        <w:jc w:val="both"/>
        <w:rPr>
          <w:rFonts w:eastAsia="微软雅黑"/>
          <w:lang w:eastAsia="zh-CN"/>
        </w:rPr>
      </w:pPr>
      <w:r w:rsidRPr="00BF051E">
        <w:rPr>
          <w:rFonts w:eastAsia="微软雅黑"/>
          <w:b/>
          <w:lang w:eastAsia="zh-CN"/>
        </w:rPr>
        <w:lastRenderedPageBreak/>
        <w:t>更审慎的使用方式是将庄贤作为条件型配置：当价格、库存、政策和资金环境至少有两到三个变量同时改善时，提高其配置权重；当市场交易额收缩、周期品价格信号减弱、持仓品种进入情绪化定价阶段时，应降低收益预期并关注回撤控制。</w:t>
      </w:r>
      <w:r w:rsidRPr="00BF051E">
        <w:rPr>
          <w:rFonts w:eastAsia="微软雅黑"/>
          <w:lang w:eastAsia="zh-CN"/>
        </w:rPr>
        <w:t xml:space="preserve"> 这种“按环境调节风险预算”的方式，比简单依据过往收益排名配置更符合该策略特征。</w:t>
      </w:r>
    </w:p>
    <w:p w14:paraId="198ACDC1" w14:textId="77777777" w:rsidR="00A6207F" w:rsidRPr="00BF051E" w:rsidRDefault="00000000" w:rsidP="00156E3A">
      <w:pPr>
        <w:pStyle w:val="1"/>
        <w:spacing w:after="100"/>
        <w:jc w:val="both"/>
        <w:rPr>
          <w:rFonts w:ascii="微软雅黑" w:eastAsia="微软雅黑" w:hAnsi="微软雅黑"/>
          <w:lang w:eastAsia="zh-CN"/>
        </w:rPr>
      </w:pPr>
      <w:r w:rsidRPr="00BF051E">
        <w:rPr>
          <w:rFonts w:ascii="微软雅黑" w:eastAsia="微软雅黑" w:hAnsi="微软雅黑"/>
          <w:b w:val="0"/>
          <w:lang w:eastAsia="zh-CN"/>
        </w:rPr>
        <w:t>七、投资总结</w:t>
      </w:r>
    </w:p>
    <w:p w14:paraId="7D041EA8"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7.1 综合判断</w:t>
      </w:r>
    </w:p>
    <w:p w14:paraId="2219000E" w14:textId="77777777" w:rsidR="00A6207F" w:rsidRPr="00BF051E" w:rsidRDefault="00000000" w:rsidP="00156E3A">
      <w:pPr>
        <w:spacing w:after="100"/>
        <w:jc w:val="both"/>
        <w:rPr>
          <w:rFonts w:eastAsia="微软雅黑"/>
          <w:lang w:eastAsia="zh-CN"/>
        </w:rPr>
      </w:pPr>
      <w:r w:rsidRPr="00BF051E">
        <w:rPr>
          <w:rFonts w:eastAsia="微软雅黑"/>
          <w:lang w:eastAsia="zh-CN"/>
        </w:rPr>
        <w:t>庄贤投资是一家风格清晰、能力边界明确的特色型主观股票管理人。其核心竞争力不在于“大周期”概念本身，而在于将化工产业链认知、供需数据验证、价格信号跟踪、事件响应和个股兑现判断结合起来。在供需扰动频繁、资源品重估、政策推动出清和供应链重构的环境中，庄贤具备较强进攻能力。</w:t>
      </w:r>
    </w:p>
    <w:p w14:paraId="3423D7A7" w14:textId="77777777" w:rsidR="00A6207F" w:rsidRPr="00BF051E" w:rsidRDefault="00000000" w:rsidP="00156E3A">
      <w:pPr>
        <w:spacing w:after="100"/>
        <w:jc w:val="both"/>
        <w:rPr>
          <w:rFonts w:eastAsia="微软雅黑"/>
          <w:lang w:eastAsia="zh-CN"/>
        </w:rPr>
      </w:pPr>
      <w:r w:rsidRPr="00BF051E">
        <w:rPr>
          <w:rFonts w:eastAsia="微软雅黑"/>
          <w:lang w:eastAsia="zh-CN"/>
        </w:rPr>
        <w:t>同时，庄贤</w:t>
      </w:r>
      <w:proofErr w:type="gramStart"/>
      <w:r w:rsidRPr="00BF051E">
        <w:rPr>
          <w:rFonts w:eastAsia="微软雅黑"/>
          <w:lang w:eastAsia="zh-CN"/>
        </w:rPr>
        <w:t>并非低</w:t>
      </w:r>
      <w:proofErr w:type="gramEnd"/>
      <w:r w:rsidRPr="00BF051E">
        <w:rPr>
          <w:rFonts w:eastAsia="微软雅黑"/>
          <w:lang w:eastAsia="zh-CN"/>
        </w:rPr>
        <w:t>波动、全天候或全市场均衡型管理人。锐进2号长期</w:t>
      </w:r>
      <w:proofErr w:type="gramStart"/>
      <w:r w:rsidRPr="00BF051E">
        <w:rPr>
          <w:rFonts w:eastAsia="微软雅黑"/>
          <w:lang w:eastAsia="zh-CN"/>
        </w:rPr>
        <w:t>年化收益</w:t>
      </w:r>
      <w:proofErr w:type="gramEnd"/>
      <w:r w:rsidRPr="00BF051E">
        <w:rPr>
          <w:rFonts w:eastAsia="微软雅黑"/>
          <w:lang w:eastAsia="zh-CN"/>
        </w:rPr>
        <w:t>较高，但最大回撤和修复耗时均显示出策略在不利环境下的方向性风险。锐远和</w:t>
      </w:r>
      <w:proofErr w:type="gramStart"/>
      <w:r w:rsidRPr="00BF051E">
        <w:rPr>
          <w:rFonts w:eastAsia="微软雅黑"/>
          <w:lang w:eastAsia="zh-CN"/>
        </w:rPr>
        <w:t>锐途</w:t>
      </w:r>
      <w:proofErr w:type="gramEnd"/>
      <w:r w:rsidRPr="00BF051E">
        <w:rPr>
          <w:rFonts w:eastAsia="微软雅黑"/>
          <w:lang w:eastAsia="zh-CN"/>
        </w:rPr>
        <w:t>分别通过提高弹性和降低</w:t>
      </w:r>
      <w:proofErr w:type="gramStart"/>
      <w:r w:rsidRPr="00BF051E">
        <w:rPr>
          <w:rFonts w:eastAsia="微软雅黑"/>
          <w:lang w:eastAsia="zh-CN"/>
        </w:rPr>
        <w:t>仓位</w:t>
      </w:r>
      <w:proofErr w:type="gramEnd"/>
      <w:r w:rsidRPr="00BF051E">
        <w:rPr>
          <w:rFonts w:eastAsia="微软雅黑"/>
          <w:lang w:eastAsia="zh-CN"/>
        </w:rPr>
        <w:t>形成不同产品体验，但未改变底层风险来源。机构投资者配置庄贤的关键，不是简单评价历史业绩是否亮眼，而是判断其收益来源是否与当前及未来一段时间的市场环境相匹配。</w:t>
      </w:r>
    </w:p>
    <w:p w14:paraId="5E14EED8" w14:textId="77777777" w:rsidR="00A6207F" w:rsidRPr="00BF051E" w:rsidRDefault="00000000" w:rsidP="00156E3A">
      <w:pPr>
        <w:spacing w:after="100"/>
        <w:jc w:val="both"/>
        <w:rPr>
          <w:rFonts w:eastAsia="微软雅黑"/>
          <w:lang w:eastAsia="zh-CN"/>
        </w:rPr>
      </w:pPr>
      <w:r w:rsidRPr="00BF051E">
        <w:rPr>
          <w:rFonts w:eastAsia="微软雅黑"/>
          <w:b/>
          <w:lang w:eastAsia="zh-CN"/>
        </w:rPr>
        <w:t>从组合配置角度，庄贤更适合作为周期/资源/化工方向的主动增强模块。适配资金应具备三项前提：能够接受阶段性较长回撤；认可供需错配和资源重估的中期配置价值；愿意将其作为组合中的专项风险预算，而非替代核心权益或绝对收益底仓。</w:t>
      </w:r>
    </w:p>
    <w:p w14:paraId="641BB1C1" w14:textId="77777777" w:rsidR="00A6207F" w:rsidRPr="00BF051E" w:rsidRDefault="00000000" w:rsidP="00156E3A">
      <w:pPr>
        <w:pStyle w:val="21"/>
        <w:spacing w:after="100"/>
        <w:jc w:val="both"/>
        <w:rPr>
          <w:rFonts w:ascii="微软雅黑" w:eastAsia="微软雅黑" w:hAnsi="微软雅黑"/>
          <w:lang w:eastAsia="zh-CN"/>
        </w:rPr>
      </w:pPr>
      <w:r w:rsidRPr="00BF051E">
        <w:rPr>
          <w:rFonts w:ascii="微软雅黑" w:eastAsia="微软雅黑" w:hAnsi="微软雅黑"/>
          <w:b w:val="0"/>
          <w:lang w:eastAsia="zh-CN"/>
        </w:rPr>
        <w:t>7.2 结论</w:t>
      </w:r>
    </w:p>
    <w:p w14:paraId="157F186D" w14:textId="77777777" w:rsidR="00A6207F" w:rsidRPr="00BF051E" w:rsidRDefault="00000000" w:rsidP="00156E3A">
      <w:pPr>
        <w:spacing w:after="100"/>
        <w:jc w:val="both"/>
        <w:rPr>
          <w:rFonts w:eastAsia="微软雅黑"/>
          <w:lang w:eastAsia="zh-CN"/>
        </w:rPr>
      </w:pPr>
      <w:r w:rsidRPr="00BF051E">
        <w:rPr>
          <w:rFonts w:eastAsia="微软雅黑"/>
          <w:b/>
          <w:lang w:eastAsia="zh-CN"/>
        </w:rPr>
        <w:t>综合而言，庄贤具备鲜明配置价值，但应以清晰的风险预算和环境判断为前提。</w:t>
      </w:r>
      <w:r w:rsidRPr="00BF051E">
        <w:rPr>
          <w:rFonts w:eastAsia="微软雅黑"/>
          <w:lang w:eastAsia="zh-CN"/>
        </w:rPr>
        <w:t xml:space="preserve"> 其优势在于产业链深度和供需错配捕捉能力，局限在于周期环境依赖、能力圈集中和产品底层暴露相关性较高。若作为组合中的特色增强策略使用，庄贤具备研究和配置价值；若投资目标是低回撤、均衡风格或全天候收益，则应谨慎控制配置比例。</w:t>
      </w:r>
    </w:p>
    <w:p w14:paraId="47D8C2DF" w14:textId="77777777" w:rsidR="00A6207F" w:rsidRPr="00BF051E" w:rsidRDefault="00000000" w:rsidP="00156E3A">
      <w:pPr>
        <w:spacing w:after="100"/>
        <w:jc w:val="both"/>
        <w:rPr>
          <w:rFonts w:eastAsia="微软雅黑"/>
        </w:rPr>
      </w:pPr>
      <w:r w:rsidRPr="00BF051E">
        <w:rPr>
          <w:rFonts w:eastAsia="微软雅黑"/>
          <w:lang w:eastAsia="zh-CN"/>
        </w:rPr>
        <w:t>*本文仅基于已提供资料进行分析，不构成投资建议。过往业绩不代表未来表现。</w:t>
      </w:r>
      <w:r w:rsidRPr="00BF051E">
        <w:rPr>
          <w:rFonts w:eastAsia="微软雅黑"/>
        </w:rPr>
        <w:t>*</w:t>
      </w:r>
    </w:p>
    <w:sectPr w:rsidR="00A6207F" w:rsidRPr="00BF051E"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1225817">
    <w:abstractNumId w:val="8"/>
  </w:num>
  <w:num w:numId="2" w16cid:durableId="1418018893">
    <w:abstractNumId w:val="6"/>
  </w:num>
  <w:num w:numId="3" w16cid:durableId="987827342">
    <w:abstractNumId w:val="5"/>
  </w:num>
  <w:num w:numId="4" w16cid:durableId="1064834765">
    <w:abstractNumId w:val="4"/>
  </w:num>
  <w:num w:numId="5" w16cid:durableId="1086540719">
    <w:abstractNumId w:val="7"/>
  </w:num>
  <w:num w:numId="6" w16cid:durableId="397049126">
    <w:abstractNumId w:val="3"/>
  </w:num>
  <w:num w:numId="7" w16cid:durableId="967973420">
    <w:abstractNumId w:val="2"/>
  </w:num>
  <w:num w:numId="8" w16cid:durableId="1191727953">
    <w:abstractNumId w:val="1"/>
  </w:num>
  <w:num w:numId="9" w16cid:durableId="35639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E3A"/>
    <w:rsid w:val="0029639D"/>
    <w:rsid w:val="00302758"/>
    <w:rsid w:val="00326F90"/>
    <w:rsid w:val="0056575F"/>
    <w:rsid w:val="00A6207F"/>
    <w:rsid w:val="00AA1D8D"/>
    <w:rsid w:val="00B47730"/>
    <w:rsid w:val="00BF051E"/>
    <w:rsid w:val="00CA3B1D"/>
    <w:rsid w:val="00CB0664"/>
    <w:rsid w:val="00E92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CC512"/>
  <w14:defaultImageDpi w14:val="300"/>
  <w15:docId w15:val="{2F792460-2CA2-43AB-84CC-B57309D01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Cyy</cp:lastModifiedBy>
  <cp:revision>6</cp:revision>
  <dcterms:created xsi:type="dcterms:W3CDTF">2013-12-23T23:15:00Z</dcterms:created>
  <dcterms:modified xsi:type="dcterms:W3CDTF">2026-05-22T03:03:00Z</dcterms:modified>
  <cp:category/>
</cp:coreProperties>
</file>