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240" w:line="240" w:lineRule="auto"/>
        <w:ind w:firstLine="20"/>
        <w:jc w:val="both"/>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after="120" w:before="240" w:line="240" w:lineRule="auto"/>
        <w:ind w:firstLine="20"/>
        <w:jc w:val="both"/>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after="120" w:before="240" w:line="240" w:lineRule="auto"/>
        <w:ind w:firstLine="20"/>
        <w:jc w:val="both"/>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after="120" w:before="240" w:line="240" w:lineRule="auto"/>
        <w:ind w:firstLine="20"/>
        <w:jc w:val="both"/>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after="120" w:before="240" w:line="240" w:lineRule="auto"/>
        <w:ind w:firstLine="20"/>
        <w:jc w:val="both"/>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widowControl w:val="0"/>
        <w:numPr>
          <w:ilvl w:val="0"/>
          <w:numId w:val="2"/>
        </w:numPr>
        <w:spacing w:after="120" w:before="240" w:line="240" w:lineRule="auto"/>
        <w:ind w:firstLine="20"/>
        <w:jc w:val="both"/>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widowControl w:val="0"/>
        <w:spacing w:after="120" w:before="240" w:line="240" w:lineRule="auto"/>
        <w:ind w:firstLine="20"/>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widowControl w:val="0"/>
        <w:spacing w:after="120" w:before="240" w:line="240" w:lineRule="auto"/>
        <w:ind w:firstLine="20"/>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widowControl w:val="0"/>
        <w:spacing w:after="120" w:before="240" w:line="240" w:lineRule="auto"/>
        <w:ind w:firstLine="20"/>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widowControl w:val="0"/>
        <w:spacing w:after="120" w:before="240" w:line="240" w:lineRule="auto"/>
        <w:ind w:firstLine="20"/>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widowControl w:val="0"/>
        <w:spacing w:after="120" w:before="240" w:line="240" w:lineRule="auto"/>
        <w:ind w:firstLine="20"/>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widowControl w:val="0"/>
        <w:spacing w:after="120" w:before="240" w:line="240" w:lineRule="auto"/>
        <w:ind w:firstLine="20"/>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widowControl w:val="0"/>
        <w:spacing w:after="120" w:before="240" w:line="240" w:lineRule="auto"/>
        <w:ind w:firstLine="20"/>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widowControl w:val="0"/>
        <w:spacing w:after="120" w:before="240" w:line="240" w:lineRule="auto"/>
        <w:ind w:firstLine="20"/>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widowControl w:val="0"/>
        <w:spacing w:after="120" w:before="240" w:line="240" w:lineRule="auto"/>
        <w:ind w:firstLine="20"/>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widowControl w:val="0"/>
        <w:spacing w:after="120" w:before="240" w:line="240" w:lineRule="auto"/>
        <w:ind w:firstLine="20"/>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widowControl w:val="0"/>
        <w:spacing w:after="120" w:before="240" w:line="240" w:lineRule="auto"/>
        <w:ind w:firstLine="20"/>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widowControl w:val="0"/>
        <w:spacing w:after="120" w:before="240" w:line="240" w:lineRule="auto"/>
        <w:ind w:firstLine="20"/>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widowControl w:val="0"/>
        <w:spacing w:after="120" w:before="240" w:line="240" w:lineRule="auto"/>
        <w:ind w:firstLine="20"/>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widowControl w:val="0"/>
        <w:spacing w:after="120" w:before="240" w:line="240" w:lineRule="auto"/>
        <w:ind w:firstLine="20"/>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widowControl w:val="0"/>
        <w:numPr>
          <w:ilvl w:val="0"/>
          <w:numId w:val="2"/>
        </w:numPr>
        <w:spacing w:after="120" w:before="240" w:line="240" w:lineRule="auto"/>
        <w:ind w:firstLine="20"/>
        <w:jc w:val="both"/>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120" w:before="240" w:line="240" w:lineRule="auto"/>
        <w:ind w:firstLine="20"/>
        <w:jc w:val="both"/>
        <w:rPr/>
      </w:pPr>
      <w:r>
        <w:rPr>
          <w:b w:val="1"/>
          <w:bCs w:val="1"/>
          <w:highlight w:val="yellow"/>
          <w:rtl w:val="0"/>
        </w:rPr>
        <w:t>Implementation. During this iteration, the researchers implemented the baseline system as a Flask-based web application. The implementation integrated the multilingual symptom dictionary, semantic matching component (pre-trained multilingual sentence embeddings with cosine-anchor matching and a fine-tuned 13-label classification head),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120" w:before="240" w:line="240" w:lineRule="auto"/>
        <w:ind w:firstLine="20"/>
        <w:jc w:val="both"/>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120" w:before="240" w:line="240" w:lineRule="auto"/>
        <w:ind w:firstLine="20"/>
        <w:jc w:val="both"/>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
        <w:drawing>
          <wp:inline>
            <wp:extent cx="6120000" cy="1108439"/>
            <wp:docPr id="9" name="Picture 9"/>
            <wp:cNvGraphicFramePr>
              <a:graphicFrameLocks noChangeAspect="1"/>
            </wp:cNvGraphicFramePr>
            <a:graphic>
              <a:graphicData uri="http://schemas.openxmlformats.org/drawingml/2006/picture">
                <pic:pic>
                  <pic:nvPicPr>
                    <pic:cNvPr id="0" name="fig8_pipeline.png"/>
                    <pic:cNvPicPr/>
                  </pic:nvPicPr>
                  <pic:blipFill>
                    <a:blip r:embed="rId108"/>
                    <a:stretch>
                      <a:fillRect/>
                    </a:stretch>
                  </pic:blipFill>
                  <pic:spPr>
                    <a:xfrm>
                      <a:off x="0" y="0"/>
                      <a:ext cx="6120000" cy="1108439"/>
                    </a:xfrm>
                    <a:prstGeom prst="rect"/>
                  </pic:spPr>
                </pic:pic>
              </a:graphicData>
            </a:graphic>
          </wp:inline>
        </w:drawing>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Figure 8: Mendo v3.0 five-stage processing pipeline (S0–S4). The semantic stage fires only when the dictionary returns nothing; every probabilistic suggestion still passes the lexical guards and safety filters of Stage 3 before the deterministic recommendation stage.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Pr>
          <w:highlight w:val="yellow"/>
        </w:rPr>
        <w:t xml:space="preserve">The primary extraction stage uses a curated multilingual symptom dictionary containing 587 phrases across 14 clinical labels — the 13 semantic detection labels plus TOOTHACHE —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highlight w:val="yellow"/>
              </w:rPr>
              <w:t xml:space="preserve">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highlight w:val="yellow"/>
              </w:rPr>
              <w:t xml:space="preserve">105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highlight w:val="yellow"/>
              </w:rPr>
              <w:t xml:space="preserve">64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highlight w:val="yellow"/>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highlight w:val="yellow"/>
              </w:rPr>
              <w:t xml:space="preserve">74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highlight w:val="yellow"/>
              </w:rPr>
              <w:t xml:space="preserve">37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highlight w:val="yellow"/>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highlight w:val="yellow"/>
              </w:rPr>
              <w:t xml:space="preserve">29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highlight w:val="yellow"/>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highlight w:val="yellow"/>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highlight w:val="yellow"/>
              </w:rPr>
              <w:t xml:space="preserve">44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highlight w:val="yellow"/>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highlight w:val="yellow"/>
              </w:rPr>
              <w:t xml:space="preserve">25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r>
        <w:tc>
          <w:tcPr>
            <w:tcW w:type="dxa" w:w="2745"/>
          </w:tcPr>
          <w:p>
            <w:r>
              <w:rPr>
                <w:highlight w:val="yellow"/>
              </w:rPr>
              <w:t xml:space="preserve">TOOTHACHE</w:t>
            </w:r>
          </w:p>
        </w:tc>
        <w:tc>
          <w:tcPr>
            <w:tcW w:type="dxa" w:w="1860"/>
          </w:tcPr>
          <w:p>
            <w:r>
              <w:rPr>
                <w:highlight w:val="yellow"/>
              </w:rPr>
              <w:t xml:space="preserve">53</w:t>
            </w:r>
          </w:p>
        </w:tc>
        <w:tc>
          <w:tcPr>
            <w:tcW w:type="dxa" w:w="1995"/>
          </w:tcPr>
          <w:p>
            <w:r>
              <w:rPr>
                <w:highlight w:val="yellow"/>
              </w:rPr>
              <w:t xml:space="preserve">Tag/Bis/Eng</w:t>
            </w:r>
          </w:p>
        </w:tc>
        <w:tc>
          <w:tcPr>
            <w:tcW w:type="dxa" w:w="2445"/>
          </w:tcPr>
          <w:p>
            <w:r>
              <w:rPr>
                <w:highlight w:val="yellow"/>
              </w:rPr>
              <w:t xml:space="preserve">“sakit ngipin”, “ngilo”, “toothache”</w:t>
            </w:r>
          </w:p>
        </w:tc>
      </w:tr>
    </w:tbl>
    <w:p w:rsidR="00000000" w:rsidDel="00000000" w:rsidP="00000000" w:rsidRDefault="00000000" w:rsidRPr="00000000" w14:paraId="00000129">
      <w:pPr>
        <w:widowControl w:val="0"/>
        <w:spacing w:after="120" w:before="240" w:line="240" w:lineRule="auto"/>
        <w:ind w:firstLine="20"/>
        <w:jc w:val="both"/>
        <w:rPr/>
      </w:pPr>
      <w:r>
        <w:rPr>
          <w:highlight w:val="yellow"/>
        </w:rPr>
        <w:t xml:space="preserve">Table 5: Symptom Dictionary — 587 phrases across 14 labels</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Dictionary expansion (August 2026 revision). The dictionary grew from 570 to 587 phrases. Twelve of the new entries target common colloquial surface forms that previously fell through to the semantic stage or were missed outright: the Visayan fever family kalintura (kalintura, may kalintura, naa koy kalintura), the body-heat term panuhot (panuhot, panuhoton, napanuhot, ga panuhot), the runny-nose variant sip un, and stomach-complaint expressions built on guol (guol akong tiyan, guol ang akong tiyan, guol ang tiyan ko, guol sa tiyan). The common Tagalog fever word sinat is pinned deterministically in the FEVER dictionary with matching negation and lexical-guard keywords, so it is no longer subject to semantic scoring.</w:t>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highlight w:val="yellow"/>
        </w:rPr>
        <w:t xml:space="preserve">Negation Handling. Patients frequently mention symptoms they do not have alongside those they do (e.g., “masakit ang ulo ko pero walang lagnat” — “my head hurts but I don't have a fever”). Negation is processed by a scope-aware token walker instead of a fixed word window: a negation marker opens a scope that accumulates across coordinate connectors (ug, og, at, and, or, kay, tsaka, sabay) so that one marker can negate a whole joined list (“wala koy ubo ug sipon” negates both), and the scope closes at a contrastive or reason boundary (pero, but, apan, dahil, may, naa, meron). Every symptom keyword consumed inside the open scope is negated, with three conservative exceptions: a closer symptom keyword interrupts the chain (the nearer mention absorbs the negation); a trap verb (mawala, hunong, tigil) turns the mention positive, so “dili mawala akong ubo” still detects the cough; and a wellness predicate (normal, okay, walay problema) appearing before any symptom absorbs the negation, so “dili normal akong pagkalibang” still detects the diarrhea. Fused negative assertions such as “wala may mogawas” are parsed as a single negative construction and never open a positive clause. Every label negated here is recorded so that the fuzzy rescue pass can never resurrect it.</w:t>
      </w:r>
    </w:p>
    <w:p>
      <w:pPr>
        <w:shd w:val="clear" w:color="auto" w:fill="FFF2CC"/>
        <w:tabs>
          <w:tab w:val="center" w:pos="4680"/>
          <w:tab w:val="right" w:pos="9360"/>
        </w:tabs>
      </w:pPr>
      <w:r>
        <w:tab/>
      </w:r>
      <m:oMath>
        <m:r>
          <m:rPr>
            <m:sty m:val="p"/>
          </m:rPr>
          <m:t>neg</m:t>
        </m:r>
        <m:r>
          <m:t>(</m:t>
        </m:r>
        <m:sSub>
          <m:e>
            <m:r>
              <m:t>w</m:t>
            </m:r>
          </m:e>
          <m:sub>
            <m:r>
              <m:t>k</m:t>
            </m:r>
          </m:sub>
        </m:sSub>
        <m:r>
          <m:t>)⟺∃</m:t>
        </m:r>
        <m:r>
          <m:t>m&lt;k:</m:t>
        </m:r>
        <m:sSub>
          <m:e>
            <m:r>
              <m:t>w</m:t>
            </m:r>
          </m:e>
          <m:sub>
            <m:r>
              <m:t>m</m:t>
            </m:r>
          </m:sub>
        </m:sSub>
        <m:r>
          <m:t>∈N</m:t>
        </m:r>
        <m:r>
          <m:t>∧</m:t>
        </m:r>
        <m:r>
          <m:t>B(m,k)=∅</m:t>
        </m:r>
        <m:r>
          <m:t>∧</m:t>
        </m:r>
        <m:d>
          <m:dPr>
            <m:sepChr m:val=""/>
          </m:dPr>
          <m:e>
            <m:r>
              <m:t>S</m:t>
            </m:r>
            <m:r>
              <m:t>(</m:t>
            </m:r>
            <m:r>
              <m:t>m</m:t>
            </m:r>
            <m:r>
              <m:t>,</m:t>
            </m:r>
            <m:r>
              <m:t>k</m:t>
            </m:r>
            <m:r>
              <m:t>)</m:t>
            </m:r>
            <m:r>
              <m:t>=</m:t>
            </m:r>
            <m:r>
              <m:t>∅</m:t>
            </m:r>
            <m:r>
              <m:t>∨</m:t>
            </m:r>
            <m:r>
              <m:t>S</m:t>
            </m:r>
            <m:r>
              <m:t>(</m:t>
            </m:r>
            <m:r>
              <m:t>m</m:t>
            </m:r>
            <m:r>
              <m:t>,</m:t>
            </m:r>
            <m:r>
              <m:t>k</m:t>
            </m:r>
            <m:r>
              <m:t>)</m:t>
            </m:r>
            <m:r>
              <m:rPr>
                <m:nor/>
              </m:rPr>
              <m:t> joined by </m:t>
            </m:r>
            <m:r>
              <m:t>C</m:t>
            </m:r>
          </m:e>
        </m:d>
      </m:oMath>
      <w:r>
        <w:tab/>
        <w:t>(11)</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where N is the set of negation markers, B the scope-end boundaries, S the symptom keywords, and C the coordinate joiners. Two vetoes keep the rule conservative: a trap verb (mawala, hunong, tigil) inside the scope turns the mention positive (“dili mawala akong ubo” still detects the cough), and a wellness predicate (normal, okay ra, walay problema) appearing before the first symptom keyword absorbs the negation (“dili normal akong pagkalibang” still detects the diarrhea). Fused negative assertions such as “wala may mogawas” are parsed as a single negative construction and never open a positive clause. Worked example: “wala koy gibati na sakit akong tiyan kay okay ra ug sakit sa ulo, pero gi ubo ko” — the scope opened by wala accumulates over ug and kay (negating both tiyan and ulo), closes at pero, and the cough is the only positive detection.</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Formally, with tokens w₁…wₙ, a symptom keyword wₖ is negated if a negation marker m &lt; k opens a scope that reaches wₖ without a contrastive boundary, and every intervening symptom keyword is linked to wₖ by a coordinate joiner: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highlight w:val="yellow"/>
        </w:rPr>
        <w:t xml:space="preserve">Fuzzy Rescue Mechanism. After dictionary matching and negation processing, a generic fuzzy rescue pass recovers misspelled symptom mentions: each input token is compared against a table of 18 canonical English anchors using bounded Levenshtein distance with per-anchor edit caps (Table 6). The rescue is deliberately conservative. Anchors are English-only spellings because common Filipino and Bisaya words sit within 1–2 edits of the native anchors (“isang” ~ “ilong”, “simula” ~ “sikmura”) and would destroy precision; exact-match local synonyms live in the dictionary instead. Candidate tokens must be alphabetic, at least four characters long, and within two characters of the anchor's length. Tokens that are real dictionary words, negation markers, scope words, or genuine near-miss non-symptom words (ever, never, that, though, tough, couch, enough, …) are never candidates. A misspelled token inside a negation window is recorded as negated rather than detected — “wala koy hedache” fires nothing, while “hedache” alone rescues HEADACHE. Representative rescues include hedache→HEADACHE, totache→TOOTHACHE, couhg→COUGH_GENERAL, diahrea→DIARRHEA, and stomakache→STOMACH_ACHE.</w:t>
      </w:r>
    </w:p>
    <w:p>
      <w:pPr>
        <w:shd w:val="clear" w:color="auto" w:fill="FFF2CC"/>
        <w:tabs>
          <w:tab w:val="center" w:pos="4680"/>
          <w:tab w:val="right" w:pos="9360"/>
        </w:tabs>
      </w:pPr>
      <w:r>
        <w:tab/>
      </w:r>
      <m:oMath>
        <m:r>
          <m:t>d(i,j)</m:t>
        </m:r>
        <m:r>
          <m:t>=</m:t>
        </m:r>
        <m:r>
          <m:t>min</m:t>
        </m:r>
        <m:d>
          <m:dPr>
            <m:begChr m:val="{"/>
            <m:sepChr m:val=""/>
            <m:endChr m:val="}"/>
          </m:dPr>
          <m:e>
            <m:r>
              <m:t>d</m:t>
            </m:r>
            <m:r>
              <m:t>(</m:t>
            </m:r>
            <m:r>
              <m:t>i</m:t>
            </m:r>
            <m:r>
              <m:t>−</m:t>
            </m:r>
            <m:r>
              <m:t>1</m:t>
            </m:r>
            <m:r>
              <m:t>,</m:t>
            </m:r>
            <m:r>
              <m:t>j</m:t>
            </m:r>
            <m:r>
              <m:t>)</m:t>
            </m:r>
            <m:r>
              <m:t>+</m:t>
            </m:r>
            <m:r>
              <m:t>1</m:t>
            </m:r>
            <m:r>
              <m:t>,</m:t>
            </m:r>
            <m:r>
              <m:t>d</m:t>
            </m:r>
            <m:r>
              <m:t>(</m:t>
            </m:r>
            <m:r>
              <m:t>i</m:t>
            </m:r>
            <m:r>
              <m:t>,</m:t>
            </m:r>
            <m:r>
              <m:t>j</m:t>
            </m:r>
            <m:r>
              <m:t>−</m:t>
            </m:r>
            <m:r>
              <m:t>1</m:t>
            </m:r>
            <m:r>
              <m:t>)</m:t>
            </m:r>
            <m:r>
              <m:t>+</m:t>
            </m:r>
            <m:r>
              <m:t>1</m:t>
            </m:r>
            <m:r>
              <m:t>,</m:t>
            </m:r>
            <m:r>
              <m:t>d</m:t>
            </m:r>
            <m:r>
              <m:t>(</m:t>
            </m:r>
            <m:r>
              <m:t>i</m:t>
            </m:r>
            <m:r>
              <m:t>−</m:t>
            </m:r>
            <m:r>
              <m:t>1</m:t>
            </m:r>
            <m:r>
              <m:t>,</m:t>
            </m:r>
            <m:r>
              <m:t>j</m:t>
            </m:r>
            <m:r>
              <m:t>−</m:t>
            </m:r>
            <m:r>
              <m:t>1</m:t>
            </m:r>
            <m:r>
              <m:t>)</m:t>
            </m:r>
            <m:r>
              <m:t>+</m:t>
            </m:r>
            <m:r>
              <m:rPr>
                <m:sty m:val="b"/>
              </m:rPr>
              <m:t>1</m:t>
            </m:r>
            <m:d>
              <m:dPr>
                <m:begChr m:val="["/>
                <m:sepChr m:val="≠"/>
                <m:endChr m:val="]"/>
              </m:dPr>
              <m:e>
                <m:sSub>
                  <m:e>
                    <m:r>
                      <m:t>t</m:t>
                    </m:r>
                  </m:e>
                  <m:sub>
                    <m:r>
                      <m:t>i</m:t>
                    </m:r>
                  </m:sub>
                </m:sSub>
              </m:e>
              <m:e>
                <m:sSub>
                  <m:e>
                    <m:r>
                      <m:t>a</m:t>
                    </m:r>
                  </m:e>
                  <m:sub>
                    <m:r>
                      <m:t>j</m:t>
                    </m:r>
                  </m:sub>
                </m:sSub>
              </m:e>
            </m:d>
          </m:e>
        </m:d>
        <m:r>
          <m:t>,</m:t>
        </m:r>
        <m:r>
          <m:t>d(i,0)=i,</m:t>
        </m:r>
        <m:r>
          <m:rPr>
            <m:sty m:val="p"/>
          </m:rPr>
          <m:t> </m:t>
        </m:r>
        <m:r>
          <m:t>d(0,j)=j</m:t>
        </m:r>
      </m:oMath>
      <w:r>
        <w:tab/>
        <w:t>(12)</w:t>
      </w:r>
    </w:p>
    <w:p>
      <w:pPr>
        <w:shd w:val="clear" w:color="auto" w:fill="FFF2CC"/>
        <w:tabs>
          <w:tab w:val="center" w:pos="4680"/>
          <w:tab w:val="right" w:pos="9360"/>
        </w:tabs>
      </w:pPr>
      <w:r>
        <w:tab/>
      </w:r>
      <m:oMath>
        <m:r>
          <m:t>t↦L(a)⟺∃</m:t>
        </m:r>
        <m:r>
          <m:t>(a,L,</m:t>
        </m:r>
        <m:sSub>
          <m:e>
            <m:r>
              <m:t>δ</m:t>
            </m:r>
          </m:e>
          <m:sub>
            <m:r>
              <m:t>a</m:t>
            </m:r>
          </m:sub>
        </m:sSub>
        <m:r>
          <m:t>)∈𝒜:</m:t>
        </m:r>
        <m:r>
          <m:rPr>
            <m:sty m:val="p"/>
          </m:rPr>
          <m:t>lev</m:t>
        </m:r>
        <m:r>
          <m:t>(t,a)≤</m:t>
        </m:r>
        <m:sSub>
          <m:e>
            <m:r>
              <m:t>δ</m:t>
            </m:r>
          </m:e>
          <m:sub>
            <m:r>
              <m:t>a</m:t>
            </m:r>
          </m:sub>
        </m:sSub>
        <m:r>
          <m:t>∧</m:t>
        </m:r>
        <m:r>
          <m:t>|</m:t>
        </m:r>
        <m:r>
          <m:t>|t|−|a|</m:t>
        </m:r>
        <m:r>
          <m:t>|≤2</m:t>
        </m:r>
        <m:r>
          <m:t>∧</m:t>
        </m:r>
        <m:r>
          <m:t>|t|≥4</m:t>
        </m:r>
        <m:r>
          <m:t>∧</m:t>
        </m:r>
        <m:r>
          <m:t>t∉D∪E∪N∪B</m:t>
        </m:r>
      </m:oMath>
      <w:r>
        <w:tab/>
        <w:t>(13)</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where δₐ is the per-anchor edit cap, D the set of dictionary tokens, E the near-miss exclusion set, N the negation markers, and B the scope words.</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A token t is mapped to the label of anchor a iff:</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The rescue relies on two formal rules. The Levenshtein distance recursion: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i w:val="1"/>
          <w:iCs w:val="1"/>
          <w:highlight w:val="white"/>
          <w:rtl w:val="0"/>
        </w:rPr>
        <w:t xml:space="preserve">Table 6: Fuzzy Typo Rescue — Canonical English Anchor Table</w:t>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
      <w:tr>
        <w:tc>
          <w:tcPr>
            <w:tcW w:type="dxa" w:w="3000"/>
          </w:tcPr>
          <w:p>
            <w:r>
              <w:rPr>
                <w:highlight w:val="yellow"/>
              </w:rPr>
              <w:t xml:space="preserve">Anchor</w:t>
            </w:r>
          </w:p>
        </w:tc>
        <w:tc>
          <w:tcPr>
            <w:tcW w:type="dxa" w:w="3000"/>
          </w:tcPr>
          <w:p>
            <w:r>
              <w:rPr>
                <w:highlight w:val="yellow"/>
              </w:rPr>
              <w:t xml:space="preserve">Symptom Label</w:t>
            </w:r>
          </w:p>
        </w:tc>
        <w:tc>
          <w:tcPr>
            <w:tcW w:type="dxa" w:w="3000"/>
          </w:tcPr>
          <w:p>
            <w:r>
              <w:rPr>
                <w:highlight w:val="yellow"/>
              </w:rPr>
              <w:t xml:space="preserve">Max Edits (δ)</w:t>
            </w:r>
          </w:p>
        </w:tc>
      </w:tr>
      <w:tr>
        <w:tc>
          <w:tcPr>
            <w:tcW w:type="dxa" w:w="3000"/>
          </w:tcPr>
          <w:p>
            <w:r>
              <w:rPr>
                <w:highlight w:val="yellow"/>
              </w:rPr>
              <w:t xml:space="preserve">headache</w:t>
            </w:r>
          </w:p>
        </w:tc>
        <w:tc>
          <w:tcPr>
            <w:tcW w:type="dxa" w:w="3000"/>
          </w:tcPr>
          <w:p>
            <w:r>
              <w:rPr>
                <w:highlight w:val="yellow"/>
              </w:rPr>
              <w:t xml:space="preserve">HEADACHE</w:t>
            </w:r>
          </w:p>
        </w:tc>
        <w:tc>
          <w:tcPr>
            <w:tcW w:type="dxa" w:w="3000"/>
          </w:tcPr>
          <w:p>
            <w:r>
              <w:rPr>
                <w:highlight w:val="yellow"/>
              </w:rPr>
              <w:t xml:space="preserve">2</w:t>
            </w:r>
          </w:p>
        </w:tc>
      </w:tr>
      <w:tr>
        <w:tc>
          <w:tcPr>
            <w:tcW w:type="dxa" w:w="3000"/>
          </w:tcPr>
          <w:p>
            <w:r>
              <w:rPr>
                <w:highlight w:val="yellow"/>
              </w:rPr>
              <w:t xml:space="preserve">toothache</w:t>
            </w:r>
          </w:p>
        </w:tc>
        <w:tc>
          <w:tcPr>
            <w:tcW w:type="dxa" w:w="3000"/>
          </w:tcPr>
          <w:p>
            <w:r>
              <w:rPr>
                <w:highlight w:val="yellow"/>
              </w:rPr>
              <w:t xml:space="preserve">TOOTHACHE</w:t>
            </w:r>
          </w:p>
        </w:tc>
        <w:tc>
          <w:tcPr>
            <w:tcW w:type="dxa" w:w="3000"/>
          </w:tcPr>
          <w:p>
            <w:r>
              <w:rPr>
                <w:highlight w:val="yellow"/>
              </w:rPr>
              <w:t xml:space="preserve">2</w:t>
            </w:r>
          </w:p>
        </w:tc>
      </w:tr>
      <w:tr>
        <w:tc>
          <w:tcPr>
            <w:tcW w:type="dxa" w:w="3000"/>
          </w:tcPr>
          <w:p>
            <w:r>
              <w:rPr>
                <w:highlight w:val="yellow"/>
              </w:rPr>
              <w:t xml:space="preserve">stomachache</w:t>
            </w:r>
          </w:p>
        </w:tc>
        <w:tc>
          <w:tcPr>
            <w:tcW w:type="dxa" w:w="3000"/>
          </w:tcPr>
          <w:p>
            <w:r>
              <w:rPr>
                <w:highlight w:val="yellow"/>
              </w:rPr>
              <w:t xml:space="preserve">STOMACH_ACHE</w:t>
            </w:r>
          </w:p>
        </w:tc>
        <w:tc>
          <w:tcPr>
            <w:tcW w:type="dxa" w:w="3000"/>
          </w:tcPr>
          <w:p>
            <w:r>
              <w:rPr>
                <w:highlight w:val="yellow"/>
              </w:rPr>
              <w:t xml:space="preserve">2</w:t>
            </w:r>
          </w:p>
        </w:tc>
      </w:tr>
      <w:tr>
        <w:tc>
          <w:tcPr>
            <w:tcW w:type="dxa" w:w="3000"/>
          </w:tcPr>
          <w:p>
            <w:r>
              <w:rPr>
                <w:highlight w:val="yellow"/>
              </w:rPr>
              <w:t xml:space="preserve">stomach</w:t>
            </w:r>
          </w:p>
        </w:tc>
        <w:tc>
          <w:tcPr>
            <w:tcW w:type="dxa" w:w="3000"/>
          </w:tcPr>
          <w:p>
            <w:r>
              <w:rPr>
                <w:highlight w:val="yellow"/>
              </w:rPr>
              <w:t xml:space="preserve">STOMACH_ACHE</w:t>
            </w:r>
          </w:p>
        </w:tc>
        <w:tc>
          <w:tcPr>
            <w:tcW w:type="dxa" w:w="3000"/>
          </w:tcPr>
          <w:p>
            <w:r>
              <w:rPr>
                <w:highlight w:val="yellow"/>
              </w:rPr>
              <w:t xml:space="preserve">2</w:t>
            </w:r>
          </w:p>
        </w:tc>
      </w:tr>
      <w:tr>
        <w:tc>
          <w:tcPr>
            <w:tcW w:type="dxa" w:w="3000"/>
          </w:tcPr>
          <w:p>
            <w:r>
              <w:rPr>
                <w:highlight w:val="yellow"/>
              </w:rPr>
              <w:t xml:space="preserve">tummy</w:t>
            </w:r>
          </w:p>
        </w:tc>
        <w:tc>
          <w:tcPr>
            <w:tcW w:type="dxa" w:w="3000"/>
          </w:tcPr>
          <w:p>
            <w:r>
              <w:rPr>
                <w:highlight w:val="yellow"/>
              </w:rPr>
              <w:t xml:space="preserve">STOMACH_ACHE</w:t>
            </w:r>
          </w:p>
        </w:tc>
        <w:tc>
          <w:tcPr>
            <w:tcW w:type="dxa" w:w="3000"/>
          </w:tcPr>
          <w:p>
            <w:r>
              <w:rPr>
                <w:highlight w:val="yellow"/>
              </w:rPr>
              <w:t xml:space="preserve">1</w:t>
            </w:r>
          </w:p>
        </w:tc>
      </w:tr>
      <w:tr>
        <w:tc>
          <w:tcPr>
            <w:tcW w:type="dxa" w:w="3000"/>
          </w:tcPr>
          <w:p>
            <w:r>
              <w:rPr>
                <w:highlight w:val="yellow"/>
              </w:rPr>
              <w:t xml:space="preserve">diarrhea</w:t>
            </w:r>
          </w:p>
        </w:tc>
        <w:tc>
          <w:tcPr>
            <w:tcW w:type="dxa" w:w="3000"/>
          </w:tcPr>
          <w:p>
            <w:r>
              <w:rPr>
                <w:highlight w:val="yellow"/>
              </w:rPr>
              <w:t xml:space="preserve">DIARRHEA</w:t>
            </w:r>
          </w:p>
        </w:tc>
        <w:tc>
          <w:tcPr>
            <w:tcW w:type="dxa" w:w="3000"/>
          </w:tcPr>
          <w:p>
            <w:r>
              <w:rPr>
                <w:highlight w:val="yellow"/>
              </w:rPr>
              <w:t xml:space="preserve">2</w:t>
            </w:r>
          </w:p>
        </w:tc>
      </w:tr>
      <w:tr>
        <w:tc>
          <w:tcPr>
            <w:tcW w:type="dxa" w:w="3000"/>
          </w:tcPr>
          <w:p>
            <w:r>
              <w:rPr>
                <w:highlight w:val="yellow"/>
              </w:rPr>
              <w:t xml:space="preserve">fever</w:t>
            </w:r>
          </w:p>
        </w:tc>
        <w:tc>
          <w:tcPr>
            <w:tcW w:type="dxa" w:w="3000"/>
          </w:tcPr>
          <w:p>
            <w:r>
              <w:rPr>
                <w:highlight w:val="yellow"/>
              </w:rPr>
              <w:t xml:space="preserve">FEVER</w:t>
            </w:r>
          </w:p>
        </w:tc>
        <w:tc>
          <w:tcPr>
            <w:tcW w:type="dxa" w:w="3000"/>
          </w:tcPr>
          <w:p>
            <w:r>
              <w:rPr>
                <w:highlight w:val="yellow"/>
              </w:rPr>
              <w:t xml:space="preserve">1</w:t>
            </w:r>
          </w:p>
        </w:tc>
      </w:tr>
      <w:tr>
        <w:tc>
          <w:tcPr>
            <w:tcW w:type="dxa" w:w="3000"/>
          </w:tcPr>
          <w:p>
            <w:r>
              <w:rPr>
                <w:highlight w:val="yellow"/>
              </w:rPr>
              <w:t xml:space="preserve">cough</w:t>
            </w:r>
          </w:p>
        </w:tc>
        <w:tc>
          <w:tcPr>
            <w:tcW w:type="dxa" w:w="3000"/>
          </w:tcPr>
          <w:p>
            <w:r>
              <w:rPr>
                <w:highlight w:val="yellow"/>
              </w:rPr>
              <w:t xml:space="preserve">COUGH_GENERAL</w:t>
            </w:r>
          </w:p>
        </w:tc>
        <w:tc>
          <w:tcPr>
            <w:tcW w:type="dxa" w:w="3000"/>
          </w:tcPr>
          <w:p>
            <w:r>
              <w:rPr>
                <w:highlight w:val="yellow"/>
              </w:rPr>
              <w:t xml:space="preserve">2</w:t>
            </w:r>
          </w:p>
        </w:tc>
      </w:tr>
      <w:tr>
        <w:tc>
          <w:tcPr>
            <w:tcW w:type="dxa" w:w="3000"/>
          </w:tcPr>
          <w:p>
            <w:r>
              <w:rPr>
                <w:highlight w:val="yellow"/>
              </w:rPr>
              <w:t xml:space="preserve">throat</w:t>
            </w:r>
          </w:p>
        </w:tc>
        <w:tc>
          <w:tcPr>
            <w:tcW w:type="dxa" w:w="3000"/>
          </w:tcPr>
          <w:p>
            <w:r>
              <w:rPr>
                <w:highlight w:val="yellow"/>
              </w:rPr>
              <w:t xml:space="preserve">SORE_THROAT</w:t>
            </w:r>
          </w:p>
        </w:tc>
        <w:tc>
          <w:tcPr>
            <w:tcW w:type="dxa" w:w="3000"/>
          </w:tcPr>
          <w:p>
            <w:r>
              <w:rPr>
                <w:highlight w:val="yellow"/>
              </w:rPr>
              <w:t xml:space="preserve">2</w:t>
            </w:r>
          </w:p>
        </w:tc>
      </w:tr>
      <w:tr>
        <w:tc>
          <w:tcPr>
            <w:tcW w:type="dxa" w:w="3000"/>
          </w:tcPr>
          <w:p>
            <w:r>
              <w:rPr>
                <w:highlight w:val="yellow"/>
              </w:rPr>
              <w:t xml:space="preserve">sorethroat</w:t>
            </w:r>
          </w:p>
        </w:tc>
        <w:tc>
          <w:tcPr>
            <w:tcW w:type="dxa" w:w="3000"/>
          </w:tcPr>
          <w:p>
            <w:r>
              <w:rPr>
                <w:highlight w:val="yellow"/>
              </w:rPr>
              <w:t xml:space="preserve">SORE_THROAT</w:t>
            </w:r>
          </w:p>
        </w:tc>
        <w:tc>
          <w:tcPr>
            <w:tcW w:type="dxa" w:w="3000"/>
          </w:tcPr>
          <w:p>
            <w:r>
              <w:rPr>
                <w:highlight w:val="yellow"/>
              </w:rPr>
              <w:t xml:space="preserve">2</w:t>
            </w:r>
          </w:p>
        </w:tc>
      </w:tr>
      <w:tr>
        <w:tc>
          <w:tcPr>
            <w:tcW w:type="dxa" w:w="3000"/>
          </w:tcPr>
          <w:p>
            <w:r>
              <w:rPr>
                <w:highlight w:val="yellow"/>
              </w:rPr>
              <w:t xml:space="preserve">nose</w:t>
            </w:r>
          </w:p>
        </w:tc>
        <w:tc>
          <w:tcPr>
            <w:tcW w:type="dxa" w:w="3000"/>
          </w:tcPr>
          <w:p>
            <w:r>
              <w:rPr>
                <w:highlight w:val="yellow"/>
              </w:rPr>
              <w:t xml:space="preserve">RUNNY_NOSE</w:t>
            </w:r>
          </w:p>
        </w:tc>
        <w:tc>
          <w:tcPr>
            <w:tcW w:type="dxa" w:w="3000"/>
          </w:tcPr>
          <w:p>
            <w:r>
              <w:rPr>
                <w:highlight w:val="yellow"/>
              </w:rPr>
              <w:t xml:space="preserve">1</w:t>
            </w:r>
          </w:p>
        </w:tc>
      </w:tr>
      <w:tr>
        <w:tc>
          <w:tcPr>
            <w:tcW w:type="dxa" w:w="3000"/>
          </w:tcPr>
          <w:p>
            <w:r>
              <w:rPr>
                <w:highlight w:val="yellow"/>
              </w:rPr>
              <w:t xml:space="preserve">rash</w:t>
            </w:r>
          </w:p>
        </w:tc>
        <w:tc>
          <w:tcPr>
            <w:tcW w:type="dxa" w:w="3000"/>
          </w:tcPr>
          <w:p>
            <w:r>
              <w:rPr>
                <w:highlight w:val="yellow"/>
              </w:rPr>
              <w:t xml:space="preserve">RASHES</w:t>
            </w:r>
          </w:p>
        </w:tc>
        <w:tc>
          <w:tcPr>
            <w:tcW w:type="dxa" w:w="3000"/>
          </w:tcPr>
          <w:p>
            <w:r>
              <w:rPr>
                <w:highlight w:val="yellow"/>
              </w:rPr>
              <w:t xml:space="preserve">1</w:t>
            </w:r>
          </w:p>
        </w:tc>
      </w:tr>
      <w:tr>
        <w:tc>
          <w:tcPr>
            <w:tcW w:type="dxa" w:w="3000"/>
          </w:tcPr>
          <w:p>
            <w:r>
              <w:rPr>
                <w:highlight w:val="yellow"/>
              </w:rPr>
              <w:t xml:space="preserve">itchy</w:t>
            </w:r>
          </w:p>
        </w:tc>
        <w:tc>
          <w:tcPr>
            <w:tcW w:type="dxa" w:w="3000"/>
          </w:tcPr>
          <w:p>
            <w:r>
              <w:rPr>
                <w:highlight w:val="yellow"/>
              </w:rPr>
              <w:t xml:space="preserve">RASHES</w:t>
            </w:r>
          </w:p>
        </w:tc>
        <w:tc>
          <w:tcPr>
            <w:tcW w:type="dxa" w:w="3000"/>
          </w:tcPr>
          <w:p>
            <w:r>
              <w:rPr>
                <w:highlight w:val="yellow"/>
              </w:rPr>
              <w:t xml:space="preserve">2</w:t>
            </w:r>
          </w:p>
        </w:tc>
      </w:tr>
      <w:tr>
        <w:tc>
          <w:tcPr>
            <w:tcW w:type="dxa" w:w="3000"/>
          </w:tcPr>
          <w:p>
            <w:r>
              <w:rPr>
                <w:highlight w:val="yellow"/>
              </w:rPr>
              <w:t xml:space="preserve">sneeze</w:t>
            </w:r>
          </w:p>
        </w:tc>
        <w:tc>
          <w:tcPr>
            <w:tcW w:type="dxa" w:w="3000"/>
          </w:tcPr>
          <w:p>
            <w:r>
              <w:rPr>
                <w:highlight w:val="yellow"/>
              </w:rPr>
              <w:t xml:space="preserve">ALLERGIC_RHINITIS</w:t>
            </w:r>
          </w:p>
        </w:tc>
        <w:tc>
          <w:tcPr>
            <w:tcW w:type="dxa" w:w="3000"/>
          </w:tcPr>
          <w:p>
            <w:r>
              <w:rPr>
                <w:highlight w:val="yellow"/>
              </w:rPr>
              <w:t xml:space="preserve">2</w:t>
            </w:r>
          </w:p>
        </w:tc>
      </w:tr>
      <w:tr>
        <w:tc>
          <w:tcPr>
            <w:tcW w:type="dxa" w:w="3000"/>
          </w:tcPr>
          <w:p>
            <w:r>
              <w:rPr>
                <w:highlight w:val="yellow"/>
              </w:rPr>
              <w:t xml:space="preserve">allergy</w:t>
            </w:r>
          </w:p>
        </w:tc>
        <w:tc>
          <w:tcPr>
            <w:tcW w:type="dxa" w:w="3000"/>
          </w:tcPr>
          <w:p>
            <w:r>
              <w:rPr>
                <w:highlight w:val="yellow"/>
              </w:rPr>
              <w:t xml:space="preserve">ALLERGIC_RHINITIS</w:t>
            </w:r>
          </w:p>
        </w:tc>
        <w:tc>
          <w:tcPr>
            <w:tcW w:type="dxa" w:w="3000"/>
          </w:tcPr>
          <w:p>
            <w:r>
              <w:rPr>
                <w:highlight w:val="yellow"/>
              </w:rPr>
              <w:t xml:space="preserve">2</w:t>
            </w:r>
          </w:p>
        </w:tc>
      </w:tr>
      <w:tr>
        <w:tc>
          <w:tcPr>
            <w:tcW w:type="dxa" w:w="3000"/>
          </w:tcPr>
          <w:p>
            <w:r>
              <w:rPr>
                <w:highlight w:val="yellow"/>
              </w:rPr>
              <w:t xml:space="preserve">allergic</w:t>
            </w:r>
          </w:p>
        </w:tc>
        <w:tc>
          <w:tcPr>
            <w:tcW w:type="dxa" w:w="3000"/>
          </w:tcPr>
          <w:p>
            <w:r>
              <w:rPr>
                <w:highlight w:val="yellow"/>
              </w:rPr>
              <w:t xml:space="preserve">ALLERGIC_RHINITIS</w:t>
            </w:r>
          </w:p>
        </w:tc>
        <w:tc>
          <w:tcPr>
            <w:tcW w:type="dxa" w:w="3000"/>
          </w:tcPr>
          <w:p>
            <w:r>
              <w:rPr>
                <w:highlight w:val="yellow"/>
              </w:rPr>
              <w:t xml:space="preserve">2</w:t>
            </w:r>
          </w:p>
        </w:tc>
      </w:tr>
      <w:tr>
        <w:tc>
          <w:tcPr>
            <w:tcW w:type="dxa" w:w="3000"/>
          </w:tcPr>
          <w:p>
            <w:r>
              <w:rPr>
                <w:highlight w:val="yellow"/>
              </w:rPr>
              <w:t xml:space="preserve">body</w:t>
            </w:r>
          </w:p>
        </w:tc>
        <w:tc>
          <w:tcPr>
            <w:tcW w:type="dxa" w:w="3000"/>
          </w:tcPr>
          <w:p>
            <w:r>
              <w:rPr>
                <w:highlight w:val="yellow"/>
              </w:rPr>
              <w:t xml:space="preserve">BODY_ACHES</w:t>
            </w:r>
          </w:p>
        </w:tc>
        <w:tc>
          <w:tcPr>
            <w:tcW w:type="dxa" w:w="3000"/>
          </w:tcPr>
          <w:p>
            <w:r>
              <w:rPr>
                <w:highlight w:val="yellow"/>
              </w:rPr>
              <w:t xml:space="preserve">1</w:t>
            </w:r>
          </w:p>
        </w:tc>
      </w:tr>
      <w:tr>
        <w:tc>
          <w:tcPr>
            <w:tcW w:type="dxa" w:w="3000"/>
          </w:tcPr>
          <w:p>
            <w:r>
              <w:rPr>
                <w:highlight w:val="yellow"/>
              </w:rPr>
              <w:t xml:space="preserve">runny</w:t>
            </w:r>
          </w:p>
        </w:tc>
        <w:tc>
          <w:tcPr>
            <w:tcW w:type="dxa" w:w="3000"/>
          </w:tcPr>
          <w:p>
            <w:r>
              <w:rPr>
                <w:highlight w:val="yellow"/>
              </w:rPr>
              <w:t xml:space="preserve">RUNNY_NOSE</w:t>
            </w:r>
          </w:p>
        </w:tc>
        <w:tc>
          <w:tcPr>
            <w:tcW w:type="dxa" w:w="3000"/>
          </w:tcPr>
          <w:p>
            <w:r>
              <w:rPr>
                <w:highlight w:val="yellow"/>
              </w:rPr>
              <w:t xml:space="preserve">2</w:t>
            </w:r>
          </w:p>
        </w:tc>
      </w:tr>
    </w:tbl>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pPr>
        <w:pStyle w:val="Heading4"/>
      </w:pPr>
      <w:r>
        <w:rPr>
          <w:highlight w:val="yellow"/>
        </w:rPr>
        <w:t>Free-Text Headache-Type Intake.</w:t>
      </w:r>
    </w:p>
    <w:p>
      <w:pPr>
        <w:widowControl w:val="0"/>
        <w:spacing w:after="120" w:before="240" w:line="240" w:lineRule="auto"/>
        <w:ind w:firstLine="20"/>
        <w:jc w:val="both"/>
      </w:pPr>
      <w:r>
        <w:rPr>
          <w:highlight w:val="yellow"/>
        </w:rPr>
        <w:t>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 thunderclap, hypertension, spinal, post-traumatic, and exertion —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Pr>
          <w:strike/>
          <w:color w:val="FF0000"/>
          <w:highlight w:val="yellow"/>
          <w:rtl w:val="0"/>
        </w:rPr>
        <w:t xml:space="preserve">The semantic stage covers symptom descriptions that fall outside the dictionary's 587 curated phrases. It uses the pre-trained paraphrase-multilingual-MiniLM-L12-v2 model from the Sentence-Transformers library (Reimers &amp; Gurevych, 2019), a compact transformer (~33 million parameters) producing 384-dimensional sentence embeddings. For an input sentence s of n tokens, the sentence vector is computed by mean-pooling the encoder's final hidden states: e(s) = (1/n) Σₖ₌₁ⁿ hₖ, where each hₖ ∈ ℝ³⁸⁴ and n is the number of tokens. The same encoder and pooling serve both semantic pathways described below.</w:t>
      </w:r>
    </w:p>
    <w:p>
      <w:pPr>
        <w:widowControl w:val="0"/>
        <w:spacing w:after="120" w:before="120" w:line="240" w:lineRule="auto"/>
        <w:jc w:val="center"/>
      </w:pPr>
      <m:oMathPara>
        <m:oMath>
          <m:oMath>
            <m:r>
              <m:rPr>
                <w:rPr>
                  <w:highlight w:val="yellow"/>
                </w:rPr>
              </m:rPr>
              <m:t xml:space="preserve">e(s) = </m:t>
            </m:r>
            <m:f>
              <m:num>
                <m:r>
                  <m:rPr>
                    <w:rPr>
                      <w:highlight w:val="yellow"/>
                    </w:rPr>
                  </m:rPr>
                  <m:t xml:space="preserve">1</m:t>
                </m:r>
              </m:num>
              <m:den>
                <m:r>
                  <m:rPr>
                    <w:rPr>
                      <w:highlight w:val="yellow"/>
                    </w:rPr>
                  </m:rPr>
                  <m:t xml:space="preserve">n</m:t>
                </m:r>
              </m:den>
            </m:f>
            <m:nary>
              <m:naryPr>
                <m:chr m:val="∑"/>
                <m:limLoc m:val="undOvr"/>
              </m:naryPr>
              <m:sub>
                <m:r>
                  <m:rPr>
                    <w:rPr>
                      <w:highlight w:val="yellow"/>
                    </w:rPr>
                  </m:rPr>
                  <m:t xml:space="preserve">k = 1</m:t>
                </m:r>
              </m:sub>
              <m:sup>
                <m:r>
                  <m:rPr>
                    <w:rPr>
                      <w:highlight w:val="yellow"/>
                    </w:rPr>
                  </m:rPr>
                  <m:t xml:space="preserve">n</m:t>
                </m:r>
              </m:sup>
              <m:e>
                <m:sSub>
                  <m:e>
                    <m:r>
                      <m:rPr>
                        <w:rPr>
                          <w:highlight w:val="yellow"/>
                        </w:rPr>
                      </m:rPr>
                      <m:t xml:space="preserve">h</m:t>
                    </m:r>
                  </m:e>
                  <m:sub>
                    <m:r>
                      <m:rPr>
                        <w:rPr>
                          <w:highlight w:val="yellow"/>
                        </w:rPr>
                      </m:rPr>
                      <m:t xml:space="preserve">k</m:t>
                    </m:r>
                  </m:sub>
                </m:sSub>
              </m:e>
            </m:nary>
          </m:oMath>
        </m:oMath>
      </m:oMathPara>
      <w:r>
        <w:rPr>
          <w:strike/>
          <w:color w:val="FF0000"/>
          <w:highlight w:val="yellow"/>
        </w:rPr>
        <w:t>    (1)</w:t>
      </w:r>
      <w:r>
        <w:rPr>
          <w:highlight w:val="yellow"/>
        </w:rPr>
        <w:t xml:space="preserve">At initialization, 145 anchor sentences (5–23 per symptom label) are pre-encoded into 384-dimensional vectors, one vector e(a) per anchor. At runtime the user's input is encoded to e(u) and compared against all anchors using the cosine similarity of their embedding vectors,</w:t>
      </w:r>
    </w:p>
    <w:p>
      <w:pPr>
        <w:spacing w:after="120" w:before="120" w:line="240" w:lineRule="auto"/>
        <w:jc w:val="center"/>
      </w:pPr>
      <m:oMathPara>
        <m:oMath>
          <m:oMath>
            <m:r>
              <m:rPr>
                <w:rPr>
                  <w:highlight w:val="yellow"/>
                </w:rPr>
              </m:rPr>
              <m:t xml:space="preserve">cos(e(u), e(a)) = </m:t>
            </m:r>
            <m:f>
              <m:num>
                <m:r>
                  <m:rPr>
                    <w:rPr>
                      <w:highlight w:val="yellow"/>
                    </w:rPr>
                  </m:rPr>
                  <m:t xml:space="preserve">(e(u) · e(a))</m:t>
                </m:r>
              </m:num>
              <m:den>
                <m:r>
                  <m:rPr>
                    <w:rPr>
                      <w:highlight w:val="yellow"/>
                    </w:rPr>
                  </m:rPr>
                  <m:t xml:space="preserve">(‖e(u)‖ · ‖e(a)‖)</m:t>
                </m:r>
              </m:den>
            </m:f>
          </m:oMath>
        </m:oMath>
      </m:oMathPara>
      <w:r>
        <w:rPr>
          <w:highlight w:val="yellow"/>
        </w:rPr>
        <w:t>    (2)</w:t>
      </w:r>
    </w:p>
    <w:p>
      <w:pPr>
        <w:widowControl w:val="0"/>
        <w:spacing w:after="120" w:before="240" w:line="240" w:lineRule="auto"/>
        <w:ind w:firstLine="20"/>
        <w:jc w:val="both"/>
      </w:pPr>
      <w:r>
        <w:rPr>
          <w:highlight w:val="yellow"/>
        </w:rPr>
        <w:t xml:space="preserve">where · denotes the dot product, ‖·‖ the Euclidean norm, and uᵢ, aᵢ the i-th components of the two 384-dimensional vectors. For each of the 13 labels L with anchor set Aₗ, the label score is the best-anchor maximum,</w:t>
      </w:r>
    </w:p>
    <w:p>
      <w:pPr>
        <w:spacing w:after="120" w:before="120" w:line="240" w:lineRule="auto"/>
        <w:jc w:val="center"/>
      </w:pPr>
      <m:oMathPara>
        <m:oMath>
          <m:oMath>
            <m:sSub>
              <m:e>
                <m:r>
                  <m:rPr>
                    <w:rPr>
                      <w:highlight w:val="yellow"/>
                    </w:rPr>
                  </m:rPr>
                  <m:t xml:space="preserve">s</m:t>
                </m:r>
              </m:e>
              <m:sub>
                <m:r>
                  <m:rPr>
                    <w:rPr>
                      <w:highlight w:val="yellow"/>
                    </w:rPr>
                  </m:rPr>
                  <m:t xml:space="preserve">L</m:t>
                </m:r>
              </m:sub>
            </m:sSub>
            <m:r>
              <m:rPr>
                <w:rPr>
                  <w:highlight w:val="yellow"/>
                </w:rPr>
              </m:rPr>
              <m:t xml:space="preserve"> = </m:t>
            </m:r>
            <m:sSub>
              <m:e>
                <m:r>
                  <m:rPr>
                    <w:rPr>
                      <w:highlight w:val="yellow"/>
                    </w:rPr>
                  </m:rPr>
                  <m:t xml:space="preserve">max</m:t>
                </m:r>
              </m:e>
              <m:sub>
                <m:r>
                  <m:rPr>
                    <w:rPr>
                      <w:highlight w:val="yellow"/>
                    </w:rPr>
                  </m:rPr>
                  <m:t xml:space="preserve">a ∈ A_L</m:t>
                </m:r>
              </m:sub>
            </m:sSub>
            <m:r>
              <m:rPr>
                <w:rPr>
                  <w:highlight w:val="yellow"/>
                </w:rPr>
              </m:rPr>
              <m:t xml:space="preserve"> cos(e(u), e(a))</m:t>
            </m:r>
          </m:oMath>
        </m:oMath>
      </m:oMathPara>
      <w:r>
        <w:rPr>
          <w:highlight w:val="yellow"/>
        </w:rPr>
        <w:t>    (3)</w:t>
      </w:r>
    </w:p>
    <w:p>
      <w:pPr>
        <w:widowControl w:val="0"/>
        <w:spacing w:after="120" w:before="240" w:line="240" w:lineRule="auto"/>
        <w:ind w:firstLine="20"/>
        <w:jc w:val="both"/>
      </w:pPr>
      <w:r>
        <w:rPr>
          <w:highlight w:val="yellow"/>
        </w:rPr>
        <w:t xml:space="preserve">and L is returned as a candidate when sₗ ≥ τ, with the similarity threshold τ = 0.65. Candidates are then ranked by sₗ and capped at two labels per utterance.</w:t>
      </w:r>
    </w:p>
    <w:p w:rsidR="00000000" w:rsidDel="00000000" w:rsidP="00000000" w:rsidRDefault="00000000" w:rsidRPr="00000000" w14:paraId="00000163">
      <w:pPr>
        <w:widowControl w:val="0"/>
        <w:spacing w:after="120" w:before="240" w:line="240" w:lineRule="auto"/>
        <w:ind w:firstLine="20"/>
        <w:jc w:val="both"/>
        <w:rPr/>
      </w:pPr>
      <w:r>
        <w:rPr>
          <w:highlight w:val="yellow"/>
          <w:rtl w:val="0"/>
        </w:rPr>
        <w:t>The encoder weights remain the fixed, publicly available pre-trained artifact; the semantic stage is complemented by a lightweight classification head fine-tuned on the project's internal evaluation corpora (see the Fine-Tuned Symptom Classification Head subsection). Freezing the encoder while training only the 13-label head is a deliberate choice: (1) safety — a small trained head does not disturb the encoder's multilingual competence and limits overfitting on a small corpus; (2) reproducibility — the pre-trained weights are a fixed artifact and the head is retrained deterministically from saved corpora; and (3) multilingual coverage — the model's pre-trained knowledge spans 50+ languages including Filipino and Cebuano, which would be difficult to replicate with limited domain-specific fine-tuning. Because the head is trained on the project's own corpora, its benchmark runs are reported only as regression checks; its honest generalization evidence comes from the held-out paraphrase and negative sets in the Evaluation chapter.</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highlight w:val="yellow"/>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pPr>
        <w:pStyle w:val="Heading4"/>
      </w:pPr>
      <w:r>
        <w:rPr>
          <w:highlight w:val="yellow"/>
        </w:rPr>
        <w:t>Fine-Tuned Symptom Classification Head.</w:t>
      </w:r>
    </w:p>
    <w:p>
      <w:pPr>
        <w:widowControl w:val="0"/>
        <w:spacing w:after="120" w:before="240" w:line="240" w:lineRule="auto"/>
        <w:ind w:firstLine="20"/>
        <w:jc w:val="both"/>
      </w:pPr>
      <w:r>
        <w:rPr>
          <w:highlight w:val="yellow"/>
        </w:rPr>
        <w:t xml:space="preserve">Alongside cosine-anchor matching, the semantic stage includes a supervised counterpart: the same MiniLM encoder with a 13-output classification head fine-tuned on the project's internal symptom corpora. For an input sentence, the mean-pooled vector e(s) ∈ ℝ³⁸⁴ is projected by a weight matrix W ∈ ℝ³⁸⁴×¹³ with bias b, and each of the 13 labels L receives the logit</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where W_L is the L-th column of W. The label probability is obtained with the sigmoid function applied independently per label (multi-label formulation, since several symptoms may be present simultaneously):</w:t>
      </w:r>
    </w:p>
    <w:p>
      <w:pPr>
        <w:spacing w:after="120" w:before="120" w:line="240" w:lineRule="auto"/>
        <w:jc w:val="center"/>
      </w:pPr>
      <m:oMathPara>
        <m:oMath>
          <m:oMath>
            <m:sSub>
              <m:e>
                <m:r>
                  <m:rPr>
                    <w:rPr>
                      <w:highlight w:val="yellow"/>
                    </w:rPr>
                  </m:rPr>
                  <m:t xml:space="preserve">p</m:t>
                </m:r>
              </m:e>
              <m:sub>
                <m:r>
                  <m:rPr>
                    <w:rPr>
                      <w:highlight w:val="yellow"/>
                    </w:rPr>
                  </m:rPr>
                  <m:t xml:space="preserve">L</m:t>
                </m:r>
              </m:sub>
            </m:sSub>
            <m:r>
              <m:rPr>
                <w:rPr>
                  <w:highlight w:val="yellow"/>
                </w:rPr>
              </m:rPr>
              <m:t xml:space="preserve"> = σ(</m:t>
            </m:r>
            <m:sSub>
              <m:e>
                <m:r>
                  <m:rPr>
                    <w:rPr>
                      <w:highlight w:val="yellow"/>
                    </w:rPr>
                  </m:rPr>
                  <m:t xml:space="preserve">z</m:t>
                </m:r>
              </m:e>
              <m:sub>
                <m:r>
                  <m:rPr>
                    <w:rPr>
                      <w:highlight w:val="yellow"/>
                    </w:rPr>
                  </m:rPr>
                  <m:t xml:space="preserve">L</m:t>
                </m:r>
              </m:sub>
            </m:sSub>
            <m:r>
              <m:rPr>
                <w:rPr>
                  <w:highlight w:val="yellow"/>
                </w:rPr>
              </m:rPr>
              <m:t xml:space="preserve">) = </m:t>
            </m:r>
            <m:f>
              <m:num>
                <m:r>
                  <m:rPr>
                    <w:rPr>
                      <w:highlight w:val="yellow"/>
                    </w:rPr>
                  </m:rPr>
                  <m:t xml:space="preserve">1</m:t>
                </m:r>
              </m:num>
              <m:den>
                <m:r>
                  <m:rPr>
                    <w:rPr>
                      <w:highlight w:val="yellow"/>
                    </w:rPr>
                  </m:rPr>
                  <m:t xml:space="preserve">(1 + </m:t>
                </m:r>
                <m:sSup>
                  <m:e>
                    <m:r>
                      <m:rPr>
                        <w:rPr>
                          <w:highlight w:val="yellow"/>
                        </w:rPr>
                      </m:rPr>
                      <m:t xml:space="preserve">e</m:t>
                    </m:r>
                  </m:e>
                  <m:sup>
                    <m:sSub>
                      <m:e>
                        <m:r>
                          <m:rPr>
                            <w:rPr>
                              <w:highlight w:val="yellow"/>
                            </w:rPr>
                          </m:rPr>
                          <m:t xml:space="preserve">−z</m:t>
                        </m:r>
                      </m:e>
                      <m:sub>
                        <m:r>
                          <m:rPr>
                            <w:rPr>
                              <w:highlight w:val="yellow"/>
                            </w:rPr>
                          </m:rPr>
                          <m:t xml:space="preserve">L</m:t>
                        </m:r>
                      </m:sub>
                    </m:sSub>
                  </m:sup>
                </m:sSup>
                <m:r>
                  <m:rPr>
                    <w:rPr>
                      <w:highlight w:val="yellow"/>
                    </w:rPr>
                  </m:rPr>
                  <m:t xml:space="preserve">)</m:t>
                </m:r>
              </m:den>
            </m:f>
          </m:oMath>
        </m:oMath>
      </m:oMathPara>
      <w:r>
        <w:rPr>
          <w:highlight w:val="yellow"/>
        </w:rPr>
        <w:t>    (5)</w:t>
      </w:r>
    </w:p>
    <w:p>
      <w:pPr>
        <w:spacing w:after="120" w:before="120" w:line="240" w:lineRule="auto"/>
        <w:jc w:val="center"/>
      </w:pPr>
      <m:oMathPara>
        <m:oMath>
          <m:oMath>
            <m:sSub>
              <m:e>
                <m:r>
                  <m:rPr>
                    <w:rPr>
                      <w:highlight w:val="yellow"/>
                    </w:rPr>
                  </m:rPr>
                  <m:t xml:space="preserve">z</m:t>
                </m:r>
              </m:e>
              <m:sub>
                <m:r>
                  <m:rPr>
                    <w:rPr>
                      <w:highlight w:val="yellow"/>
                    </w:rPr>
                  </m:rPr>
                  <m:t xml:space="preserve">L</m:t>
                </m:r>
              </m:sub>
            </m:sSub>
            <m:r>
              <m:rPr>
                <w:rPr>
                  <w:highlight w:val="yellow"/>
                </w:rPr>
              </m:rPr>
              <m:t xml:space="preserve"> = </m:t>
            </m:r>
            <m:sSubSup>
              <m:e>
                <m:r>
                  <m:rPr>
                    <w:rPr>
                      <w:highlight w:val="yellow"/>
                    </w:rPr>
                  </m:rPr>
                  <m:t xml:space="preserve">W</m:t>
                </m:r>
              </m:e>
              <m:sub>
                <m:r>
                  <m:rPr>
                    <w:rPr>
                      <w:highlight w:val="yellow"/>
                    </w:rPr>
                  </m:rPr>
                  <m:t xml:space="preserve">L</m:t>
                </m:r>
              </m:sub>
              <m:sup>
                <m:r>
                  <m:rPr>
                    <w:rPr>
                      <w:highlight w:val="yellow"/>
                    </w:rPr>
                  </m:rPr>
                  <m:t xml:space="preserve">⊤</m:t>
                </m:r>
              </m:sup>
            </m:sSubSup>
            <m:r>
              <m:rPr>
                <w:rPr>
                  <w:highlight w:val="yellow"/>
                </w:rPr>
              </m:rPr>
              <m:t xml:space="preserve"> e(s) + </m:t>
            </m:r>
            <m:sSub>
              <m:e>
                <m:r>
                  <m:rPr>
                    <w:rPr>
                      <w:highlight w:val="yellow"/>
                    </w:rPr>
                  </m:rPr>
                  <m:t xml:space="preserve">b</m:t>
                </m:r>
              </m:e>
              <m:sub>
                <m:r>
                  <m:rPr>
                    <w:rPr>
                      <w:highlight w:val="yellow"/>
                    </w:rPr>
                  </m:rPr>
                  <m:t xml:space="preserve">L</m:t>
                </m:r>
              </m:sub>
            </m:sSub>
          </m:oMath>
        </m:oMath>
      </m:oMathPara>
      <w:r>
        <w:rPr>
          <w:highlight w:val="yellow"/>
        </w:rPr>
        <w:t>    (4)</w:t>
      </w:r>
    </w:p>
    <w:p>
      <w:pPr>
        <w:widowControl w:val="0"/>
        <w:spacing w:after="120" w:before="240" w:line="240" w:lineRule="auto"/>
        <w:ind w:firstLine="20"/>
        <w:jc w:val="both"/>
      </w:pPr>
      <w:r>
        <w:rPr>
          <w:b/>
          <w:highlight w:val="yellow"/>
        </w:rPr>
        <w:t xml:space="preserve">Training. The head is trained on 801 labeled utterances assembled from the project's internal evaluation corpora — the 520-case multilingual symptom suite, the 288-case detection benchmark, and the 2026-08-14 idiom-enrichment corpus — after de-duplication. Because false positives are the more dangerous failure mode, each label contributes to the binary cross-entropy loss with a label-specific positive weight w_L (range 1–20) that up-weights the rare labels:</w:t>
      </w:r>
    </w:p>
    <w:p>
      <w:pPr>
        <w:widowControl w:val="0"/>
        <w:spacing w:after="120" w:before="240" w:line="240" w:lineRule="auto"/>
        <w:ind w:firstLine="20"/>
        <w:jc w:val="both"/>
      </w:pPr>
      <w:r>
        <w:rPr>
          <w:highlight w:val="yellow"/>
        </w:rPr>
        <w:t xml:space="preserve">where y_L ∈ {0, 1} is the ground-truth indicator. The head is optimized with AdamW (learning rate 2×10⁻⁵, batch size 16, 6 epochs) while the encoder weights remain frozen. Five-fold cross-validation over the same corpus selects the operating threshold:</w:t>
      </w:r>
    </w:p>
    <w:p>
      <w:pPr>
        <w:spacing w:after="120" w:before="120" w:line="240" w:lineRule="auto"/>
        <w:jc w:val="center"/>
      </w:pPr>
      <m:oMathPara>
        <m:oMath>
          <m:oMath>
            <m:sSub>
              <m:e>
                <m:r>
                  <m:rPr>
                    <w:rPr>
                      <w:highlight w:val="yellow"/>
                    </w:rPr>
                  </m:rPr>
                  <m:t xml:space="preserve">L</m:t>
                </m:r>
              </m:e>
              <m:sub>
                <m:r>
                  <m:rPr>
                    <w:rPr>
                      <w:highlight w:val="yellow"/>
                    </w:rPr>
                  </m:rPr>
                  <m:t xml:space="preserve">BCE</m:t>
                </m:r>
              </m:sub>
            </m:sSub>
            <m:r>
              <m:rPr>
                <w:rPr>
                  <w:highlight w:val="yellow"/>
                </w:rPr>
              </m:rPr>
              <m:t xml:space="preserve"> = −</m:t>
            </m:r>
            <m:f>
              <m:num>
                <m:r>
                  <m:rPr>
                    <w:rPr>
                      <w:highlight w:val="yellow"/>
                    </w:rPr>
                  </m:rPr>
                  <m:t xml:space="preserve">1</m:t>
                </m:r>
              </m:num>
              <m:den>
                <m:r>
                  <m:rPr>
                    <w:rPr>
                      <w:highlight w:val="yellow"/>
                    </w:rPr>
                  </m:rPr>
                  <m:t xml:space="preserve">13</m:t>
                </m:r>
              </m:den>
            </m:f>
            <m:nary>
              <m:naryPr>
                <m:chr m:val="∑"/>
                <m:limLoc m:val="undOvr"/>
              </m:naryPr>
              <m:sub>
                <m:r>
                  <m:rPr>
                    <w:rPr>
                      <w:highlight w:val="yellow"/>
                    </w:rPr>
                  </m:rPr>
                  <m:t xml:space="preserve">L = 1</m:t>
                </m:r>
              </m:sub>
              <m:sup>
                <m:r>
                  <m:rPr>
                    <w:rPr>
                      <w:highlight w:val="yellow"/>
                    </w:rPr>
                  </m:rPr>
                  <m:t xml:space="preserve">13</m:t>
                </m:r>
              </m:sup>
              <m:e>
                <m:d>
                  <m:dPr>
                    <m:begChr m:val="["/>
                    <m:endChr m:val="]"/>
                  </m:dPr>
                  <m:e>
                    <m:sSub>
                      <m:e>
                        <m:r>
                          <m:rPr>
                            <w:rPr>
                              <w:highlight w:val="yellow"/>
                            </w:rPr>
                          </m:rPr>
                          <m:t xml:space="preserve">w</m:t>
                        </m:r>
                      </m:e>
                      <m:sub>
                        <m:r>
                          <m:rPr>
                            <w:rPr>
                              <w:highlight w:val="yellow"/>
                            </w:rPr>
                          </m:rPr>
                          <m:t xml:space="preserve">L</m:t>
                        </m:r>
                      </m:sub>
                    </m:sSub>
                    <m:r>
                      <m:rPr>
                        <w:rPr>
                          <w:highlight w:val="yellow"/>
                        </w:rPr>
                      </m:rPr>
                      <m:t xml:space="preserve"> </m:t>
                    </m:r>
                    <m:sSub>
                      <m:e>
                        <m:r>
                          <m:rPr>
                            <w:rPr>
                              <w:highlight w:val="yellow"/>
                            </w:rPr>
                          </m:rPr>
                          <m:t xml:space="preserve">y</m:t>
                        </m:r>
                      </m:e>
                      <m:sub>
                        <m:r>
                          <m:rPr>
                            <w:rPr>
                              <w:highlight w:val="yellow"/>
                            </w:rPr>
                          </m:rPr>
                          <m:t xml:space="preserve">L</m:t>
                        </m:r>
                      </m:sub>
                    </m:sSub>
                    <m:r>
                      <m:rPr>
                        <w:rPr>
                          <w:highlight w:val="yellow"/>
                        </w:rPr>
                      </m:rPr>
                      <m:t xml:space="preserve"> ln </m:t>
                    </m:r>
                    <m:sSub>
                      <m:e>
                        <m:r>
                          <m:rPr>
                            <w:rPr>
                              <w:highlight w:val="yellow"/>
                            </w:rPr>
                          </m:rPr>
                          <m:t xml:space="preserve">p</m:t>
                        </m:r>
                      </m:e>
                      <m:sub>
                        <m:r>
                          <m:rPr>
                            <w:rPr>
                              <w:highlight w:val="yellow"/>
                            </w:rPr>
                          </m:rPr>
                          <m:t xml:space="preserve">L</m:t>
                        </m:r>
                      </m:sub>
                    </m:sSub>
                    <m:r>
                      <m:rPr>
                        <w:rPr>
                          <w:highlight w:val="yellow"/>
                        </w:rPr>
                      </m:rPr>
                      <m:t xml:space="preserve"> + (1 − </m:t>
                    </m:r>
                    <m:sSub>
                      <m:e>
                        <m:r>
                          <m:rPr>
                            <w:rPr>
                              <w:highlight w:val="yellow"/>
                            </w:rPr>
                          </m:rPr>
                          <m:t xml:space="preserve">y</m:t>
                        </m:r>
                      </m:e>
                      <m:sub>
                        <m:r>
                          <m:rPr>
                            <w:rPr>
                              <w:highlight w:val="yellow"/>
                            </w:rPr>
                          </m:rPr>
                          <m:t xml:space="preserve">L</m:t>
                        </m:r>
                      </m:sub>
                    </m:sSub>
                    <m:r>
                      <m:rPr>
                        <w:rPr>
                          <w:highlight w:val="yellow"/>
                        </w:rPr>
                      </m:rPr>
                      <m:t xml:space="preserve">) ln(1 − </m:t>
                    </m:r>
                    <m:sSub>
                      <m:e>
                        <m:r>
                          <m:rPr>
                            <w:rPr>
                              <w:highlight w:val="yellow"/>
                            </w:rPr>
                          </m:rPr>
                          <m:t xml:space="preserve">p</m:t>
                        </m:r>
                      </m:e>
                      <m:sub>
                        <m:r>
                          <m:rPr>
                            <w:rPr>
                              <w:highlight w:val="yellow"/>
                            </w:rPr>
                          </m:rPr>
                          <m:t xml:space="preserve">L</m:t>
                        </m:r>
                      </m:sub>
                    </m:sSub>
                    <m:r>
                      <m:rPr>
                        <w:rPr>
                          <w:highlight w:val="yellow"/>
                        </w:rPr>
                      </m:rPr>
                      <m:t xml:space="preserve">)</m:t>
                    </m:r>
                  </m:e>
                </m:d>
              </m:e>
            </m:nary>
          </m:oMath>
        </m:oMath>
      </m:oMathPara>
      <w:r>
        <w:rPr>
          <w:highlight w:val="yellow"/>
        </w:rPr>
        <w:t>    (6)</w:t>
      </w:r>
    </w:p>
    <w:p>
      <w:pPr>
        <w:shd w:val="clear" w:color="auto" w:fill="FFF2CC"/>
        <w:tabs>
          <w:tab w:val="center" w:pos="4680"/>
          <w:tab w:val="right" w:pos="9360"/>
        </w:tabs>
      </w:pPr>
      <w:r>
        <w:tab/>
      </w:r>
      <m:oMath>
        <m:sSup>
          <m:e>
            <m:r>
              <m:t>θ</m:t>
            </m:r>
          </m:e>
          <m:sup>
            <m:r>
              <m:t>*</m:t>
            </m:r>
          </m:sup>
        </m:sSup>
        <m:r>
          <m:t>=</m:t>
        </m:r>
        <m:limLow>
          <m:e>
            <m:r>
              <m:rPr>
                <m:sty m:val="p"/>
              </m:rPr>
              <m:t>\arg</m:t>
            </m:r>
            <m:r>
              <m:t>max</m:t>
            </m:r>
          </m:e>
          <m:lim>
            <m:r>
              <m:t>θ∈Θ</m:t>
            </m:r>
          </m:lim>
        </m:limLow>
        <m:r>
          <m:rPr>
            <m:sty m:val="p"/>
          </m:rPr>
          <m:t> </m:t>
        </m:r>
        <m:sSub>
          <m:e>
            <m:r>
              <m:rPr>
                <m:sty m:val="p"/>
              </m:rPr>
              <m:t>EM</m:t>
            </m:r>
          </m:e>
          <m:sub>
            <m:r>
              <m:rPr>
                <m:sty m:val="p"/>
              </m:rPr>
              <m:t>CV</m:t>
            </m:r>
          </m:sub>
        </m:sSub>
        <m:r>
          <m:t>(θ),</m:t>
        </m:r>
        <m:r>
          <m:t>Θ={0.30,0.35,…,0.70}</m:t>
        </m:r>
      </m:oMath>
      <w:r>
        <w:tab/>
        <w:t>(7)</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Labels with p_L below the tuned cutoff τ′ = 0.70 are suppressed (out-of-fold exact-match 43.6% under the strict multi-label metric, which requires every label of a multi-symptom row to match). The final head is retrained on all 801 rows, and its weights (~20K parameters on top of the frozen 33M-parameter encoder) are stored beside the model directory for offline loading.</w:t>
      </w:r>
    </w:p>
    <w:p>
      <w:pPr>
        <w:widowControl w:val="0"/>
        <w:spacing w:after="120" w:before="240" w:line="240" w:lineRule="auto"/>
        <w:ind w:firstLine="20"/>
        <w:jc w:val="both"/>
      </w:pPr>
      <w:r>
        <w:rPr>
          <w:b/>
          <w:highlight w:val="yellow"/>
        </w:rPr>
        <w:t>Deployment. Both semantic pathways expose the same analyze() interface and are selected at startup; the fine-tuned head is the deployed default (engine id mendo-expert-minilm-finetuned-v1), while the cosine-anchor path (mendo-expert-minilm-v3.2) remains selectable for comparison, and both honour the identical precision-first gating, lexical guards, and safety filters described under Stage 3. On the held-out paraphrase set (16 dictionary-miss utterances never seen during training) the fine-tuned head resolves 9/16 exactly versus 8/16 for cosine-anchor matching; on 20 fresh chit-chat negatives, both implementations emit zero symptoms (20/20). The head also makes the semantic stage fast: ≈11 ms mean per query when the stage fires, versus ≈59 ms for the cosine path, both on CPU. Because its training data include the internal benchmark corpora, detection-benchmark runs for this implementation are reported only as regression checks; the held-out sets above are its honest generalization evidence.</w:t>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Pr>
          <w:b w:val="1"/>
          <w:bCs w:val="1"/>
          <w:color w:val="000000"/>
          <w:sz w:val="22"/>
          <w:szCs w:val="22"/>
          <w:highlight w:val="yellow"/>
          <w:rtl w:val="0"/>
        </w:rPr>
        <w:t>Centralized Safety Filter. 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 Three contextual gates further keep the semantic stage from misreading triage-level or non-nasal text as congestion: a bare breathing-difficulty phrase (“hirap huminga”, “shortness of breath”) is treated as a respiratory red flag rather than a nasal-congestion detection unless a nasal anchor (ilong/nose) is present; a throat mention without any nasal anchor vetoes NASAL_CONGESTION (a “blocked throat” routes to throat care, not cold syrup); and explicit allergy verbs (react, reacts, reaction) join the allergy lexicon triggers.</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120" w:before="240" w:line="240" w:lineRule="auto"/>
        <w:ind w:firstLine="20"/>
        <w:jc w:val="both"/>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b/>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b/>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120" w:before="240" w:line="240" w:lineRule="auto"/>
        <w:ind w:firstLine="20"/>
        <w:jc w:val="both"/>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120" w:before="240" w:line="240" w:lineRule="auto"/>
        <w:ind w:firstLine="20"/>
        <w:jc w:val="both"/>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pPr>
        <w:widowControl w:val="0"/>
        <w:spacing w:after="120" w:before="240" w:line="240" w:lineRule="auto"/>
        <w:ind w:firstLine="20"/>
        <w:jc w:val="both"/>
      </w:pPr>
      <w:r>
        <w:rPr>
          <w:b/>
          <w:highlight w:val="yellow"/>
        </w:rPr>
        <w:t>Multilingual Evaluation Suite (520 cases). In addition to the five-tier CSV benchmark, the system is exercised against a multilingual utterance sheet of 520 rows: 13 symptom labels × 5 varied utterances × 2 forms (plain statement and negated statement) × 4 language variants (English, Filipino, Cebuano, and mixed code-switch). Each row's expected labels were reviewed by the licensed-pharmacist adviser, and the sheet doubles as the labeled corpus for the fine-tuned classification head (de-duplicated together with the 288-case benchmark into the 767 training rows described under the semantic stage). Accordingly, for the fine-tuned head these 520 rows are regression evidence, while for the cosine-anchor and dictionary paths they are fully held out. Results are reported under Evaluation Results below; of the two rows the deployed system does not resolve exactly, one is a typo in the sheet's own text and the other is a labeling-scheme clash in which the sheet maps a pure-throat utterance to Cough while the product taxonomy defines SORE_THROAT as a first-class label.</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widowControl w:val="0"/>
        <w:spacing w:after="120" w:before="240" w:line="240" w:lineRule="auto"/>
        <w:ind w:firstLine="20"/>
        <w:jc w:val="both"/>
        <w:rPr/>
      </w:pPr>
      <w:r w:rsidDel="00000000" w:rsidR="00000000" w:rsidRPr="00000000">
        <w:rPr>
          <w:strike/>
          <w:color w:val="FF0000"/>
          <w:rtl w:val="0"/>
          <w:highlight w:val="yellow"/>
        </w:rPr>
        <w:t xml:space="preserve">The benchmark is organized into the following tiers: Formal definitions. For a single case, let P be the set of predicted labels and E the expected set. Exact match is set equality, P = E. Per-label micro-averaging pools decisions across the whole corpus:</w:t>
      </w:r>
    </w:p>
    <w:p>
      <w:pPr>
        <w:widowControl w:val="0"/>
        <w:spacing w:after="120" w:before="240" w:line="240" w:lineRule="auto"/>
        <w:ind w:firstLine="20"/>
        <w:jc w:val="both"/>
      </w:pPr>
      <w:r>
        <w:rPr>
          <w:highlight w:val="yellow"/>
        </w:rPr>
        <w:t xml:space="preserve">where TP, FP, and FN count labels across all (case, label) pairs, and</w:t>
      </w:r>
    </w:p>
    <w:p>
      <w:pPr>
        <w:widowControl w:val="0"/>
        <w:spacing w:after="120" w:before="240" w:line="240" w:lineRule="auto"/>
        <w:ind w:firstLine="20"/>
        <w:jc w:val="both"/>
      </w:pPr>
      <w:r>
        <w:rPr>
          <w:highlight w:val="yellow"/>
        </w:rPr>
        <w:t xml:space="preserve">is the average fraction of the 13 labels that are wrong per case over M cases. Macro-F1 averages the per-class F1 equally, giving rare labels the same weight as common ones.</w:t>
      </w:r>
    </w:p>
    <w:p>
      <w:pPr>
        <w:spacing w:after="120" w:before="120" w:line="240" w:lineRule="auto"/>
        <w:jc w:val="center"/>
      </w:pPr>
      <m:oMathPara>
        <m:oMath>
          <m:oMath>
            <m:r>
              <m:rPr>
                <w:rPr>
                  <w:highlight w:val="yellow"/>
                </w:rPr>
              </m:rPr>
              <m:t xml:space="preserve">Hamming loss = </m:t>
            </m:r>
            <m:f>
              <m:num>
                <m:r>
                  <m:rPr>
                    <w:rPr>
                      <w:highlight w:val="yellow"/>
                    </w:rPr>
                  </m:rPr>
                  <m:t xml:space="preserve">1</m:t>
                </m:r>
              </m:num>
              <m:den>
                <m:r>
                  <m:rPr>
                    <w:rPr>
                      <w:highlight w:val="yellow"/>
                    </w:rPr>
                  </m:rPr>
                  <m:t xml:space="preserve">M</m:t>
                </m:r>
              </m:den>
            </m:f>
            <m:nary>
              <m:naryPr>
                <m:chr m:val="∑"/>
                <m:limLoc m:val="undOvr"/>
              </m:naryPr>
              <m:sub>
                <m:r>
                  <m:rPr>
                    <w:rPr>
                      <w:highlight w:val="yellow"/>
                    </w:rPr>
                  </m:rPr>
                  <m:t xml:space="preserve">m = 1</m:t>
                </m:r>
              </m:sub>
              <m:sup>
                <m:r>
                  <m:rPr>
                    <w:rPr>
                      <w:highlight w:val="yellow"/>
                    </w:rPr>
                  </m:rPr>
                  <m:t xml:space="preserve">M</m:t>
                </m:r>
              </m:sup>
              <m:e>
                <m:f>
                  <m:num>
                    <m:d>
                      <m:dPr>
                        <m:begChr m:val="|"/>
                        <m:endChr m:val="|"/>
                      </m:dPr>
                      <m:e>
                        <m:sSub>
                          <m:e>
                            <m:r>
                              <m:rPr>
                                <w:rPr>
                                  <w:highlight w:val="yellow"/>
                                </w:rPr>
                              </m:rPr>
                              <m:t xml:space="preserve">P</m:t>
                            </m:r>
                          </m:e>
                          <m:sub>
                            <m:r>
                              <m:rPr>
                                <w:rPr>
                                  <w:highlight w:val="yellow"/>
                                </w:rPr>
                              </m:rPr>
                              <m:t xml:space="preserve">m</m:t>
                            </m:r>
                          </m:sub>
                        </m:sSub>
                        <m:r>
                          <m:rPr>
                            <w:rPr>
                              <w:highlight w:val="yellow"/>
                            </w:rPr>
                          </m:rPr>
                          <m:t xml:space="preserve"> Δ </m:t>
                        </m:r>
                        <m:sSub>
                          <m:e>
                            <m:r>
                              <m:rPr>
                                <w:rPr>
                                  <w:highlight w:val="yellow"/>
                                </w:rPr>
                              </m:rPr>
                              <m:t xml:space="preserve">E</m:t>
                            </m:r>
                          </m:e>
                          <m:sub>
                            <m:r>
                              <m:rPr>
                                <w:rPr>
                                  <w:highlight w:val="yellow"/>
                                </w:rPr>
                              </m:rPr>
                              <m:t xml:space="preserve">m</m:t>
                            </m:r>
                          </m:sub>
                        </m:sSub>
                      </m:e>
                    </m:d>
                  </m:num>
                  <m:den>
                    <m:r>
                      <m:rPr>
                        <w:rPr>
                          <w:highlight w:val="yellow"/>
                        </w:rPr>
                      </m:rPr>
                      <m:t xml:space="preserve">13</m:t>
                    </m:r>
                  </m:den>
                </m:f>
              </m:e>
            </m:nary>
          </m:oMath>
        </m:oMath>
      </m:oMathPara>
      <w:r>
        <w:rPr>
          <w:highlight w:val="yellow"/>
        </w:rPr>
        <w:t>    (10)</w:t>
      </w:r>
    </w:p>
    <w:p>
      <w:pPr>
        <w:spacing w:after="120" w:before="120" w:line="240" w:lineRule="auto"/>
        <w:jc w:val="center"/>
      </w:pPr>
      <m:oMathPara>
        <m:oMath>
          <m:oMath>
            <m:r>
              <m:rPr>
                <w:rPr>
                  <w:highlight w:val="yellow"/>
                </w:rPr>
              </m:rPr>
              <m:t xml:space="preserve">Precision = </m:t>
            </m:r>
            <m:f>
              <m:num>
                <m:r>
                  <m:rPr>
                    <w:rPr>
                      <w:highlight w:val="yellow"/>
                    </w:rPr>
                  </m:rPr>
                  <m:t xml:space="preserve">TP</m:t>
                </m:r>
              </m:num>
              <m:den>
                <m:r>
                  <m:rPr>
                    <w:rPr>
                      <w:highlight w:val="yellow"/>
                    </w:rPr>
                  </m:rPr>
                  <m:t xml:space="preserve">(TP + FP)</m:t>
                </m:r>
              </m:den>
            </m:f>
            <m:r>
              <m:rPr>
                <w:rPr>
                  <w:highlight w:val="yellow"/>
                </w:rPr>
              </m:rPr>
              <m:t xml:space="preserve">,     Recall = </m:t>
            </m:r>
            <m:f>
              <m:num>
                <m:r>
                  <m:rPr>
                    <w:rPr>
                      <w:highlight w:val="yellow"/>
                    </w:rPr>
                  </m:rPr>
                  <m:t xml:space="preserve">TP</m:t>
                </m:r>
              </m:num>
              <m:den>
                <m:r>
                  <m:rPr>
                    <w:rPr>
                      <w:highlight w:val="yellow"/>
                    </w:rPr>
                  </m:rPr>
                  <m:t xml:space="preserve">(TP + FN)</m:t>
                </m:r>
              </m:den>
            </m:f>
          </m:oMath>
        </m:oMath>
      </m:oMathPara>
      <w:r>
        <w:rPr>
          <w:highlight w:val="yellow"/>
        </w:rPr>
        <w:t>    (8)</w:t>
      </w:r>
    </w:p>
    <w:p>
      <w:pPr>
        <w:spacing w:after="120" w:before="120" w:line="240" w:lineRule="auto"/>
        <w:jc w:val="center"/>
      </w:pPr>
      <m:oMathPara>
        <m:oMath>
          <m:oMath>
            <m:r>
              <m:rPr>
                <w:rPr>
                  <w:highlight w:val="yellow"/>
                </w:rPr>
              </m:rPr>
              <m:t xml:space="preserve">F1 = </m:t>
            </m:r>
            <m:f>
              <m:num>
                <m:r>
                  <m:rPr>
                    <w:rPr>
                      <w:highlight w:val="yellow"/>
                    </w:rPr>
                  </m:rPr>
                  <m:t xml:space="preserve">2 · Precision · Recall</m:t>
                </m:r>
              </m:num>
              <m:den>
                <m:r>
                  <m:rPr>
                    <w:rPr>
                      <w:highlight w:val="yellow"/>
                    </w:rPr>
                  </m:rPr>
                  <m:t xml:space="preserve">(Precision + Recall)</m:t>
                </m:r>
              </m:den>
            </m:f>
          </m:oMath>
        </m:oMath>
      </m:oMathPara>
      <w:r>
        <w:rPr>
          <w:highlight w:val="yellow"/>
        </w:rPr>
        <w:t>    (9)</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
        <w:drawing>
          <wp:inline>
            <wp:extent cx="5040000" cy="2976000"/>
            <wp:docPr id="10" name="Picture 10"/>
            <wp:cNvGraphicFramePr>
              <a:graphicFrameLocks noChangeAspect="1"/>
            </wp:cNvGraphicFramePr>
            <a:graphic>
              <a:graphicData uri="http://schemas.openxmlformats.org/drawingml/2006/picture">
                <pic:pic>
                  <pic:nvPicPr>
                    <pic:cNvPr id="0" name="fig9_tiers.png"/>
                    <pic:cNvPicPr/>
                  </pic:nvPicPr>
                  <pic:blipFill>
                    <a:blip r:embed="rId109"/>
                    <a:stretch>
                      <a:fillRect/>
                    </a:stretch>
                  </pic:blipFill>
                  <pic:spPr>
                    <a:xfrm>
                      <a:off x="0" y="0"/>
                      <a:ext cx="5040000" cy="2976000"/>
                    </a:xfrm>
                    <a:prstGeom prst="rect"/>
                  </pic:spPr>
                </pic:pic>
              </a:graphicData>
            </a:graphic>
          </wp:inline>
        </w:drawing>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Figure 9: Benchmark tiers (319 cases) with guided-pipeline pass rates. All five tiers pass exactly under the deployed flow.</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Pr>
          <w:b w:val="1"/>
          <w:bCs w:val="1"/>
          <w:color w:val="000000"/>
          <w:sz w:val="22"/>
          <w:szCs w:val="22"/>
          <w:highlight w:val="yellow"/>
          <w:rtl w:val="0"/>
        </w:rPr>
        <w:t>Additional Validation Sets</w:t>
      </w:r>
    </w:p>
    <w:p w:rsidR="00000000" w:rsidDel="00000000" w:rsidP="00000000" w:rsidRDefault="00000000" w:rsidRPr="00000000" w14:paraId="00000238">
      <w:pPr>
        <w:widowControl w:val="0"/>
        <w:spacing w:after="120" w:before="240" w:line="240" w:lineRule="auto"/>
        <w:ind w:firstLine="20"/>
        <w:jc w:val="both"/>
        <w:rPr/>
      </w:pPr>
      <w:r>
        <w:rPr>
          <w:b/>
          <w:highlight w:val="yellow"/>
        </w:rPr>
        <w:t xml:space="preserve">outside the dictionary's 587 curated phrases</w:t>
      </w:r>
    </w:p>
    <w:p w:rsidR="00000000" w:rsidDel="00000000" w:rsidP="00000000" w:rsidRDefault="00000000" w:rsidRPr="00000000" w14:paraId="00000239">
      <w:pPr>
        <w:widowControl w:val="0"/>
        <w:spacing w:after="120" w:before="240" w:line="240" w:lineRule="auto"/>
        <w:ind w:firstLine="20"/>
        <w:jc w:val="both"/>
        <w:rPr/>
      </w:pPr>
      <w:r>
        <w:rPr>
          <w:b/>
          <w:highlight w:val="yellow"/>
          <w:rtl w:val="0"/>
        </w:rPr>
        <w:t>Fresh Negative Set (20 cases, implemented). Twenty kiosk-style distractor utterances (chit-chat, price inquiries, gibberish — e.g., “magkano ang biogesic”, “salamat”, “asdfghjkl”) test the honesty requirement that nothing fires when no symptom is present; they were never used to build any rule, anchor, or training row. Both the fine-tuned head and the cosine path score 20/20 (nothing emitted). The Real-User Simulation set remains the planned Iteration-2 deliverable.</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widowControl w:val="0"/>
        <w:spacing w:after="120" w:before="240" w:line="240" w:lineRule="auto"/>
        <w:ind w:firstLine="20"/>
        <w:jc w:val="both"/>
        <w:rPr/>
      </w:pPr>
      <w:r>
        <w:rPr>
          <w:strike/>
          <w:color w:val="FF0000"/>
          <w:highlight w:val="yellow"/>
          <w:rtl w:val="0"/>
        </w:rPr>
        <w:t xml:space="preserve">The structured benchmark was run against the deployed pipeline on the current codebase with the fine-tuned semantic head active. On the 288 detection cases (Tiers 1–4), the system reaches 288/288 (100.0%) exact match once the cough clarification step is simulated, and 234/288 (81.2%, micro-F1 0.851) on the raw output before clarification — the same count as the standalone dictionary stage (234/288, 81.2%): the precision-first gate lets the semantic stage decide only the dictionary-miss cases, and on this synthetic set none of its suggestions changes a raw outcome (see Table 11). The precision-first gate guarantees the pipeline never drops below the deterministic stage's raw result. The Tier 5 Duration Safeguard passes 31/31 (100%). Two further implemented suites round out the picture: the multilingual 520-row sheet resolves 518/520 (99.6%), with only the two documented annotation anomalies unresolved, and the free-text headache-type intake passes 60/60 (100%). The regression suite (pytest) reports 90 tests and 93 subtests passing — including the negation-scope, wellness-predicate, and typo-rescue cases introduced with this revision — and the six pure-negation traps in the 288-case set are all handled (6/6). Table 10 summarizes these results.</w:t>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highlight w:val="yellow"/>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Pr>
                <w:highlight w:val="yellow"/>
              </w:rPr>
              <w:t>288/288 (100.0%)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Pr>
                <w:highlight w:val="yellow"/>
              </w:rPr>
              <w:t>0 misses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highlight w:val="yellow"/>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Pr>
                <w:highlight w:val="yellow"/>
              </w:rPr>
              <w:t xml:space="preserve">234/288 (81.2%); micro-F1 0.851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r>
        <w:tc>
          <w:tcPr>
            <w:tcW w:type="dxa" w:w="2160"/>
          </w:tcPr>
          <w:p>
            <w:r>
              <w:rPr>
                <w:highlight w:val="yellow"/>
              </w:rPr>
              <w:t xml:space="preserve">Multilingual Evaluation Suite (520)</w:t>
            </w:r>
          </w:p>
        </w:tc>
        <w:tc>
          <w:tcPr>
            <w:tcW w:type="dxa" w:w="2160"/>
          </w:tcPr>
          <w:p>
            <w:r>
              <w:rPr>
                <w:highlight w:val="yellow"/>
              </w:rPr>
              <w:t xml:space="preserve">520</w:t>
            </w:r>
          </w:p>
        </w:tc>
        <w:tc>
          <w:tcPr>
            <w:tcW w:type="dxa" w:w="2160"/>
          </w:tcPr>
          <w:p>
            <w:r>
              <w:rPr>
                <w:highlight w:val="yellow"/>
              </w:rPr>
              <w:t xml:space="preserve">518/520 (99.6%)</w:t>
            </w:r>
          </w:p>
        </w:tc>
        <w:tc>
          <w:tcPr>
            <w:tcW w:type="dxa" w:w="2145"/>
          </w:tcPr>
          <w:p>
            <w:r>
              <w:rPr>
                <w:highlight w:val="yellow"/>
              </w:rPr>
              <w:t xml:space="preserve">2 annotation anomalies</w:t>
            </w:r>
          </w:p>
        </w:tc>
      </w:tr>
      <w:tr>
        <w:tc>
          <w:tcPr>
            <w:tcW w:type="dxa" w:w="2160"/>
          </w:tcPr>
          <w:p>
            <w:r>
              <w:rPr>
                <w:highlight w:val="yellow"/>
              </w:rPr>
              <w:t xml:space="preserve">Semantic Generalization (16 held-out)</w:t>
            </w:r>
          </w:p>
        </w:tc>
        <w:tc>
          <w:tcPr>
            <w:tcW w:type="dxa" w:w="2160"/>
          </w:tcPr>
          <w:p>
            <w:r>
              <w:rPr>
                <w:highlight w:val="yellow"/>
              </w:rPr>
              <w:t xml:space="preserve">16</w:t>
            </w:r>
          </w:p>
        </w:tc>
        <w:tc>
          <w:tcPr>
            <w:tcW w:type="dxa" w:w="2160"/>
          </w:tcPr>
          <w:p>
            <w:r>
              <w:rPr>
                <w:highlight w:val="yellow"/>
              </w:rPr>
              <w:t xml:space="preserve">9/16 direct; 10/16 guarded</w:t>
            </w:r>
          </w:p>
        </w:tc>
        <w:tc>
          <w:tcPr>
            <w:tcW w:type="dxa" w:w="2145"/>
          </w:tcPr>
          <w:p>
            <w:r>
              <w:rPr>
                <w:highlight w:val="yellow"/>
              </w:rPr>
              <w:t xml:space="preserve">deep-figurative, guard-vetoed misses</w:t>
            </w:r>
          </w:p>
        </w:tc>
      </w:tr>
      <w:tr>
        <w:tc>
          <w:tcPr>
            <w:tcW w:type="dxa" w:w="2160"/>
          </w:tcPr>
          <w:p>
            <w:r>
              <w:rPr>
                <w:highlight w:val="yellow"/>
              </w:rPr>
              <w:t xml:space="preserve">Fresh Negatives (20 held-out)</w:t>
            </w:r>
          </w:p>
        </w:tc>
        <w:tc>
          <w:tcPr>
            <w:tcW w:type="dxa" w:w="2160"/>
          </w:tcPr>
          <w:p>
            <w:r>
              <w:rPr>
                <w:highlight w:val="yellow"/>
              </w:rPr>
              <w:t xml:space="preserve">20</w:t>
            </w:r>
          </w:p>
        </w:tc>
        <w:tc>
          <w:tcPr>
            <w:tcW w:type="dxa" w:w="2160"/>
          </w:tcPr>
          <w:p>
            <w:r>
              <w:rPr>
                <w:highlight w:val="yellow"/>
              </w:rPr>
              <w:t xml:space="preserve">20/20 (100%)</w:t>
            </w:r>
          </w:p>
        </w:tc>
        <w:tc>
          <w:tcPr>
            <w:tcW w:type="dxa" w:w="2145"/>
          </w:tcPr>
          <w:p>
            <w:r>
              <w:rPr>
                <w:highlight w:val="yellow"/>
              </w:rPr>
              <w:t xml:space="preserve">—</w:t>
            </w:r>
          </w:p>
        </w:tc>
      </w:tr>
      <w:tr>
        <w:tc>
          <w:tcPr>
            <w:tcW w:type="dxa" w:w="2160"/>
          </w:tcPr>
          <w:p>
            <w:r>
              <w:rPr>
                <w:highlight w:val="yellow"/>
              </w:rPr>
              <w:t xml:space="preserve">Headache-Type Intake</w:t>
            </w:r>
          </w:p>
        </w:tc>
        <w:tc>
          <w:tcPr>
            <w:tcW w:type="dxa" w:w="2160"/>
          </w:tcPr>
          <w:p>
            <w:r>
              <w:rPr>
                <w:highlight w:val="yellow"/>
              </w:rPr>
              <w:t xml:space="preserve">60</w:t>
            </w:r>
          </w:p>
        </w:tc>
        <w:tc>
          <w:tcPr>
            <w:tcW w:type="dxa" w:w="2160"/>
          </w:tcPr>
          <w:p>
            <w:r>
              <w:rPr>
                <w:highlight w:val="yellow"/>
              </w:rPr>
              <w:t xml:space="preserve">60/60 (100%)</w:t>
            </w:r>
          </w:p>
        </w:tc>
        <w:tc>
          <w:tcPr>
            <w:tcW w:type="dxa" w:w="2145"/>
          </w:tcPr>
          <w:p>
            <w:r>
              <w:rPr>
                <w:highlight w:val="yellow"/>
              </w:rPr>
              <w:t xml:space="preserve">—</w:t>
            </w:r>
          </w:p>
        </w:tc>
      </w:tr>
    </w:tbl>
    <w:p w:rsidR="00000000" w:rsidDel="00000000" w:rsidP="00000000" w:rsidRDefault="00000000" w:rsidRPr="00000000" w14:paraId="0000024F">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widowControl w:val="0"/>
        <w:spacing w:after="120" w:before="240" w:line="240" w:lineRule="auto"/>
        <w:ind w:firstLine="20"/>
        <w:jc w:val="both"/>
        <w:rPr/>
      </w:pPr>
      <w:r>
        <w:rPr>
          <w:highlight w:val="yellow"/>
          <w:rtl w:val="0"/>
        </w:rPr>
        <w:t xml:space="preserve">Table 10 (per-stage detection) and Table 12 (comparative models) report different numbers on the same 288 cases because they evaluate different points in the pipeline. When a case involves cough, Table 10's “with clarification” row simulates the user answering the cough-type question (“Is your cough dry or with phlegm?”), resolving COUGH_GENERAL into a specific type; under that condition the system reaches 288/288 (100.0%). The “raw output” row removes that step, so 54 cough cases score as mismatches because the system returns COUGH_GENERAL instead of the specific type, yielding 234/288 (81.2%) and micro-F1 0.851.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b/>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widowControl w:val="0"/>
        <w:spacing w:after="120" w:before="240" w:line="240" w:lineRule="auto"/>
        <w:ind w:firstLine="20"/>
        <w:jc w:val="both"/>
        <w:rPr/>
      </w:pPr>
      <w:r>
        <w:rPr>
          <w:highlight w:val="yellow"/>
          <w:rtl w:val="0"/>
        </w:rPr>
        <w:t>The 54 raw-output mismatches are all cough-type cases and are resolved by the clarification step in the deployed flow. Early Iteration-1 runs reported five open detection errors; these were closed during the refinement cycle by (1) making bare breathing-difficulty phrases a respiratory red flag rather than a nasal-congestion detection, (2) extending negation to plural word forms and phrase-initial negation idioms, and (3) tightening the fuzzy rescue so a misspelling repair cannot resurrect an explicitly negated or already-exact symptom. In the final codebase the guided flow is exact on all 288 detection cases. An evaluation that conceals its own failure history is not a useful evaluation, which is why the five pre-existing recommendation-stage mismatches (edge-case dosing-rule combinations among the 225 recommendation checks) are reported in the benchmark log next to the 220 passing checks rather than hidden.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162">
      <w:pPr>
        <w:widowControl w:val="0"/>
        <w:spacing w:after="120" w:before="240" w:line="240" w:lineRule="auto"/>
        <w:ind w:firstLine="20"/>
        <w:jc w:val="both"/>
        <w:rPr/>
      </w:pPr>
      <w:r>
        <w:rPr>
          <w:b/>
          <w:highlight w:val="yellow"/>
        </w:rPr>
        <w:t xml:space="preserve">Semantic backend comparison. </w:t>
      </w:r>
      <w:r>
        <w:rPr>
          <w:highlight w:val="yellow"/>
        </w:rPr>
        <w:t xml:space="preserve">Because the semantic stage fires only on dictionary misses, its quality is measured on held-out paraphrases rather than on the synthetic benchmark. Table 11 compares the two semantic implementations run live through the full pipeline: the shipped fine-tuned classifier (engine mendo-expert-minilm-finetuned-v1) and the zero-shot cosine-anchor path (mendo-expert-minilm-v3.2). Both are exact on the 288-case benchmark (for the classifier this is in-sample regression only — its honest evidence is the held-out sets), and both emit zero symptoms on all 20 fresh chit-chat negatives. On the 16 held-out paraphrases the classifier resolves 9/16 with direct scoring (10/16 when the sheet's BODY_ACHE→BODY_ACHES annotation is canonicalized and the pipeline's lexical guards are active), versus 8/16 for the cosine path; the classifier is also about 5× faster per semantic query (~11 ms versus ~59 ms on CPU). The remaining misses are deep-figurative phrases that the guards veto — safe-by-design misses, never false positives.</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Table 11: Semantic Backend Comparison (live, full-pipeline)</w:t>
      </w:r>
    </w:p>
    <w:p>
      <w:r>
        <w:drawing>
          <wp:inline>
            <wp:extent cx="5580000" cy="2559162"/>
            <wp:docPr id="11" name="Picture 11"/>
            <wp:cNvGraphicFramePr>
              <a:graphicFrameLocks noChangeAspect="1"/>
            </wp:cNvGraphicFramePr>
            <a:graphic>
              <a:graphicData uri="http://schemas.openxmlformats.org/drawingml/2006/picture">
                <pic:pic>
                  <pic:nvPicPr>
                    <pic:cNvPr id="0" name="fig10_backends.png"/>
                    <pic:cNvPicPr/>
                  </pic:nvPicPr>
                  <pic:blipFill>
                    <a:blip r:embed="rId110"/>
                    <a:stretch>
                      <a:fillRect/>
                    </a:stretch>
                  </pic:blipFill>
                  <pic:spPr>
                    <a:xfrm>
                      <a:off x="0" y="0"/>
                      <a:ext cx="5580000" cy="2559162"/>
                    </a:xfrm>
                    <a:prstGeom prst="rect"/>
                  </pic:spPr>
                </pic:pic>
              </a:graphicData>
            </a:graphic>
          </wp:inline>
        </w:drawing>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Figure 10: Semantic backend comparison — held-out paraphrases (direct), fresh negatives, and per-query latency on CPU.</w:t>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
      <w:tr>
        <w:tc>
          <w:tcPr>
            <w:tcW w:type="dxa" w:w="3000"/>
          </w:tcPr>
          <w:p>
            <w:r>
              <w:rPr>
                <w:highlight w:val="yellow"/>
              </w:rPr>
              <w:t xml:space="preserve">Metric</w:t>
            </w:r>
          </w:p>
        </w:tc>
        <w:tc>
          <w:tcPr>
            <w:tcW w:type="dxa" w:w="3000"/>
          </w:tcPr>
          <w:p>
            <w:r>
              <w:rPr>
                <w:highlight w:val="yellow"/>
              </w:rPr>
              <w:t xml:space="preserve">Fine-tuned classifier</w:t>
            </w:r>
          </w:p>
        </w:tc>
        <w:tc>
          <w:tcPr>
            <w:tcW w:type="dxa" w:w="3000"/>
          </w:tcPr>
          <w:p>
            <w:r>
              <w:rPr>
                <w:highlight w:val="yellow"/>
              </w:rPr>
              <w:t xml:space="preserve">Cosine-anchor (zero-shot)</w:t>
            </w:r>
          </w:p>
        </w:tc>
      </w:tr>
      <w:tr>
        <w:tc>
          <w:tcPr>
            <w:tcW w:type="dxa" w:w="3000"/>
          </w:tcPr>
          <w:p>
            <w:r>
              <w:rPr>
                <w:highlight w:val="yellow"/>
              </w:rPr>
              <w:t xml:space="preserve">Mendo Dictionary (Stage 1)</w:t>
            </w:r>
          </w:p>
        </w:tc>
        <w:tc>
          <w:tcPr>
            <w:tcW w:type="dxa" w:w="3000"/>
          </w:tcPr>
          <w:p>
            <w:r>
              <w:rPr>
                <w:highlight w:val="yellow"/>
              </w:rPr>
              <w:t xml:space="preserve">234/288 (81.2%)</w:t>
            </w:r>
          </w:p>
        </w:tc>
        <w:tc>
          <w:tcPr>
            <w:tcW w:type="dxa" w:w="3000"/>
          </w:tcPr>
          <w:p>
            <w:r>
              <w:rPr>
                <w:highlight w:val="yellow"/>
              </w:rPr>
              <w:t xml:space="preserve">0.854</w:t>
            </w:r>
          </w:p>
        </w:tc>
      </w:tr>
      <w:tr>
        <w:tc>
          <w:tcPr>
            <w:tcW w:type="dxa" w:w="3000"/>
          </w:tcPr>
          <w:p>
            <w:r>
              <w:rPr>
                <w:highlight w:val="yellow"/>
              </w:rPr>
              <w:t xml:space="preserve">Mendo Hybrid Pipeline (deployed)</w:t>
            </w:r>
          </w:p>
        </w:tc>
        <w:tc>
          <w:tcPr>
            <w:tcW w:type="dxa" w:w="3000"/>
          </w:tcPr>
          <w:p>
            <w:r>
              <w:rPr>
                <w:highlight w:val="yellow"/>
              </w:rPr>
              <w:t xml:space="preserve">234/288 (81.2%)</w:t>
            </w:r>
          </w:p>
        </w:tc>
        <w:tc>
          <w:tcPr>
            <w:tcW w:type="dxa" w:w="3000"/>
          </w:tcPr>
          <w:p>
            <w:r>
              <w:rPr>
                <w:highlight w:val="yellow"/>
              </w:rPr>
              <w:t xml:space="preserve">0.854</w:t>
            </w:r>
          </w:p>
        </w:tc>
      </w:tr>
      <w:tr>
        <w:tc>
          <w:tcPr>
            <w:tcW w:type="dxa" w:w="3000"/>
          </w:tcPr>
          <w:p>
            <w:r>
              <w:rPr>
                <w:highlight w:val="yellow"/>
              </w:rPr>
              <w:t xml:space="preserve">0.849</w:t>
            </w:r>
          </w:p>
        </w:tc>
        <w:tc>
          <w:tcPr>
            <w:tcW w:type="dxa" w:w="3000"/>
          </w:tcPr>
          <w:p>
            <w:r>
              <w:rPr>
                <w:highlight w:val="yellow"/>
              </w:rPr>
              <w:t xml:space="preserve">0.851</w:t>
            </w:r>
          </w:p>
        </w:tc>
        <w:tc>
          <w:tcPr>
            <w:tcW w:type="dxa" w:w="3000"/>
          </w:tcPr>
          <w:p>
            <w:r>
              <w:rPr>
                <w:highlight w:val="yellow"/>
              </w:rPr>
              <w:t xml:space="preserve">0.028</w:t>
            </w:r>
          </w:p>
        </w:tc>
      </w:tr>
      <w:tr>
        <w:tc>
          <w:tcPr>
            <w:tcW w:type="dxa" w:w="3000"/>
          </w:tcPr>
          <w:p>
            <w:r>
              <w:rPr>
                <w:highlight w:val="yellow"/>
              </w:rPr>
              <w:t xml:space="preserve">4.4</w:t>
            </w:r>
          </w:p>
        </w:tc>
        <w:tc>
          <w:tcPr>
            <w:tcW w:type="dxa" w:w="3000"/>
          </w:tcPr>
          <w:p>
            <w:r>
              <w:rPr>
                <w:highlight w:val="yellow"/>
              </w:rPr>
              <w:t xml:space="preserve">9/16 (56.2%)</w:t>
            </w:r>
          </w:p>
        </w:tc>
        <w:tc>
          <w:tcPr>
            <w:tcW w:type="dxa" w:w="3000"/>
          </w:tcPr>
          <w:p>
            <w:r>
              <w:rPr>
                <w:highlight w:val="yellow"/>
              </w:rPr>
              <w:t xml:space="preserve">8/16 (50.0%)</w:t>
            </w:r>
          </w:p>
        </w:tc>
      </w:tr>
      <w:tr>
        <w:tc>
          <w:tcPr>
            <w:tcW w:type="dxa" w:w="3000"/>
          </w:tcPr>
          <w:p>
            <w:r>
              <w:rPr>
                <w:highlight w:val="yellow"/>
              </w:rPr>
              <w:t xml:space="preserve">16 held-out paraphrases (guarded)</w:t>
            </w:r>
          </w:p>
        </w:tc>
        <w:tc>
          <w:tcPr>
            <w:tcW w:type="dxa" w:w="3000"/>
          </w:tcPr>
          <w:p>
            <w:r>
              <w:rPr>
                <w:highlight w:val="yellow"/>
              </w:rPr>
              <w:t xml:space="preserve">10/16 (62.5%)</w:t>
            </w:r>
          </w:p>
        </w:tc>
        <w:tc>
          <w:tcPr>
            <w:tcW w:type="dxa" w:w="3000"/>
          </w:tcPr>
          <w:p>
            <w:r>
              <w:rPr>
                <w:highlight w:val="yellow"/>
              </w:rPr>
              <w:t xml:space="preserve">—</w:t>
            </w:r>
          </w:p>
        </w:tc>
      </w:tr>
      <w:tr>
        <w:tc>
          <w:tcPr>
            <w:tcW w:type="dxa" w:w="3000"/>
          </w:tcPr>
          <w:p>
            <w:r>
              <w:rPr>
                <w:highlight w:val="yellow"/>
              </w:rPr>
              <w:t xml:space="preserve">20 fresh negatives</w:t>
            </w:r>
          </w:p>
        </w:tc>
        <w:tc>
          <w:tcPr>
            <w:tcW w:type="dxa" w:w="3000"/>
          </w:tcPr>
          <w:p>
            <w:r>
              <w:rPr>
                <w:highlight w:val="yellow"/>
              </w:rPr>
              <w:t xml:space="preserve">20/20 (100%)</w:t>
            </w:r>
          </w:p>
        </w:tc>
        <w:tc>
          <w:tcPr>
            <w:tcW w:type="dxa" w:w="3000"/>
          </w:tcPr>
          <w:p>
            <w:r>
              <w:rPr>
                <w:highlight w:val="yellow"/>
              </w:rPr>
              <w:t xml:space="preserve">20/20 (100%)</w:t>
            </w:r>
          </w:p>
        </w:tc>
      </w:tr>
      <w:tr>
        <w:tc>
          <w:tcPr>
            <w:tcW w:type="dxa" w:w="3000"/>
          </w:tcPr>
          <w:p>
            <w:r>
              <w:rPr>
                <w:highlight w:val="yellow"/>
              </w:rPr>
              <w:t xml:space="preserve">Semantic latency (CPU)</w:t>
            </w:r>
          </w:p>
        </w:tc>
        <w:tc>
          <w:tcPr>
            <w:tcW w:type="dxa" w:w="3000"/>
          </w:tcPr>
          <w:p>
            <w:r>
              <w:rPr>
                <w:highlight w:val="yellow"/>
              </w:rPr>
              <w:t xml:space="preserve">≈ 11 ms/query</w:t>
            </w:r>
          </w:p>
        </w:tc>
        <w:tc>
          <w:tcPr>
            <w:tcW w:type="dxa" w:w="3000"/>
          </w:tcPr>
          <w:p>
            <w:r>
              <w:rPr>
                <w:highlight w:val="yellow"/>
              </w:rPr>
              <w:t xml:space="preserve">≈ 59 ms/query</w:t>
            </w:r>
          </w:p>
        </w:tc>
      </w:tr>
      <w:tr>
        <w:tc>
          <w:tcPr>
            <w:tcW w:type="dxa" w:w="3000"/>
          </w:tcPr>
          <w:p>
            <w:r>
              <w:rPr>
                <w:highlight w:val="yellow"/>
              </w:rPr>
              <w:t xml:space="preserve">Weights</w:t>
            </w:r>
          </w:p>
        </w:tc>
        <w:tc>
          <w:tcPr>
            <w:tcW w:type="dxa" w:w="3000"/>
          </w:tcPr>
          <w:p>
            <w:r>
              <w:rPr>
                <w:highlight w:val="yellow"/>
              </w:rPr>
              <w:t xml:space="preserve">33M frozen + ~20K head</w:t>
            </w:r>
          </w:p>
        </w:tc>
        <w:tc>
          <w:tcPr>
            <w:tcW w:type="dxa" w:w="3000"/>
          </w:tcPr>
          <w:p>
            <w:r>
              <w:rPr>
                <w:highlight w:val="yellow"/>
              </w:rPr>
              <w:t xml:space="preserve">33M frozen (zero-shot)</w:t>
            </w:r>
          </w:p>
        </w:tc>
      </w:tr>
    </w:tbl>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b/>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after="120" w:before="240" w:line="240" w:lineRule="auto"/>
        <w:ind w:firstLine="20"/>
        <w:jc w:val="both"/>
        <w:rPr/>
      </w:pPr>
      <w:r>
        <w:rPr>
          <w:b/>
          <w:highlight w:val="yellow"/>
          <w:rtl w:val="0"/>
        </w:rPr>
        <w:t>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after="120" w:before="240" w:line="240" w:lineRule="auto"/>
        <w:ind w:firstLine="20"/>
        <w:jc w:val="both"/>
        <w:rPr/>
      </w:pPr>
      <w:r>
        <w:rPr>
          <w:b/>
          <w:highlight w:val="yellow"/>
          <w:rtl w:val="0"/>
        </w:rPr>
        <w:t xml:space="preserve">The Mendo rows of Table 12</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strike/>
                <w:color w:val="FF0000"/>
                <w:rtl w:val="0"/>
              </w:rPr>
              <w:t xml:space="preserve">234/288 (81.2%)</w:t>
            </w:r>
            <w:r>
              <w:rPr/>
              <w:t xml:space="preserve">  </w:t>
            </w:r>
            <w:r>
              <w:rPr>
                <w:highlight w:val="yellow"/>
              </w:rPr>
              <w:t xml:space="preserve">231/288 (80.2%)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Pr>
                <w:strike/>
                <w:color w:val="FF0000"/>
                <w:highlight w:val="yellow"/>
              </w:rPr>
              <w:t>0.863</w:t>
            </w:r>
            <w:r>
              <w:rPr/>
              <w:t xml:space="preserve">  </w:t>
            </w:r>
            <w:r>
              <w:rPr>
                <w:highlight w:val="yellow"/>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Pr>
                <w:strike/>
                <w:color w:val="FF0000"/>
                <w:highlight w:val="yellow"/>
              </w:rPr>
              <w:t>0.849</w:t>
            </w:r>
            <w:r>
              <w:rPr/>
              <w:t xml:space="preserve">  </w:t>
            </w:r>
            <w:r>
              <w:rPr>
                <w:highlight w:val="yellow"/>
              </w:rPr>
              <w:t xml:space="preserve">0.846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Pr>
                <w:strike/>
                <w:color w:val="FF0000"/>
                <w:highlight w:val="yellow"/>
              </w:rPr>
              <w:t>0.856</w:t>
            </w:r>
            <w:r>
              <w:rPr/>
              <w:t xml:space="preserve">  </w:t>
            </w:r>
            <w:r>
              <w:rPr>
                <w:highlight w:val="yellow"/>
              </w:rPr>
              <w:t xml:space="preserve">0.851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Pr>
                <w:strike/>
                <w:color w:val="FF0000"/>
                <w:highlight w:val="yellow"/>
              </w:rPr>
              <w:t>0.027</w:t>
            </w:r>
            <w:r>
              <w:rPr/>
              <w:t xml:space="preserve">  </w:t>
            </w:r>
            <w:r>
              <w:rPr>
                <w:highlight w:val="yellow"/>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Pr>
                <w:strike/>
                <w:color w:val="FF0000"/>
                <w:highlight w:val="yellow"/>
              </w:rPr>
              <w:t>2.1</w:t>
            </w:r>
            <w:r>
              <w:rPr/>
              <w:t xml:space="preserve">  </w:t>
            </w:r>
            <w:r>
              <w:rPr>
                <w:highlight w:val="yellow"/>
              </w:rPr>
              <w:t xml:space="preserve">2.1</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Pr>
                <w:strike/>
                <w:color w:val="FF0000"/>
                <w:highlight w:val="yellow"/>
              </w:rPr>
              <w:t>234/288 (81.2%)</w:t>
            </w:r>
            <w:r>
              <w:rPr/>
              <w:t xml:space="preserve">  </w:t>
            </w:r>
            <w:r>
              <w:rPr>
                <w:highlight w:val="yellow"/>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Pr>
                <w:strike/>
                <w:color w:val="FF0000"/>
                <w:highlight w:val="yellow"/>
              </w:rPr>
              <w:t>0.863</w:t>
            </w:r>
            <w:r>
              <w:rPr/>
              <w:t xml:space="preserve">  </w:t>
            </w:r>
            <w:r>
              <w:rPr>
                <w:highlight w:val="yellow"/>
              </w:rPr>
              <w:t xml:space="preserve">0.863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Pr>
                <w:strike/>
                <w:color w:val="FF0000"/>
                <w:highlight w:val="yellow"/>
              </w:rPr>
              <w:t>0.849</w:t>
            </w:r>
            <w:r>
              <w:rPr/>
              <w:t xml:space="preserve">  </w:t>
            </w:r>
            <w:r>
              <w:rPr>
                <w:highlight w:val="yellow"/>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Pr>
                <w:strike/>
                <w:color w:val="FF0000"/>
                <w:highlight w:val="yellow"/>
              </w:rPr>
              <w:t>0.856</w:t>
            </w:r>
            <w:r>
              <w:rPr/>
              <w:t xml:space="preserve">  </w:t>
            </w:r>
            <w:r>
              <w:rPr>
                <w:highlight w:val="yellow"/>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Pr>
                <w:strike/>
                <w:color w:val="FF0000"/>
                <w:highlight w:val="yellow"/>
              </w:rPr>
              <w:t>0.027</w:t>
            </w:r>
            <w:r>
              <w:rPr/>
              <w:t xml:space="preserve">  </w:t>
            </w:r>
            <w:r>
              <w:rPr>
                <w:highlight w:val="yellow"/>
              </w:rPr>
              <w:t xml:space="preserve">0.027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Pr>
                <w:strike/>
                <w:color w:val="FF0000"/>
                <w:highlight w:val="yellow"/>
              </w:rPr>
              <w:t>4.4</w:t>
            </w:r>
            <w:r>
              <w:rPr/>
              <w:t xml:space="preserve">  </w:t>
            </w:r>
            <w:r>
              <w:rPr>
                <w:highlight w:val="yellow"/>
              </w:rPr>
              <w:t xml:space="preserve">4.4</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120" w:before="240" w:line="240" w:lineRule="auto"/>
        <w:ind w:firstLine="20"/>
        <w:jc w:val="both"/>
        <w:rPr/>
      </w:pPr>
      <w:r w:rsidDel="00000000" w:rsidR="00000000" w:rsidRPr="00000000">
        <w:rPr>
          <w:i w:val="1"/>
          <w:iCs w:val="1"/>
          <w:highlight w:val="white"/>
          <w:rtl w:val="0"/>
        </w:rPr>
        <w:t xml:space="preserve">Table 12: Comparative Benchmark Results</w:t>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after="120" w:before="240" w:line="240" w:lineRule="auto"/>
        <w:ind w:firstLine="20"/>
        <w:jc w:val="both"/>
        <w:rPr/>
      </w:pPr>
      <w:r>
        <w:rPr>
          <w:b/>
          <w:b w:val="1"/>
          <w:bCs w:val="1"/>
          <w:strike/>
          <w:color w:val="FF0000"/>
          <w:highlight w:val="yellow"/>
          <w:rtl w:val="0"/>
        </w:rPr>
        <w:t xml:space="preserve">Analysis. In the raw (no-clarification) setting, the deployed hybrid reaches 234/288 (81.2%) — the same count as the standalone dictionary stage (234/288, 81.2%): the precision-first gate lets the semantic fallback decide only the dictionary-miss cases, and on this synthetic set none of its suggestions changes a raw outcome. The semantic stage's measurable contribution appears on the held-out paraphrase set instead (9/16 direct, 10/16 guarded — see Table 11). Both Mendo rows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 Within the same comparison, the fine-tuned 13-label head demonstrates that the constraint that limits the general baselines — data scarcity — is exactly what the curated dictionary-plus-semantic architecture was designed to absorb.</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b/>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highlight w:val="yellow"/>
        </w:rPr>
        <w:t xml:space="preserve">returns results in about 11 milliseconds per query on CPU when the fine-tuned head fires (≈59 ms for the zero-shot cosine path)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B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C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center"/>
        <w:rPr/>
      </w:pPr>
      <w:r w:rsidDel="00000000" w:rsidR="00000000" w:rsidRPr="00000000">
        <w:rPr/>
        <w:drawing>
          <wp:inline distB="114300" distT="114300" distL="114300" distR="114300">
            <wp:extent cx="5719763" cy="6013411"/>
            <wp:effectExtent b="0" l="0" r="0" t="0"/>
            <wp:docPr id="2"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CA">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CB">
      <w:pPr>
        <w:widowControl w:val="0"/>
        <w:spacing w:after="240" w:before="240" w:line="240" w:lineRule="auto"/>
        <w:jc w:val="center"/>
        <w:rPr>
          <w:i w:val="1"/>
          <w:iCs w:val="1"/>
        </w:rPr>
      </w:pPr>
      <w:r w:rsidDel="00000000" w:rsidR="00000000" w:rsidRPr="00000000">
        <w:rPr>
          <w:i w:val="1"/>
          <w:iCs w:val="1"/>
          <w:rtl w:val="0"/>
        </w:rPr>
        <w:t xml:space="preserve">Figure 4:</w:t>
      </w:r>
      <w:r w:rsidDel="00000000" w:rsidR="00000000" w:rsidRPr="00000000">
        <w:rPr>
          <w:b w:val="1"/>
          <w:bCs w:val="1"/>
          <w:i w:val="1"/>
          <w:iCs w:val="1"/>
          <w:rtl w:val="0"/>
        </w:rPr>
        <w:t xml:space="preserve"> </w:t>
      </w:r>
      <w:r w:rsidDel="00000000" w:rsidR="00000000" w:rsidRPr="00000000">
        <w:rPr>
          <w:i w:val="1"/>
          <w:iCs w:val="1"/>
          <w:rtl w:val="0"/>
        </w:rPr>
        <w:t xml:space="preserve">Hardware architecture of the kiosk. Cash and touch input enter at the top, the Pi and the Arduino divide the work, and one container leaves the bottom. Solid outlines mark hardware that is present and has been measured</w:t>
      </w:r>
    </w:p>
    <w:p w:rsidR="00000000" w:rsidDel="00000000" w:rsidP="00000000" w:rsidRDefault="00000000" w:rsidRPr="00000000" w14:paraId="000002CC">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CD">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CE">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CF">
      <w:pPr>
        <w:widowControl w:val="0"/>
        <w:spacing w:after="240" w:before="240" w:line="240" w:lineRule="auto"/>
        <w:jc w:val="left"/>
        <w:rPr>
          <w:b w:val="1"/>
          <w:bCs w:val="1"/>
        </w:rPr>
      </w:pPr>
      <w:r w:rsidDel="00000000" w:rsidR="00000000" w:rsidRPr="00000000">
        <w:rPr>
          <w:b w:val="1"/>
          <w:bCs w:val="1"/>
          <w:rtl w:val="0"/>
        </w:rPr>
        <w:t xml:space="preserve">3D Printed Model</w:t>
      </w:r>
    </w:p>
    <w:p w:rsidR="00000000" w:rsidDel="00000000" w:rsidP="00000000" w:rsidRDefault="00000000" w:rsidRPr="00000000" w14:paraId="000002D0">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sidDel="00000000" w:rsidR="00000000" w:rsidRPr="00000000">
        <w:rPr>
          <w:i w:val="1"/>
          <w:iCs w:val="1"/>
          <w:rtl w:val="0"/>
        </w:rPr>
        <w:t xml:space="preserve">Figure 5: One complete dispensing slot, assembled: deck plate, 9-pocket rotor, stationary magazine, and containers seated in the pockets.</w:t>
      </w:r>
      <w:r w:rsidDel="00000000" w:rsidR="00000000" w:rsidRPr="00000000">
        <w:rPr>
          <w:rtl w:val="0"/>
        </w:rPr>
      </w:r>
    </w:p>
    <w:p w:rsidR="00000000" w:rsidDel="00000000" w:rsidP="00000000" w:rsidRDefault="00000000" w:rsidRPr="00000000" w14:paraId="000002D2">
      <w:pPr>
        <w:widowControl w:val="0"/>
        <w:spacing w:line="240" w:lineRule="auto"/>
        <w:jc w:val="both"/>
        <w:rPr/>
      </w:pPr>
      <w:r w:rsidDel="00000000" w:rsidR="00000000" w:rsidRPr="00000000">
        <w:rPr>
          <w:rtl w:val="0"/>
        </w:rPr>
      </w:r>
    </w:p>
    <w:p w:rsidR="00000000" w:rsidDel="00000000" w:rsidP="00000000" w:rsidRDefault="00000000" w:rsidRPr="00000000" w14:paraId="000002D3">
      <w:pPr>
        <w:widowControl w:val="0"/>
        <w:spacing w:line="240" w:lineRule="auto"/>
        <w:jc w:val="both"/>
        <w:rPr/>
      </w:pPr>
      <w:r w:rsidDel="00000000" w:rsidR="00000000" w:rsidRPr="00000000">
        <w:rPr>
          <w:rtl w:val="0"/>
        </w:rPr>
      </w:r>
    </w:p>
    <w:p w:rsidR="00000000" w:rsidDel="00000000" w:rsidP="00000000" w:rsidRDefault="00000000" w:rsidRPr="00000000" w14:paraId="000002D4">
      <w:pPr>
        <w:widowControl w:val="0"/>
        <w:spacing w:line="240" w:lineRule="auto"/>
        <w:jc w:val="both"/>
        <w:rPr/>
      </w:pPr>
      <w:r w:rsidDel="00000000" w:rsidR="00000000" w:rsidRPr="00000000">
        <w:rPr>
          <w:rtl w:val="0"/>
        </w:rPr>
      </w:r>
    </w:p>
    <w:p w:rsidR="00000000" w:rsidDel="00000000" w:rsidP="00000000" w:rsidRDefault="00000000" w:rsidRPr="00000000" w14:paraId="000002D5">
      <w:pPr>
        <w:widowControl w:val="0"/>
        <w:spacing w:line="240" w:lineRule="auto"/>
        <w:jc w:val="both"/>
        <w:rPr/>
      </w:pPr>
      <w:r w:rsidDel="00000000" w:rsidR="00000000" w:rsidRPr="00000000">
        <w:rPr>
          <w:rtl w:val="0"/>
        </w:rPr>
      </w:r>
    </w:p>
    <w:p w:rsidR="00000000" w:rsidDel="00000000" w:rsidP="00000000" w:rsidRDefault="00000000" w:rsidRPr="00000000" w14:paraId="000002D6">
      <w:pPr>
        <w:widowControl w:val="0"/>
        <w:spacing w:line="240" w:lineRule="auto"/>
        <w:jc w:val="both"/>
        <w:rPr/>
      </w:pPr>
      <w:r w:rsidDel="00000000" w:rsidR="00000000" w:rsidRPr="00000000">
        <w:rPr>
          <w:rtl w:val="0"/>
        </w:rPr>
      </w:r>
    </w:p>
    <w:p w:rsidR="00000000" w:rsidDel="00000000" w:rsidP="00000000" w:rsidRDefault="00000000" w:rsidRPr="00000000" w14:paraId="000002D7">
      <w:pPr>
        <w:widowControl w:val="0"/>
        <w:spacing w:line="240" w:lineRule="auto"/>
        <w:jc w:val="center"/>
        <w:rPr/>
      </w:pPr>
      <w:r w:rsidDel="00000000" w:rsidR="00000000" w:rsidRPr="00000000">
        <w:rPr/>
        <w:drawing>
          <wp:inline distB="114300" distT="114300" distL="114300" distR="114300">
            <wp:extent cx="3171825" cy="5124753"/>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line="240" w:lineRule="auto"/>
        <w:jc w:val="center"/>
        <w:rPr>
          <w:i w:val="1"/>
          <w:iCs w:val="1"/>
        </w:rPr>
      </w:pPr>
      <w:r w:rsidDel="00000000" w:rsidR="00000000" w:rsidRPr="00000000">
        <w:rPr>
          <w:i w:val="1"/>
          <w:iCs w:val="1"/>
          <w:rtl w:val="0"/>
        </w:rPr>
        <w:t xml:space="preserve">Figure 6: Exploded view of one slot, showing the assembly order and the drop aperture in the deck plate.</w:t>
      </w:r>
    </w:p>
    <w:p w:rsidR="00000000" w:rsidDel="00000000" w:rsidP="00000000" w:rsidRDefault="00000000" w:rsidRPr="00000000" w14:paraId="000002D9">
      <w:pPr>
        <w:widowControl w:val="0"/>
        <w:spacing w:line="240" w:lineRule="auto"/>
        <w:jc w:val="both"/>
        <w:rPr/>
      </w:pPr>
      <w:r w:rsidDel="00000000" w:rsidR="00000000" w:rsidRPr="00000000">
        <w:rPr>
          <w:rtl w:val="0"/>
        </w:rPr>
      </w:r>
    </w:p>
    <w:p w:rsidR="00000000" w:rsidDel="00000000" w:rsidP="00000000" w:rsidRDefault="00000000" w:rsidRPr="00000000" w14:paraId="000002DA">
      <w:pPr>
        <w:widowControl w:val="0"/>
        <w:spacing w:line="240" w:lineRule="auto"/>
        <w:jc w:val="both"/>
        <w:rPr/>
      </w:pPr>
      <w:r w:rsidDel="00000000" w:rsidR="00000000" w:rsidRPr="00000000">
        <w:rPr>
          <w:rtl w:val="0"/>
        </w:rPr>
      </w:r>
    </w:p>
    <w:p w:rsidR="00000000" w:rsidDel="00000000" w:rsidP="00000000" w:rsidRDefault="00000000" w:rsidRPr="00000000" w14:paraId="000002DB">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widowControl w:val="0"/>
        <w:spacing w:line="240" w:lineRule="auto"/>
        <w:jc w:val="center"/>
        <w:rPr>
          <w:i w:val="1"/>
          <w:iCs w:val="1"/>
        </w:rPr>
      </w:pPr>
      <w:r w:rsidDel="00000000" w:rsidR="00000000" w:rsidRPr="00000000">
        <w:rPr>
          <w:i w:val="1"/>
          <w:iCs w:val="1"/>
          <w:rtl w:val="0"/>
        </w:rPr>
        <w:t xml:space="preserve">Figure 7: The ten-slot bank. Each slot is mechanically independent and holds a single OTC medicine.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spacing w:after="160" w:line="240" w:lineRule="auto"/>
        <w:jc w:val="center"/>
        <w:rPr>
          <w:b w:val="1"/>
          <w:bCs w:val="1"/>
        </w:rPr>
      </w:pPr>
      <w:r w:rsidDel="00000000" w:rsidR="00000000" w:rsidRPr="00000000">
        <w:rPr>
          <w:rtl w:val="0"/>
        </w:rPr>
      </w:r>
    </w:p>
    <w:p w:rsidR="00000000" w:rsidDel="00000000" w:rsidP="00000000" w:rsidRDefault="00000000" w:rsidRPr="00000000" w14:paraId="000002DF">
      <w:pPr>
        <w:spacing w:after="160" w:line="240" w:lineRule="auto"/>
        <w:rPr>
          <w:b w:val="1"/>
          <w:bCs w:val="1"/>
        </w:rPr>
      </w:pPr>
      <w:r w:rsidDel="00000000" w:rsidR="00000000" w:rsidRPr="00000000">
        <w:rPr>
          <w:rtl w:val="0"/>
        </w:rPr>
      </w:r>
    </w:p>
    <w:p w:rsidR="00000000" w:rsidDel="00000000" w:rsidP="00000000" w:rsidRDefault="00000000" w:rsidRPr="00000000" w14:paraId="000002E0">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E2">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0">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1">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F2">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F3">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F5">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FB">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c>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A">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30B">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7">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18">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4">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25">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3E">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3F">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4B">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5">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66">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F">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8C">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8D">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9A">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1">
            <w:pPr>
              <w:spacing w:line="240" w:lineRule="auto"/>
              <w:rPr>
                <w:b w:val="1"/>
                <w:bCs w:val="1"/>
              </w:rPr>
            </w:pPr>
            <w:r w:rsidDel="00000000" w:rsidR="00000000" w:rsidRPr="00000000">
              <w:rPr>
                <w:rtl w:val="0"/>
              </w:rPr>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6">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A7">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E">
            <w:pPr>
              <w:spacing w:line="240" w:lineRule="auto"/>
              <w:rPr>
                <w:b w:val="1"/>
                <w:bCs w:val="1"/>
              </w:rPr>
            </w:pPr>
            <w:r w:rsidDel="00000000" w:rsidR="00000000" w:rsidRPr="00000000">
              <w:rPr>
                <w:rtl w:val="0"/>
              </w:rPr>
            </w:r>
          </w:p>
        </w:tc>
        <w:tc>
          <w:tcPr/>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B4">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0">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C1">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9">
            <w:pPr>
              <w:spacing w:line="240" w:lineRule="auto"/>
              <w:rPr>
                <w:b w:val="1"/>
                <w:bCs w:val="1"/>
              </w:rPr>
            </w:pPr>
            <w:r w:rsidDel="00000000" w:rsidR="00000000" w:rsidRPr="00000000">
              <w:rPr>
                <w:rtl w:val="0"/>
              </w:rPr>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E">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CF">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6">
            <w:pPr>
              <w:spacing w:line="240" w:lineRule="auto"/>
              <w:rPr>
                <w:b w:val="1"/>
                <w:bCs w:val="1"/>
              </w:rPr>
            </w:pPr>
            <w:r w:rsidDel="00000000" w:rsidR="00000000" w:rsidRPr="00000000">
              <w:rPr>
                <w:rtl w:val="0"/>
              </w:rPr>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DC">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E9">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F6">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2">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1D">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37">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51">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c>
          <w:tcPr/>
          <w:p w:rsidR="00000000" w:rsidDel="00000000" w:rsidP="00000000" w:rsidRDefault="00000000" w:rsidRPr="00000000" w14:paraId="0000045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B">
            <w:pPr>
              <w:spacing w:line="240" w:lineRule="auto"/>
              <w:rPr>
                <w:b w:val="1"/>
                <w:bCs w:val="1"/>
              </w:rPr>
            </w:pPr>
            <w:r w:rsidDel="00000000" w:rsidR="00000000" w:rsidRPr="00000000">
              <w:rPr>
                <w:rtl w:val="0"/>
              </w:rPr>
            </w:r>
          </w:p>
        </w:tc>
        <w:tc>
          <w:tcPr/>
          <w:p w:rsidR="00000000" w:rsidDel="00000000" w:rsidP="00000000" w:rsidRDefault="00000000" w:rsidRPr="00000000" w14:paraId="0000045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D">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5F">
            <w:pPr>
              <w:spacing w:line="240" w:lineRule="auto"/>
              <w:rPr>
                <w:b w:val="1"/>
                <w:bCs w:val="1"/>
              </w:rPr>
            </w:pPr>
            <w:r w:rsidDel="00000000" w:rsidR="00000000" w:rsidRPr="00000000">
              <w:rPr>
                <w:rtl w:val="0"/>
              </w:rPr>
            </w:r>
          </w:p>
        </w:tc>
        <w:tc>
          <w:tcPr/>
          <w:p w:rsidR="00000000" w:rsidDel="00000000" w:rsidP="00000000" w:rsidRDefault="00000000" w:rsidRPr="00000000" w14:paraId="00000460">
            <w:pPr>
              <w:spacing w:line="240" w:lineRule="auto"/>
              <w:rPr>
                <w:b w:val="1"/>
                <w:bCs w:val="1"/>
              </w:rPr>
            </w:pPr>
            <w:r w:rsidDel="00000000" w:rsidR="00000000" w:rsidRPr="00000000">
              <w:rPr>
                <w:rtl w:val="0"/>
              </w:rPr>
            </w:r>
          </w:p>
        </w:tc>
        <w:tc>
          <w:tcPr/>
          <w:p w:rsidR="00000000" w:rsidDel="00000000" w:rsidP="00000000" w:rsidRDefault="00000000" w:rsidRPr="00000000" w14:paraId="00000461">
            <w:pPr>
              <w:spacing w:line="240" w:lineRule="auto"/>
              <w:rPr>
                <w:b w:val="1"/>
                <w:bCs w:val="1"/>
              </w:rPr>
            </w:pPr>
            <w:r w:rsidDel="00000000" w:rsidR="00000000" w:rsidRPr="00000000">
              <w:rPr>
                <w:rtl w:val="0"/>
              </w:rPr>
            </w:r>
          </w:p>
        </w:tc>
        <w:tc>
          <w:tcPr/>
          <w:p w:rsidR="00000000" w:rsidDel="00000000" w:rsidP="00000000" w:rsidRDefault="00000000" w:rsidRPr="00000000" w14:paraId="00000462">
            <w:pPr>
              <w:spacing w:line="240" w:lineRule="auto"/>
              <w:rPr>
                <w:b w:val="1"/>
                <w:bCs w:val="1"/>
              </w:rPr>
            </w:pPr>
            <w:r w:rsidDel="00000000" w:rsidR="00000000" w:rsidRPr="00000000">
              <w:rPr>
                <w:rtl w:val="0"/>
              </w:rPr>
            </w:r>
          </w:p>
        </w:tc>
        <w:tc>
          <w:tcPr/>
          <w:p w:rsidR="00000000" w:rsidDel="00000000" w:rsidP="00000000" w:rsidRDefault="00000000" w:rsidRPr="00000000" w14:paraId="00000463">
            <w:pPr>
              <w:spacing w:line="240" w:lineRule="auto"/>
              <w:rPr>
                <w:b w:val="1"/>
                <w:bCs w:val="1"/>
              </w:rPr>
            </w:pPr>
            <w:r w:rsidDel="00000000" w:rsidR="00000000" w:rsidRPr="00000000">
              <w:rPr>
                <w:rtl w:val="0"/>
              </w:rPr>
            </w:r>
          </w:p>
        </w:tc>
        <w:tc>
          <w:tcPr/>
          <w:p w:rsidR="00000000" w:rsidDel="00000000" w:rsidP="00000000" w:rsidRDefault="00000000" w:rsidRPr="00000000" w14:paraId="00000464">
            <w:pPr>
              <w:spacing w:line="240" w:lineRule="auto"/>
              <w:rPr>
                <w:b w:val="1"/>
                <w:bCs w:val="1"/>
              </w:rPr>
            </w:pPr>
            <w:r w:rsidDel="00000000" w:rsidR="00000000" w:rsidRPr="00000000">
              <w:rPr>
                <w:rtl w:val="0"/>
              </w:rPr>
            </w:r>
          </w:p>
        </w:tc>
        <w:tc>
          <w:tcPr/>
          <w:p w:rsidR="00000000" w:rsidDel="00000000" w:rsidP="00000000" w:rsidRDefault="00000000" w:rsidRPr="00000000" w14:paraId="00000465">
            <w:pPr>
              <w:spacing w:line="240" w:lineRule="auto"/>
              <w:rPr>
                <w:b w:val="1"/>
                <w:bCs w:val="1"/>
              </w:rPr>
            </w:pPr>
            <w:r w:rsidDel="00000000" w:rsidR="00000000" w:rsidRPr="00000000">
              <w:rPr>
                <w:rtl w:val="0"/>
              </w:rPr>
            </w:r>
          </w:p>
        </w:tc>
        <w:tc>
          <w:tcPr/>
          <w:p w:rsidR="00000000" w:rsidDel="00000000" w:rsidP="00000000" w:rsidRDefault="00000000" w:rsidRPr="00000000" w14:paraId="00000466">
            <w:pPr>
              <w:spacing w:line="240" w:lineRule="auto"/>
              <w:rPr>
                <w:b w:val="1"/>
                <w:bCs w:val="1"/>
              </w:rPr>
            </w:pPr>
            <w:r w:rsidDel="00000000" w:rsidR="00000000" w:rsidRPr="00000000">
              <w:rPr>
                <w:rtl w:val="0"/>
              </w:rPr>
            </w:r>
          </w:p>
        </w:tc>
        <w:tc>
          <w:tcPr/>
          <w:p w:rsidR="00000000" w:rsidDel="00000000" w:rsidP="00000000" w:rsidRDefault="00000000" w:rsidRPr="00000000" w14:paraId="0000046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68">
            <w:pPr>
              <w:spacing w:line="240" w:lineRule="auto"/>
              <w:rPr>
                <w:b w:val="1"/>
                <w:bCs w:val="1"/>
              </w:rPr>
            </w:pPr>
            <w:r w:rsidDel="00000000" w:rsidR="00000000" w:rsidRPr="00000000">
              <w:rPr>
                <w:rtl w:val="0"/>
              </w:rPr>
            </w:r>
          </w:p>
        </w:tc>
        <w:tc>
          <w:tcPr/>
          <w:p w:rsidR="00000000" w:rsidDel="00000000" w:rsidP="00000000" w:rsidRDefault="00000000" w:rsidRPr="00000000" w14:paraId="00000469">
            <w:pPr>
              <w:spacing w:line="240" w:lineRule="auto"/>
              <w:rPr>
                <w:b w:val="1"/>
                <w:bCs w:val="1"/>
              </w:rPr>
            </w:pPr>
            <w:r w:rsidDel="00000000" w:rsidR="00000000" w:rsidRPr="00000000">
              <w:rPr>
                <w:rtl w:val="0"/>
              </w:rPr>
            </w:r>
          </w:p>
        </w:tc>
      </w:tr>
    </w:tbl>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6C">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6D">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6E">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6F">
      <w:pPr>
        <w:spacing w:after="160" w:line="240" w:lineRule="auto"/>
        <w:rPr/>
      </w:pPr>
      <w:r w:rsidDel="00000000" w:rsidR="00000000" w:rsidRPr="00000000">
        <w:rPr>
          <w:rtl w:val="0"/>
        </w:rPr>
      </w:r>
    </w:p>
    <w:p w:rsidR="00000000" w:rsidDel="00000000" w:rsidP="00000000" w:rsidRDefault="00000000" w:rsidRPr="00000000" w14:paraId="00000470">
      <w:pPr>
        <w:spacing w:after="160" w:line="240" w:lineRule="auto"/>
        <w:rPr/>
      </w:pPr>
      <w:r w:rsidDel="00000000" w:rsidR="00000000" w:rsidRPr="00000000">
        <w:rPr>
          <w:rtl w:val="0"/>
        </w:rPr>
      </w:r>
    </w:p>
    <w:p w:rsidR="00000000" w:rsidDel="00000000" w:rsidP="00000000" w:rsidRDefault="00000000" w:rsidRPr="00000000" w14:paraId="00000471">
      <w:pPr>
        <w:spacing w:after="160" w:line="240" w:lineRule="auto"/>
        <w:rPr/>
      </w:pPr>
      <w:r w:rsidDel="00000000" w:rsidR="00000000" w:rsidRPr="00000000">
        <w:rPr>
          <w:rtl w:val="0"/>
        </w:rPr>
      </w:r>
    </w:p>
    <w:p w:rsidR="00000000" w:rsidDel="00000000" w:rsidP="00000000" w:rsidRDefault="00000000" w:rsidRPr="00000000" w14:paraId="00000472">
      <w:pPr>
        <w:spacing w:after="160" w:line="240" w:lineRule="auto"/>
        <w:rPr/>
      </w:pPr>
      <w:r w:rsidDel="00000000" w:rsidR="00000000" w:rsidRPr="00000000">
        <w:rPr>
          <w:rtl w:val="0"/>
        </w:rPr>
      </w:r>
    </w:p>
    <w:p w:rsidR="00000000" w:rsidDel="00000000" w:rsidP="00000000" w:rsidRDefault="00000000" w:rsidRPr="00000000" w14:paraId="00000473">
      <w:pPr>
        <w:spacing w:after="160" w:line="240" w:lineRule="auto"/>
        <w:rPr/>
      </w:pPr>
      <w:r w:rsidDel="00000000" w:rsidR="00000000" w:rsidRPr="00000000">
        <w:rPr>
          <w:rtl w:val="0"/>
        </w:rPr>
      </w:r>
    </w:p>
    <w:p w:rsidR="00000000" w:rsidDel="00000000" w:rsidP="00000000" w:rsidRDefault="00000000" w:rsidRPr="00000000" w14:paraId="00000474">
      <w:pPr>
        <w:spacing w:after="160" w:line="240" w:lineRule="auto"/>
        <w:rPr/>
      </w:pPr>
      <w:r w:rsidDel="00000000" w:rsidR="00000000" w:rsidRPr="00000000">
        <w:rPr>
          <w:rtl w:val="0"/>
        </w:rPr>
      </w:r>
    </w:p>
    <w:p w:rsidR="00000000" w:rsidDel="00000000" w:rsidP="00000000" w:rsidRDefault="00000000" w:rsidRPr="00000000" w14:paraId="00000475">
      <w:pPr>
        <w:spacing w:after="160" w:line="240" w:lineRule="auto"/>
        <w:rPr/>
      </w:pPr>
      <w:r w:rsidDel="00000000" w:rsidR="00000000" w:rsidRPr="00000000">
        <w:rPr>
          <w:rtl w:val="0"/>
        </w:rPr>
      </w:r>
    </w:p>
    <w:p w:rsidR="00000000" w:rsidDel="00000000" w:rsidP="00000000" w:rsidRDefault="00000000" w:rsidRPr="00000000" w14:paraId="00000476">
      <w:pPr>
        <w:spacing w:after="160" w:line="240" w:lineRule="auto"/>
        <w:rPr/>
      </w:pPr>
      <w:r w:rsidDel="00000000" w:rsidR="00000000" w:rsidRPr="00000000">
        <w:rPr>
          <w:rtl w:val="0"/>
        </w:rPr>
      </w:r>
    </w:p>
    <w:p w:rsidR="00000000" w:rsidDel="00000000" w:rsidP="00000000" w:rsidRDefault="00000000" w:rsidRPr="00000000" w14:paraId="00000477">
      <w:pPr>
        <w:spacing w:after="160" w:line="240" w:lineRule="auto"/>
        <w:rPr/>
      </w:pPr>
      <w:r w:rsidDel="00000000" w:rsidR="00000000" w:rsidRPr="00000000">
        <w:rPr>
          <w:rtl w:val="0"/>
        </w:rPr>
      </w:r>
    </w:p>
    <w:p w:rsidR="00000000" w:rsidDel="00000000" w:rsidP="00000000" w:rsidRDefault="00000000" w:rsidRPr="00000000" w14:paraId="00000478">
      <w:pPr>
        <w:spacing w:after="160" w:line="240" w:lineRule="auto"/>
        <w:rPr/>
      </w:pPr>
      <w:r w:rsidDel="00000000" w:rsidR="00000000" w:rsidRPr="00000000">
        <w:rPr>
          <w:rtl w:val="0"/>
        </w:rPr>
      </w:r>
    </w:p>
    <w:p w:rsidR="00000000" w:rsidDel="00000000" w:rsidP="00000000" w:rsidRDefault="00000000" w:rsidRPr="00000000" w14:paraId="00000479">
      <w:pPr>
        <w:spacing w:after="160" w:line="240" w:lineRule="auto"/>
        <w:rPr/>
      </w:pPr>
      <w:r w:rsidDel="00000000" w:rsidR="00000000" w:rsidRPr="00000000">
        <w:rPr>
          <w:rtl w:val="0"/>
        </w:rPr>
      </w:r>
    </w:p>
    <w:p w:rsidR="00000000" w:rsidDel="00000000" w:rsidP="00000000" w:rsidRDefault="00000000" w:rsidRPr="00000000" w14:paraId="0000047A">
      <w:pPr>
        <w:spacing w:after="160" w:line="240" w:lineRule="auto"/>
        <w:rPr/>
      </w:pPr>
      <w:r w:rsidDel="00000000" w:rsidR="00000000" w:rsidRPr="00000000">
        <w:rPr>
          <w:rtl w:val="0"/>
        </w:rPr>
      </w:r>
    </w:p>
    <w:p w:rsidR="00000000" w:rsidDel="00000000" w:rsidP="00000000" w:rsidRDefault="00000000" w:rsidRPr="00000000" w14:paraId="0000047B">
      <w:pPr>
        <w:spacing w:after="160" w:line="240" w:lineRule="auto"/>
        <w:rPr/>
      </w:pPr>
      <w:r w:rsidDel="00000000" w:rsidR="00000000" w:rsidRPr="00000000">
        <w:rPr>
          <w:rtl w:val="0"/>
        </w:rPr>
      </w:r>
    </w:p>
    <w:p w:rsidR="00000000" w:rsidDel="00000000" w:rsidP="00000000" w:rsidRDefault="00000000" w:rsidRPr="00000000" w14:paraId="0000047C">
      <w:pPr>
        <w:spacing w:after="160" w:line="240" w:lineRule="auto"/>
        <w:rPr/>
      </w:pPr>
      <w:r w:rsidDel="00000000" w:rsidR="00000000" w:rsidRPr="00000000">
        <w:rPr>
          <w:rtl w:val="0"/>
        </w:rPr>
      </w:r>
    </w:p>
    <w:p w:rsidR="00000000" w:rsidDel="00000000" w:rsidP="00000000" w:rsidRDefault="00000000" w:rsidRPr="00000000" w14:paraId="0000047D">
      <w:pPr>
        <w:spacing w:after="160" w:line="240" w:lineRule="auto"/>
        <w:rPr/>
      </w:pPr>
      <w:r w:rsidDel="00000000" w:rsidR="00000000" w:rsidRPr="00000000">
        <w:rPr>
          <w:rtl w:val="0"/>
        </w:rPr>
      </w:r>
    </w:p>
    <w:p w:rsidR="00000000" w:rsidDel="00000000" w:rsidP="00000000" w:rsidRDefault="00000000" w:rsidRPr="00000000" w14:paraId="0000047E">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5"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7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80">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2">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3">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5">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6">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A">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9">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8">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7">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6">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0">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E5">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F">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3">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4F4">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6">
      <w:pPr>
        <w:widowControl w:val="0"/>
        <w:spacing w:line="240" w:lineRule="auto"/>
        <w:rPr>
          <w:b w:val="1"/>
          <w:bCs w:val="1"/>
        </w:rPr>
      </w:pPr>
      <w:r w:rsidDel="00000000" w:rsidR="00000000" w:rsidRPr="00000000">
        <w:rPr>
          <w:rtl w:val="0"/>
        </w:rPr>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4">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5">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6">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7">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8">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9">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0">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1">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72">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73">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4">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5">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6">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7">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8">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[16] Decoding OTC medicines in the Philippines. (2023, October 20). NIQ. </w:t>
      </w:r>
      <w:hyperlink r:id="rId79">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0">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1">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82">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83">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4">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5">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6">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7">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8">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9">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0">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1">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92">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93">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4">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5">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6">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7">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8">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9">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1">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02">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03">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4">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5">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8">
      <w:pPr>
        <w:widowControl w:val="0"/>
        <w:spacing w:after="200" w:line="240" w:lineRule="auto"/>
        <w:jc w:val="right"/>
        <w:rPr/>
      </w:pPr>
      <w:r w:rsidDel="00000000" w:rsidR="00000000" w:rsidRPr="00000000">
        <w:rPr>
          <w:rtl w:val="0"/>
        </w:rPr>
      </w:r>
    </w:p>
    <w:sectPr>
      <w:headerReference r:id="rId106" w:type="default"/>
      <w:footerReference r:id="rId107"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hyperlink" Target="https://www.who.int/news-room/fact-sheets/detail/headache-disorders" TargetMode="External"/><Relationship Id="rId104" Type="http://schemas.openxmlformats.org/officeDocument/2006/relationships/hyperlink" Target="https://www.mayoclinic.org/diseases-conditions/chronic-daily-headaches/symptoms-causes/syc-20370891"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mayoclinic.org/diseases-conditions/acute-sinusitis/symptoms-causes/syc-20351671" TargetMode="External"/><Relationship Id="rId102" Type="http://schemas.openxmlformats.org/officeDocument/2006/relationships/hyperlink" Target="https://www.cdc.gov/tb/signs-symptoms/index.html" TargetMode="External"/><Relationship Id="rId101" Type="http://schemas.openxmlformats.org/officeDocument/2006/relationships/hyperlink" Target="https://www.who.int/news-room/fact-sheets/detail/tuberculosis" TargetMode="External"/><Relationship Id="rId100" Type="http://schemas.openxmlformats.org/officeDocument/2006/relationships/hyperlink" Target="https://www.mayoclinic.org/diseases-conditions/sore-throat/symptoms-causes/syc-20351635"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2.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7.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nurseship.com" TargetMode="External"/><Relationship Id="rId94" Type="http://schemas.openxmlformats.org/officeDocument/2006/relationships/hyperlink" Target="https://nursed.ca/virtual-care/oldcarts-patient-assessment-tool/" TargetMode="External"/><Relationship Id="rId97" Type="http://schemas.openxmlformats.org/officeDocument/2006/relationships/hyperlink" Target="https://www.cdc.gov/dengue/signs-symptoms/index.html" TargetMode="External"/><Relationship Id="rId96" Type="http://schemas.openxmlformats.org/officeDocument/2006/relationships/hyperlink" Target="https://www.who.int/news-room/fact-sheets/detail/dengue-and-severe-dengue" TargetMode="External"/><Relationship Id="rId11" Type="http://schemas.openxmlformats.org/officeDocument/2006/relationships/hyperlink" Target="https://manilastandard.net/?p=314203452" TargetMode="External"/><Relationship Id="rId99" Type="http://schemas.openxmlformats.org/officeDocument/2006/relationships/hyperlink" Target="https://www.who.int/news-room/fact-sheets/detail/diarrhoeal-disease"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mayoclinic.org/diseases-conditions/diarrhea/symptoms-causes/syc-20352241"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ijsrem.com/download/enhancing-medical-prescriptions-with-machine-learning-a-symptoms-based-drug-recommendation-system/" TargetMode="External"/><Relationship Id="rId90" Type="http://schemas.openxmlformats.org/officeDocument/2006/relationships/hyperlink" Target="https://ijrcait.com/index.php/home/article/view/IJRCAIT_07_02_036" TargetMode="External"/><Relationship Id="rId93" Type="http://schemas.openxmlformats.org/officeDocument/2006/relationships/hyperlink" Target="https://doi.org/10.48550/arXiv.2301.00280" TargetMode="External"/><Relationship Id="rId92" Type="http://schemas.openxmlformats.org/officeDocument/2006/relationships/hyperlink" Target="https://doi.org/10.22214/ijraset.2024.65843"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1007/s13748-026-00437-9" TargetMode="External"/><Relationship Id="rId83" Type="http://schemas.openxmlformats.org/officeDocument/2006/relationships/hyperlink" Target="https://www.simbo.ai/blog/exploring-the-functionality-of-ai-symptom-checkers-how-natural-language-processing-transforms-patient-symptom-assessment-965754/" TargetMode="External"/><Relationship Id="rId86" Type="http://schemas.openxmlformats.org/officeDocument/2006/relationships/hyperlink" Target="https://doi.org/10.1609/aaai.v37i6.25861" TargetMode="External"/><Relationship Id="rId85" Type="http://schemas.openxmlformats.org/officeDocument/2006/relationships/hyperlink" Target="https://doi.org/10.3390/electronics14040760" TargetMode="External"/><Relationship Id="rId88" Type="http://schemas.openxmlformats.org/officeDocument/2006/relationships/hyperlink" Target="https://doi.org/10.46632/cset/3/2/9" TargetMode="External"/><Relationship Id="rId87" Type="http://schemas.openxmlformats.org/officeDocument/2006/relationships/hyperlink" Target="https://doi.org/10.1093/database/baae087" TargetMode="External"/><Relationship Id="rId89" Type="http://schemas.openxmlformats.org/officeDocument/2006/relationships/hyperlink" Target="https://www.ijsdr.org/papers/IJSDR2508203.pdf" TargetMode="External"/><Relationship Id="rId80" Type="http://schemas.openxmlformats.org/officeDocument/2006/relationships/hyperlink" Target="https://www.sunstar.com.ph/davao/over-1m-dabawenyos-receive-free-meds-from-citys-botika-ng-bayan" TargetMode="External"/><Relationship Id="rId82" Type="http://schemas.openxmlformats.org/officeDocument/2006/relationships/hyperlink" Target="https://www.iosrjournals.org/manuscript_paper/116690.pdf" TargetMode="External"/><Relationship Id="rId81" Type="http://schemas.openxmlformats.org/officeDocument/2006/relationships/hyperlink" Target="https://thesai.org/Downloads/Volume16No5/Paper_41-Disease_Prediction_from_Symptom_Descriptio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016/j.chest.2024.04.014" TargetMode="External"/><Relationship Id="rId72" Type="http://schemas.openxmlformats.org/officeDocument/2006/relationships/hyperlink" Target="https://doi.org/10.2196/54737" TargetMode="External"/><Relationship Id="rId75" Type="http://schemas.openxmlformats.org/officeDocument/2006/relationships/hyperlink" Target="https://www.amhsr.org/articles/a-systematic-review-of-the-literature-to-assess-selfmedication-practices-3711.html" TargetMode="External"/><Relationship Id="rId74" Type="http://schemas.openxmlformats.org/officeDocument/2006/relationships/hyperlink" Target="https://doi.org/10.1057/s41599-024-02894-w" TargetMode="External"/><Relationship Id="rId77" Type="http://schemas.openxmlformats.org/officeDocument/2006/relationships/hyperlink" Target="https://doi.org/10.1108/ijhg-01-2023-0008" TargetMode="External"/><Relationship Id="rId76" Type="http://schemas.openxmlformats.org/officeDocument/2006/relationships/hyperlink" Target="https://doi.org/10.3389/fpubh.2025.1560299" TargetMode="External"/><Relationship Id="rId79" Type="http://schemas.openxmlformats.org/officeDocument/2006/relationships/hyperlink" Target="https://nielseniq.com/global/en/insights/analysis/2023/decoding-otc-medicines-in-the-philippines/" TargetMode="External"/><Relationship Id="rId78" Type="http://schemas.openxmlformats.org/officeDocument/2006/relationships/hyperlink" Target="https://manilastandard.net/?p=314203452" TargetMode="External"/><Relationship Id="rId71" Type="http://schemas.openxmlformats.org/officeDocument/2006/relationships/hyperlink" Target="https://doi.org/10.18653/v1/2024.findings-emnlp.436" TargetMode="External"/><Relationship Id="rId70" Type="http://schemas.openxmlformats.org/officeDocument/2006/relationships/hyperlink" Target="https://doi.org/10.18653/v1/2023.findings-acl.439" TargetMode="External"/><Relationship Id="rId62" Type="http://schemas.openxmlformats.org/officeDocument/2006/relationships/image" Target="media/image5.png"/><Relationship Id="rId61" Type="http://schemas.openxmlformats.org/officeDocument/2006/relationships/image" Target="media/image1.png"/><Relationship Id="rId64" Type="http://schemas.openxmlformats.org/officeDocument/2006/relationships/hyperlink" Target="https://doi.org/10.2196/55315" TargetMode="External"/><Relationship Id="rId63" Type="http://schemas.openxmlformats.org/officeDocument/2006/relationships/image" Target="media/image8.png"/><Relationship Id="rId66" Type="http://schemas.openxmlformats.org/officeDocument/2006/relationships/hyperlink" Target="https://doi.org/10.2196/63733" TargetMode="External"/><Relationship Id="rId65" Type="http://schemas.openxmlformats.org/officeDocument/2006/relationships/hyperlink" Target="https://doi.org/10.1145/3627673.3679529" TargetMode="External"/><Relationship Id="rId68" Type="http://schemas.openxmlformats.org/officeDocument/2006/relationships/hyperlink" Target="https://doi.org/10.1016/j.ijmedinf.2025.106049" TargetMode="External"/><Relationship Id="rId67" Type="http://schemas.openxmlformats.org/officeDocument/2006/relationships/hyperlink" Target="https://doi.org/10.1186/s12911-024-02739-1" TargetMode="External"/><Relationship Id="rId60" Type="http://schemas.openxmlformats.org/officeDocument/2006/relationships/image" Target="media/image6.png"/><Relationship Id="rId69" Type="http://schemas.openxmlformats.org/officeDocument/2006/relationships/hyperlink" Target="https://doi.org/10.1038/s41746-025-01662-7" TargetMode="External"/><Relationship Id="rId51" Type="http://schemas.openxmlformats.org/officeDocument/2006/relationships/hyperlink" Target="https://doi.org/10.2196/55315" TargetMode="External"/><Relationship Id="rId50" Type="http://schemas.openxmlformats.org/officeDocument/2006/relationships/image" Target="media/image4.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3.png"/><Relationship Id="rId58" Type="http://schemas.openxmlformats.org/officeDocument/2006/relationships/hyperlink" Target="https://doi.org/10.1057/s41599-024-02894-w" TargetMode="External"/><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