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240" w:line="240" w:lineRule="auto"/>
        <w:ind w:firstLine="20"/>
        <w:jc w:val="both"/>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after="120" w:before="240" w:line="240" w:lineRule="auto"/>
        <w:ind w:firstLine="20"/>
        <w:jc w:val="both"/>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after="120" w:before="240" w:line="240" w:lineRule="auto"/>
        <w:ind w:firstLine="20"/>
        <w:jc w:val="both"/>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after="120" w:before="240" w:line="240" w:lineRule="auto"/>
        <w:ind w:firstLine="20"/>
        <w:jc w:val="both"/>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after="120" w:before="240" w:line="240" w:lineRule="auto"/>
        <w:ind w:firstLine="20"/>
        <w:jc w:val="both"/>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widowControl w:val="0"/>
        <w:spacing w:after="120" w:before="240" w:line="240" w:lineRule="auto"/>
        <w:ind w:firstLine="20"/>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widowControl w:val="0"/>
        <w:spacing w:after="120" w:before="240" w:line="240" w:lineRule="auto"/>
        <w:ind w:firstLine="20"/>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widowControl w:val="0"/>
        <w:spacing w:after="120" w:before="240" w:line="240" w:lineRule="auto"/>
        <w:ind w:firstLine="20"/>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widowControl w:val="0"/>
        <w:spacing w:after="120" w:before="240" w:line="240" w:lineRule="auto"/>
        <w:ind w:firstLine="20"/>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widowControl w:val="0"/>
        <w:spacing w:after="120" w:before="240" w:line="240" w:lineRule="auto"/>
        <w:ind w:firstLine="20"/>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widowControl w:val="0"/>
        <w:spacing w:after="120" w:before="240" w:line="240" w:lineRule="auto"/>
        <w:ind w:firstLine="20"/>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widowControl w:val="0"/>
        <w:spacing w:after="120" w:before="240" w:line="240" w:lineRule="auto"/>
        <w:ind w:firstLine="20"/>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widowControl w:val="0"/>
        <w:spacing w:after="120" w:before="240" w:line="240" w:lineRule="auto"/>
        <w:ind w:firstLine="20"/>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widowControl w:val="0"/>
        <w:spacing w:after="120" w:before="240" w:line="240" w:lineRule="auto"/>
        <w:ind w:firstLine="20"/>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widowControl w:val="0"/>
        <w:spacing w:after="120" w:before="240" w:line="240" w:lineRule="auto"/>
        <w:ind w:firstLine="20"/>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widowControl w:val="0"/>
        <w:spacing w:after="120" w:before="240" w:line="240" w:lineRule="auto"/>
        <w:ind w:firstLine="20"/>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widowControl w:val="0"/>
        <w:spacing w:after="120" w:before="240" w:line="240" w:lineRule="auto"/>
        <w:ind w:firstLine="20"/>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widowControl w:val="0"/>
        <w:spacing w:after="120" w:before="240" w:line="240" w:lineRule="auto"/>
        <w:ind w:firstLine="20"/>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widowControl w:val="0"/>
        <w:spacing w:after="120" w:before="240" w:line="240" w:lineRule="auto"/>
        <w:ind w:firstLine="20"/>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widowControl w:val="0"/>
        <w:numPr>
          <w:ilvl w:val="0"/>
          <w:numId w:val="2"/>
        </w:numPr>
        <w:spacing w:after="120" w:before="240" w:line="240" w:lineRule="auto"/>
        <w:ind w:firstLine="20"/>
        <w:jc w:val="both"/>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120" w:before="240" w:line="240" w:lineRule="auto"/>
        <w:ind w:firstLine="20"/>
        <w:jc w:val="both"/>
        <w:rPr/>
      </w:pPr>
      <w:r>
        <w:rPr>
          <w:b w:val="1"/>
          <w:bCs w:val="1"/>
          <w:highlight w:val="yellow"/>
          <w:rtl w:val="0"/>
        </w:rPr>
        <w:t>Implementation. During this iteration, the researchers implemented the baseline system as a Flask-based web application. The implementation integrated the multilingual symptom dictionary, semantic matching component (pre-trained multilingual sentence embeddings with zero-shot cosine-anchor matching),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120" w:before="240" w:line="240" w:lineRule="auto"/>
        <w:ind w:firstLine="20"/>
        <w:jc w:val="both"/>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
        <w:drawing>
          <wp:inline>
            <wp:extent cx="6120000" cy="1108439"/>
            <wp:docPr id="9" name="Picture 9"/>
            <wp:cNvGraphicFramePr>
              <a:graphicFrameLocks noChangeAspect="1"/>
            </wp:cNvGraphicFramePr>
            <a:graphic>
              <a:graphicData uri="http://schemas.openxmlformats.org/drawingml/2006/picture">
                <pic:pic>
                  <pic:nvPicPr>
                    <pic:cNvPr id="0" name="fig8_pipeline.png"/>
                    <pic:cNvPicPr/>
                  </pic:nvPicPr>
                  <pic:blipFill>
                    <a:blip r:embed="rId108"/>
                    <a:stretch>
                      <a:fillRect/>
                    </a:stretch>
                  </pic:blipFill>
                  <pic:spPr>
                    <a:xfrm>
                      <a:off x="0" y="0"/>
                      <a:ext cx="6120000" cy="1108439"/>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8: Mendo v3.0 five-stage processing pipeline (S0–S4). The semantic stage fires only when the dictionary returns nothing; every probabilistic suggestion still passes the lexical guards and safety filters of Stage 3 before the deterministic recommendation stage.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Pr>
          <w:highlight w:val="yellow"/>
        </w:rPr>
        <w:t xml:space="preserve">The primary extraction stage uses a curated multilingual symptom dictionary containing 587 phrases across 14 clinical labels — the 13 semantic detection labels plus TOOTHACHE —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highlight w:val="yellow"/>
              </w:rPr>
              <w:t xml:space="preserve">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highlight w:val="yellow"/>
              </w:rPr>
              <w:t xml:space="preserve">105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highlight w:val="yellow"/>
              </w:rPr>
              <w:t xml:space="preserve">64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highlight w:val="yellow"/>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highlight w:val="yellow"/>
              </w:rPr>
              <w:t xml:space="preserve">74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highlight w:val="yellow"/>
              </w:rPr>
              <w:t xml:space="preserve">37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highlight w:val="yellow"/>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highlight w:val="yellow"/>
              </w:rPr>
              <w:t xml:space="preserve">29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highlight w:val="yellow"/>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highlight w:val="yellow"/>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highlight w:val="yellow"/>
              </w:rPr>
              <w:t xml:space="preserve">44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highlight w:val="yellow"/>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highlight w:val="yellow"/>
              </w:rPr>
              <w:t xml:space="preserve">25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r>
        <w:tc>
          <w:tcPr>
            <w:tcW w:type="dxa" w:w="2745"/>
          </w:tcPr>
          <w:p>
            <w:r>
              <w:rPr>
                <w:highlight w:val="yellow"/>
              </w:rPr>
              <w:t xml:space="preserve">TOOTHACHE</w:t>
            </w:r>
          </w:p>
        </w:tc>
        <w:tc>
          <w:tcPr>
            <w:tcW w:type="dxa" w:w="1860"/>
          </w:tcPr>
          <w:p>
            <w:r>
              <w:rPr>
                <w:highlight w:val="yellow"/>
              </w:rPr>
              <w:t xml:space="preserve">53</w:t>
            </w:r>
          </w:p>
        </w:tc>
        <w:tc>
          <w:tcPr>
            <w:tcW w:type="dxa" w:w="1995"/>
          </w:tcPr>
          <w:p>
            <w:r>
              <w:rPr>
                <w:highlight w:val="yellow"/>
              </w:rPr>
              <w:t xml:space="preserve">Tag/Bis/Eng</w:t>
            </w:r>
          </w:p>
        </w:tc>
        <w:tc>
          <w:tcPr>
            <w:tcW w:type="dxa" w:w="2445"/>
          </w:tcPr>
          <w:p>
            <w:r>
              <w:rPr>
                <w:highlight w:val="yellow"/>
              </w:rPr>
              <w:t xml:space="preserve">“sakit ngipin”, “ngilo”, “toothache”</w:t>
            </w:r>
          </w:p>
        </w:tc>
      </w:tr>
    </w:tbl>
    <w:p w:rsidR="00000000" w:rsidDel="00000000" w:rsidP="00000000" w:rsidRDefault="00000000" w:rsidRPr="00000000" w14:paraId="00000129">
      <w:pPr>
        <w:widowControl w:val="0"/>
        <w:spacing w:after="120" w:before="240" w:line="240" w:lineRule="auto"/>
        <w:ind w:firstLine="20"/>
        <w:jc w:val="both"/>
        <w:rPr/>
      </w:pPr>
      <w:r>
        <w:rPr>
          <w:highlight w:val="yellow"/>
        </w:rPr>
        <w:t xml:space="preserve">Table 5: Symptom Dictionary — 587 phrases across 14 labels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Dictionary expansion (August 2026 revision). The dictionary grew from 570 to 587 phrases. Twelve of the new entries target common colloquial surface forms that previously fell through to the semantic stage or were missed outright: the Visayan fever family kalintura (kalintura, may kalintura, naa koy kalintura), the body-heat term panuhot (panuhot, panuhoton, napanuhot, ga panuhot), the runny-nose variant sip un, and stomach-complaint expressions built on guol (guol akong tiyan, guol ang akong tiyan, guol ang tiyan ko, guol sa tiyan). The common Tagalog fever word sinat is pinned deterministically in the FEVER dictionary with matching negation and lexical-guard keywords, so it is no longer subject to semantic scoring.</w:t>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highlight w:val="yellow"/>
        </w:rPr>
        <w:t xml:space="preserve">Negation Handling. Patients frequently mention symptoms they do not have alongside those they do (e.g., “masakit ang ulo ko pero walang lagnat” — “my head hurts but I don't have a fever”). Negation is processed by a scope-aware token walker instead of a fixed word window: a negation marker opens a scope that accumulates across coordinate connectors (ug, og, at, and, or, kay, tsaka, sabay) so that one marker can negate a whole joined list (“wala koy ubo ug sipon” negates both), and the scope closes at a contrastive or reason boundary (pero, but, apan, dahil, may, naa, meron). Every symptom keyword consumed inside the open scope is negated, with three conservative exceptions: a closer symptom keyword interrupts the chain (the nearer mention absorbs the negation); a trap verb (mawala, hunong, tigil) turns the mention positive, so “dili mawala akong ubo” still detects the cough; and a wellness predicate (normal, okay, walay problema) appearing before any symptom absorbs the negation, so “dili normal akong pagkalibang” still detects the diarrhea. Fused negative assertions such as “wala may mogawas” are parsed as a single negative construction and never open a positive clause. Every label negated here is recorded so that the fuzzy rescue pass can never resurrect it.</w:t>
      </w:r>
    </w:p>
    <w:p>
      <w:pPr>
        <w:shd w:val="clear" w:color="auto" w:fill="FFF2CC"/>
        <w:tabs>
          <w:tab w:val="center" w:pos="4680"/>
          <w:tab w:val="right" w:pos="9360"/>
        </w:tabs>
      </w:pPr>
      <w:r>
        <w:tab/>
      </w:r>
      <m:oMath>
        <m:r>
          <m:rPr>
            <m:sty m:val="p"/>
          </m:rPr>
          <m:t>neg</m:t>
        </m:r>
        <m:r>
          <m:t>(</m:t>
        </m:r>
        <m:sSub>
          <m:e>
            <m:r>
              <m:t>w</m:t>
            </m:r>
          </m:e>
          <m:sub>
            <m:r>
              <m:t>k</m:t>
            </m:r>
          </m:sub>
        </m:sSub>
        <m:r>
          <m:t>)⟺∃</m:t>
        </m:r>
        <m:r>
          <m:t>m&lt;k:</m:t>
        </m:r>
        <m:sSub>
          <m:e>
            <m:r>
              <m:t>w</m:t>
            </m:r>
          </m:e>
          <m:sub>
            <m:r>
              <m:t>m</m:t>
            </m:r>
          </m:sub>
        </m:sSub>
        <m:r>
          <m:t>∈N</m:t>
        </m:r>
        <m:r>
          <m:t>∧</m:t>
        </m:r>
        <m:r>
          <m:t>B(m,k)=∅</m:t>
        </m:r>
        <m:r>
          <m:t>∧</m:t>
        </m:r>
        <m:d>
          <m:dPr>
            <m:sepChr m:val=""/>
          </m:dPr>
          <m:e>
            <m:r>
              <m:t>S</m:t>
            </m:r>
            <m:r>
              <m:t>(</m:t>
            </m:r>
            <m:r>
              <m:t>m</m:t>
            </m:r>
            <m:r>
              <m:t>,</m:t>
            </m:r>
            <m:r>
              <m:t>k</m:t>
            </m:r>
            <m:r>
              <m:t>)</m:t>
            </m:r>
            <m:r>
              <m:t>=</m:t>
            </m:r>
            <m:r>
              <m:t>∅</m:t>
            </m:r>
            <m:r>
              <m:t>∨</m:t>
            </m:r>
            <m:r>
              <m:t>S</m:t>
            </m:r>
            <m:r>
              <m:t>(</m:t>
            </m:r>
            <m:r>
              <m:t>m</m:t>
            </m:r>
            <m:r>
              <m:t>,</m:t>
            </m:r>
            <m:r>
              <m:t>k</m:t>
            </m:r>
            <m:r>
              <m:t>)</m:t>
            </m:r>
            <m:r>
              <m:rPr>
                <m:nor/>
              </m:rPr>
              <m:t> joined by </m:t>
            </m:r>
            <m:r>
              <m:t>C</m:t>
            </m:r>
          </m:e>
        </m:d>
      </m:oMath>
      <w:r>
        <w:rPr>
          <w:highlight w:val="yellow"/>
        </w:rPr>
        <w:tab/>
        <w:t>(1)</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where N is the set of negation markers, B the scope-end boundaries, S the symptom keywords, and C the coordinate joiners. Two vetoes keep the rule conservative: a trap verb (mawala, hunong, tigil) inside the scope turns the mention positive (“dili mawala akong ubo” still detects the cough), and a wellness predicate (normal, okay ra, walay problema) appearing before the first symptom keyword absorbs the negation (“dili normal akong pagkalibang” still detects the diarrhea). Fused negative assertions such as “wala may mogawas” are parsed as a single negative construction and never open a positive clause. Worked example: “wala koy gibati na sakit akong tiyan kay okay ra ug sakit sa ulo, pero gi ubo ko” — the scope opened by wala accumulates over ug and kay (negating both tiyan and ulo), closes at pero, and the cough is the only positive detection.</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Formally, with tokens w₁…wₙ, a symptom keyword wₖ is negated if a negation marker m &lt; k opens a scope that reaches wₖ without a contrastive boundary, and every intervening symptom keyword is linked to wₖ by a coordinate joiner: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highlight w:val="yellow"/>
        </w:rPr>
        <w:t xml:space="preserve">Fuzzy Rescue Mechanism. After dictionary matching and negation processing, a generic fuzzy rescue pass recovers misspelled symptom mentions: each input token is compared against a table of 18 canonical English anchors using bounded Levenshtein distance with per-anchor edit caps (Table 6). The rescue is deliberately conservative. Anchors are English-only spellings because common Filipino and Bisaya words sit within 1–2 edits of the native anchors (“isang” ~ “ilong”, “simula” ~ “sikmura”) and would destroy precision; exact-match local synonyms live in the dictionary instead. Candidate tokens must be alphabetic, at least four characters long, and within two characters of the anchor's length. Tokens that are real dictionary words, negation markers, scope words, or genuine near-miss non-symptom words (ever, never, that, though, tough, couch, enough, …) are never candidates. A misspelled token inside a negation window is recorded as negated rather than detected — “wala koy hedache” fires nothing, while “hedache” alone rescues HEADACHE. Representative rescues include hedache→HEADACHE, totache→TOOTHACHE, couhg→COUGH_GENERAL, diahrea→DIARRHEA, and stomakache→STOMACH_ACHE.</w:t>
      </w:r>
    </w:p>
    <w:p>
      <w:pPr>
        <w:shd w:val="clear" w:color="auto" w:fill="FFF2CC"/>
        <w:tabs>
          <w:tab w:val="center" w:pos="4680"/>
          <w:tab w:val="right" w:pos="9360"/>
        </w:tabs>
      </w:pPr>
      <w:r>
        <w:tab/>
      </w:r>
      <m:oMath>
        <m:r>
          <m:t>d(i,j)</m:t>
        </m:r>
        <m:r>
          <m:t>=</m:t>
        </m:r>
        <m:r>
          <m:t>min</m:t>
        </m:r>
        <m:d>
          <m:dPr>
            <m:begChr m:val="{"/>
            <m:sepChr m:val=""/>
            <m:endChr m:val="}"/>
          </m:dPr>
          <m:e>
            <m:r>
              <m:t>d</m:t>
            </m:r>
            <m:r>
              <m:t>(</m:t>
            </m:r>
            <m:r>
              <m:t>i</m:t>
            </m:r>
            <m:r>
              <m:t>−</m:t>
            </m:r>
            <m:r>
              <m:t>1</m:t>
            </m:r>
            <m:r>
              <m:t>,</m:t>
            </m:r>
            <m:r>
              <m:t>j</m:t>
            </m:r>
            <m:r>
              <m:t>)</m:t>
            </m:r>
            <m:r>
              <m:t>+</m:t>
            </m:r>
            <m:r>
              <m:t>1</m:t>
            </m:r>
            <m:r>
              <m:t>,</m:t>
            </m:r>
            <m:r>
              <m:t>d</m:t>
            </m:r>
            <m:r>
              <m:t>(</m:t>
            </m:r>
            <m:r>
              <m:t>i</m:t>
            </m:r>
            <m:r>
              <m:t>,</m:t>
            </m:r>
            <m:r>
              <m:t>j</m:t>
            </m:r>
            <m:r>
              <m:t>−</m:t>
            </m:r>
            <m:r>
              <m:t>1</m:t>
            </m:r>
            <m:r>
              <m:t>)</m:t>
            </m:r>
            <m:r>
              <m:t>+</m:t>
            </m:r>
            <m:r>
              <m:t>1</m:t>
            </m:r>
            <m:r>
              <m:t>,</m:t>
            </m:r>
            <m:r>
              <m:t>d</m:t>
            </m:r>
            <m:r>
              <m:t>(</m:t>
            </m:r>
            <m:r>
              <m:t>i</m:t>
            </m:r>
            <m:r>
              <m:t>−</m:t>
            </m:r>
            <m:r>
              <m:t>1</m:t>
            </m:r>
            <m:r>
              <m:t>,</m:t>
            </m:r>
            <m:r>
              <m:t>j</m:t>
            </m:r>
            <m:r>
              <m:t>−</m:t>
            </m:r>
            <m:r>
              <m:t>1</m:t>
            </m:r>
            <m:r>
              <m:t>)</m:t>
            </m:r>
            <m:r>
              <m:t>+</m:t>
            </m:r>
            <m:r>
              <m:rPr>
                <m:sty m:val="b"/>
              </m:rPr>
              <m:t>1</m:t>
            </m:r>
            <m:d>
              <m:dPr>
                <m:begChr m:val="["/>
                <m:sepChr m:val="≠"/>
                <m:endChr m:val="]"/>
              </m:dPr>
              <m:e>
                <m:sSub>
                  <m:e>
                    <m:r>
                      <m:t>t</m:t>
                    </m:r>
                  </m:e>
                  <m:sub>
                    <m:r>
                      <m:t>i</m:t>
                    </m:r>
                  </m:sub>
                </m:sSub>
              </m:e>
              <m:e>
                <m:sSub>
                  <m:e>
                    <m:r>
                      <m:t>a</m:t>
                    </m:r>
                  </m:e>
                  <m:sub>
                    <m:r>
                      <m:t>j</m:t>
                    </m:r>
                  </m:sub>
                </m:sSub>
              </m:e>
            </m:d>
          </m:e>
        </m:d>
        <m:r>
          <m:t>,</m:t>
        </m:r>
        <m:r>
          <m:t>d(i,0)=i,</m:t>
        </m:r>
        <m:r>
          <m:rPr>
            <m:sty m:val="p"/>
          </m:rPr>
          <m:t> </m:t>
        </m:r>
        <m:r>
          <m:t>d(0,j)=j</m:t>
        </m:r>
      </m:oMath>
      <w:r>
        <w:rPr>
          <w:highlight w:val="yellow"/>
        </w:rPr>
        <w:tab/>
        <w:t>(2)</w:t>
      </w:r>
    </w:p>
    <w:p>
      <w:pPr>
        <w:shd w:val="clear" w:color="auto" w:fill="FFF2CC"/>
        <w:tabs>
          <w:tab w:val="center" w:pos="4680"/>
          <w:tab w:val="right" w:pos="9360"/>
        </w:tabs>
      </w:pPr>
      <w:r>
        <w:tab/>
      </w:r>
      <m:oMath>
        <m:r>
          <m:t>t↦L(a)⟺∃</m:t>
        </m:r>
        <m:r>
          <m:t>(a,L,</m:t>
        </m:r>
        <m:sSub>
          <m:e>
            <m:r>
              <m:t>δ</m:t>
            </m:r>
          </m:e>
          <m:sub>
            <m:r>
              <m:t>a</m:t>
            </m:r>
          </m:sub>
        </m:sSub>
        <m:r>
          <m:t>)∈𝒜:</m:t>
        </m:r>
        <m:r>
          <m:rPr>
            <m:sty m:val="p"/>
          </m:rPr>
          <m:t>lev</m:t>
        </m:r>
        <m:r>
          <m:t>(t,a)≤</m:t>
        </m:r>
        <m:sSub>
          <m:e>
            <m:r>
              <m:t>δ</m:t>
            </m:r>
          </m:e>
          <m:sub>
            <m:r>
              <m:t>a</m:t>
            </m:r>
          </m:sub>
        </m:sSub>
        <m:r>
          <m:t>∧</m:t>
        </m:r>
        <m:r>
          <m:t>|</m:t>
        </m:r>
        <m:r>
          <m:t>|t|−|a|</m:t>
        </m:r>
        <m:r>
          <m:t>|≤2</m:t>
        </m:r>
        <m:r>
          <m:t>∧</m:t>
        </m:r>
        <m:r>
          <m:t>|t|≥4</m:t>
        </m:r>
        <m:r>
          <m:t>∧</m:t>
        </m:r>
        <m:r>
          <m:t>t∉D∪E∪N∪B</m:t>
        </m:r>
      </m:oMath>
      <w:r>
        <w:rPr>
          <w:highlight w:val="yellow"/>
        </w:rPr>
        <w:tab/>
        <w:t>(3)</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where δₐ is the per-anchor edit cap, D the set of dictionary tokens, E the near-miss exclusion set, N the negation markers, and B the scope words.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A token t is mapped to the label of anchor a iff:</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The rescue relies on two formal rules. The Levenshtein distance recursion: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i w:val="1"/>
          <w:iCs w:val="1"/>
          <w:highlight w:val="white"/>
          <w:rtl w:val="0"/>
        </w:rPr>
        <w:t xml:space="preserve">Table 6: Fuzzy Typo Rescue — Canonical English Anchor Table</w:t>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
      <w:tr>
        <w:tc>
          <w:tcPr>
            <w:tcW w:type="dxa" w:w="3000"/>
          </w:tcPr>
          <w:p>
            <w:r>
              <w:rPr>
                <w:highlight w:val="yellow"/>
              </w:rPr>
              <w:t xml:space="preserve">Anchor</w:t>
            </w:r>
          </w:p>
        </w:tc>
        <w:tc>
          <w:tcPr>
            <w:tcW w:type="dxa" w:w="3000"/>
          </w:tcPr>
          <w:p>
            <w:r>
              <w:rPr>
                <w:highlight w:val="yellow"/>
              </w:rPr>
              <w:t xml:space="preserve">Symptom Label</w:t>
            </w:r>
          </w:p>
        </w:tc>
        <w:tc>
          <w:tcPr>
            <w:tcW w:type="dxa" w:w="3000"/>
          </w:tcPr>
          <w:p>
            <w:r>
              <w:rPr>
                <w:highlight w:val="yellow"/>
              </w:rPr>
              <w:t xml:space="preserve">Max Edits (δ)</w:t>
            </w:r>
          </w:p>
        </w:tc>
      </w:tr>
      <w:tr>
        <w:tc>
          <w:tcPr>
            <w:tcW w:type="dxa" w:w="3000"/>
          </w:tcPr>
          <w:p>
            <w:r>
              <w:rPr>
                <w:highlight w:val="yellow"/>
              </w:rPr>
              <w:t xml:space="preserve">headache</w:t>
            </w:r>
          </w:p>
        </w:tc>
        <w:tc>
          <w:tcPr>
            <w:tcW w:type="dxa" w:w="3000"/>
          </w:tcPr>
          <w:p>
            <w:r>
              <w:rPr>
                <w:highlight w:val="yellow"/>
              </w:rPr>
              <w:t xml:space="preserve">HEADACHE</w:t>
            </w:r>
          </w:p>
        </w:tc>
        <w:tc>
          <w:tcPr>
            <w:tcW w:type="dxa" w:w="3000"/>
          </w:tcPr>
          <w:p>
            <w:r>
              <w:rPr>
                <w:highlight w:val="yellow"/>
              </w:rPr>
              <w:t xml:space="preserve">2</w:t>
            </w:r>
          </w:p>
        </w:tc>
      </w:tr>
      <w:tr>
        <w:tc>
          <w:tcPr>
            <w:tcW w:type="dxa" w:w="3000"/>
          </w:tcPr>
          <w:p>
            <w:r>
              <w:rPr>
                <w:highlight w:val="yellow"/>
              </w:rPr>
              <w:t xml:space="preserve">toothache</w:t>
            </w:r>
          </w:p>
        </w:tc>
        <w:tc>
          <w:tcPr>
            <w:tcW w:type="dxa" w:w="3000"/>
          </w:tcPr>
          <w:p>
            <w:r>
              <w:rPr>
                <w:highlight w:val="yellow"/>
              </w:rPr>
              <w:t xml:space="preserve">TOOTHACHE</w:t>
            </w:r>
          </w:p>
        </w:tc>
        <w:tc>
          <w:tcPr>
            <w:tcW w:type="dxa" w:w="3000"/>
          </w:tcPr>
          <w:p>
            <w:r>
              <w:rPr>
                <w:highlight w:val="yellow"/>
              </w:rPr>
              <w:t xml:space="preserve">2</w:t>
            </w:r>
          </w:p>
        </w:tc>
      </w:tr>
      <w:tr>
        <w:tc>
          <w:tcPr>
            <w:tcW w:type="dxa" w:w="3000"/>
          </w:tcPr>
          <w:p>
            <w:r>
              <w:rPr>
                <w:highlight w:val="yellow"/>
              </w:rPr>
              <w:t xml:space="preserve">stomachache</w:t>
            </w:r>
          </w:p>
        </w:tc>
        <w:tc>
          <w:tcPr>
            <w:tcW w:type="dxa" w:w="3000"/>
          </w:tcPr>
          <w:p>
            <w:r>
              <w:rPr>
                <w:highlight w:val="yellow"/>
              </w:rPr>
              <w:t xml:space="preserve">STOMACH_ACHE</w:t>
            </w:r>
          </w:p>
        </w:tc>
        <w:tc>
          <w:tcPr>
            <w:tcW w:type="dxa" w:w="3000"/>
          </w:tcPr>
          <w:p>
            <w:r>
              <w:rPr>
                <w:highlight w:val="yellow"/>
              </w:rPr>
              <w:t xml:space="preserve">2</w:t>
            </w:r>
          </w:p>
        </w:tc>
      </w:tr>
      <w:tr>
        <w:tc>
          <w:tcPr>
            <w:tcW w:type="dxa" w:w="3000"/>
          </w:tcPr>
          <w:p>
            <w:r>
              <w:rPr>
                <w:highlight w:val="yellow"/>
              </w:rPr>
              <w:t xml:space="preserve">stomach</w:t>
            </w:r>
          </w:p>
        </w:tc>
        <w:tc>
          <w:tcPr>
            <w:tcW w:type="dxa" w:w="3000"/>
          </w:tcPr>
          <w:p>
            <w:r>
              <w:rPr>
                <w:highlight w:val="yellow"/>
              </w:rPr>
              <w:t xml:space="preserve">STOMACH_ACHE</w:t>
            </w:r>
          </w:p>
        </w:tc>
        <w:tc>
          <w:tcPr>
            <w:tcW w:type="dxa" w:w="3000"/>
          </w:tcPr>
          <w:p>
            <w:r>
              <w:rPr>
                <w:highlight w:val="yellow"/>
              </w:rPr>
              <w:t xml:space="preserve">2</w:t>
            </w:r>
          </w:p>
        </w:tc>
      </w:tr>
      <w:tr>
        <w:tc>
          <w:tcPr>
            <w:tcW w:type="dxa" w:w="3000"/>
          </w:tcPr>
          <w:p>
            <w:r>
              <w:rPr>
                <w:highlight w:val="yellow"/>
              </w:rPr>
              <w:t xml:space="preserve">tummy</w:t>
            </w:r>
          </w:p>
        </w:tc>
        <w:tc>
          <w:tcPr>
            <w:tcW w:type="dxa" w:w="3000"/>
          </w:tcPr>
          <w:p>
            <w:r>
              <w:rPr>
                <w:highlight w:val="yellow"/>
              </w:rPr>
              <w:t xml:space="preserve">STOMACH_ACHE</w:t>
            </w:r>
          </w:p>
        </w:tc>
        <w:tc>
          <w:tcPr>
            <w:tcW w:type="dxa" w:w="3000"/>
          </w:tcPr>
          <w:p>
            <w:r>
              <w:rPr>
                <w:highlight w:val="yellow"/>
              </w:rPr>
              <w:t xml:space="preserve">1</w:t>
            </w:r>
          </w:p>
        </w:tc>
      </w:tr>
      <w:tr>
        <w:tc>
          <w:tcPr>
            <w:tcW w:type="dxa" w:w="3000"/>
          </w:tcPr>
          <w:p>
            <w:r>
              <w:rPr>
                <w:highlight w:val="yellow"/>
              </w:rPr>
              <w:t xml:space="preserve">diarrhea</w:t>
            </w:r>
          </w:p>
        </w:tc>
        <w:tc>
          <w:tcPr>
            <w:tcW w:type="dxa" w:w="3000"/>
          </w:tcPr>
          <w:p>
            <w:r>
              <w:rPr>
                <w:highlight w:val="yellow"/>
              </w:rPr>
              <w:t xml:space="preserve">DIARRHEA</w:t>
            </w:r>
          </w:p>
        </w:tc>
        <w:tc>
          <w:tcPr>
            <w:tcW w:type="dxa" w:w="3000"/>
          </w:tcPr>
          <w:p>
            <w:r>
              <w:rPr>
                <w:highlight w:val="yellow"/>
              </w:rPr>
              <w:t xml:space="preserve">2</w:t>
            </w:r>
          </w:p>
        </w:tc>
      </w:tr>
      <w:tr>
        <w:tc>
          <w:tcPr>
            <w:tcW w:type="dxa" w:w="3000"/>
          </w:tcPr>
          <w:p>
            <w:r>
              <w:rPr>
                <w:highlight w:val="yellow"/>
              </w:rPr>
              <w:t xml:space="preserve">fever</w:t>
            </w:r>
          </w:p>
        </w:tc>
        <w:tc>
          <w:tcPr>
            <w:tcW w:type="dxa" w:w="3000"/>
          </w:tcPr>
          <w:p>
            <w:r>
              <w:rPr>
                <w:highlight w:val="yellow"/>
              </w:rPr>
              <w:t xml:space="preserve">FEVER</w:t>
            </w:r>
          </w:p>
        </w:tc>
        <w:tc>
          <w:tcPr>
            <w:tcW w:type="dxa" w:w="3000"/>
          </w:tcPr>
          <w:p>
            <w:r>
              <w:rPr>
                <w:highlight w:val="yellow"/>
              </w:rPr>
              <w:t xml:space="preserve">1</w:t>
            </w:r>
          </w:p>
        </w:tc>
      </w:tr>
      <w:tr>
        <w:tc>
          <w:tcPr>
            <w:tcW w:type="dxa" w:w="3000"/>
          </w:tcPr>
          <w:p>
            <w:r>
              <w:rPr>
                <w:highlight w:val="yellow"/>
              </w:rPr>
              <w:t xml:space="preserve">cough</w:t>
            </w:r>
          </w:p>
        </w:tc>
        <w:tc>
          <w:tcPr>
            <w:tcW w:type="dxa" w:w="3000"/>
          </w:tcPr>
          <w:p>
            <w:r>
              <w:rPr>
                <w:highlight w:val="yellow"/>
              </w:rPr>
              <w:t xml:space="preserve">COUGH_GENERAL</w:t>
            </w:r>
          </w:p>
        </w:tc>
        <w:tc>
          <w:tcPr>
            <w:tcW w:type="dxa" w:w="3000"/>
          </w:tcPr>
          <w:p>
            <w:r>
              <w:rPr>
                <w:highlight w:val="yellow"/>
              </w:rPr>
              <w:t xml:space="preserve">2</w:t>
            </w:r>
          </w:p>
        </w:tc>
      </w:tr>
      <w:tr>
        <w:tc>
          <w:tcPr>
            <w:tcW w:type="dxa" w:w="3000"/>
          </w:tcPr>
          <w:p>
            <w:r>
              <w:rPr>
                <w:highlight w:val="yellow"/>
              </w:rPr>
              <w:t xml:space="preserve">throat</w:t>
            </w:r>
          </w:p>
        </w:tc>
        <w:tc>
          <w:tcPr>
            <w:tcW w:type="dxa" w:w="3000"/>
          </w:tcPr>
          <w:p>
            <w:r>
              <w:rPr>
                <w:highlight w:val="yellow"/>
              </w:rPr>
              <w:t xml:space="preserve">SORE_THROAT</w:t>
            </w:r>
          </w:p>
        </w:tc>
        <w:tc>
          <w:tcPr>
            <w:tcW w:type="dxa" w:w="3000"/>
          </w:tcPr>
          <w:p>
            <w:r>
              <w:rPr>
                <w:highlight w:val="yellow"/>
              </w:rPr>
              <w:t xml:space="preserve">2</w:t>
            </w:r>
          </w:p>
        </w:tc>
      </w:tr>
      <w:tr>
        <w:tc>
          <w:tcPr>
            <w:tcW w:type="dxa" w:w="3000"/>
          </w:tcPr>
          <w:p>
            <w:r>
              <w:rPr>
                <w:highlight w:val="yellow"/>
              </w:rPr>
              <w:t xml:space="preserve">sorethroat</w:t>
            </w:r>
          </w:p>
        </w:tc>
        <w:tc>
          <w:tcPr>
            <w:tcW w:type="dxa" w:w="3000"/>
          </w:tcPr>
          <w:p>
            <w:r>
              <w:rPr>
                <w:highlight w:val="yellow"/>
              </w:rPr>
              <w:t xml:space="preserve">SORE_THROAT</w:t>
            </w:r>
          </w:p>
        </w:tc>
        <w:tc>
          <w:tcPr>
            <w:tcW w:type="dxa" w:w="3000"/>
          </w:tcPr>
          <w:p>
            <w:r>
              <w:rPr>
                <w:highlight w:val="yellow"/>
              </w:rPr>
              <w:t xml:space="preserve">2</w:t>
            </w:r>
          </w:p>
        </w:tc>
      </w:tr>
      <w:tr>
        <w:tc>
          <w:tcPr>
            <w:tcW w:type="dxa" w:w="3000"/>
          </w:tcPr>
          <w:p>
            <w:r>
              <w:rPr>
                <w:highlight w:val="yellow"/>
              </w:rPr>
              <w:t xml:space="preserve">nose</w:t>
            </w:r>
          </w:p>
        </w:tc>
        <w:tc>
          <w:tcPr>
            <w:tcW w:type="dxa" w:w="3000"/>
          </w:tcPr>
          <w:p>
            <w:r>
              <w:rPr>
                <w:highlight w:val="yellow"/>
              </w:rPr>
              <w:t xml:space="preserve">RUNNY_NOSE</w:t>
            </w:r>
          </w:p>
        </w:tc>
        <w:tc>
          <w:tcPr>
            <w:tcW w:type="dxa" w:w="3000"/>
          </w:tcPr>
          <w:p>
            <w:r>
              <w:rPr>
                <w:highlight w:val="yellow"/>
              </w:rPr>
              <w:t xml:space="preserve">1</w:t>
            </w:r>
          </w:p>
        </w:tc>
      </w:tr>
      <w:tr>
        <w:tc>
          <w:tcPr>
            <w:tcW w:type="dxa" w:w="3000"/>
          </w:tcPr>
          <w:p>
            <w:r>
              <w:rPr>
                <w:highlight w:val="yellow"/>
              </w:rPr>
              <w:t xml:space="preserve">rash</w:t>
            </w:r>
          </w:p>
        </w:tc>
        <w:tc>
          <w:tcPr>
            <w:tcW w:type="dxa" w:w="3000"/>
          </w:tcPr>
          <w:p>
            <w:r>
              <w:rPr>
                <w:highlight w:val="yellow"/>
              </w:rPr>
              <w:t xml:space="preserve">RASHES</w:t>
            </w:r>
          </w:p>
        </w:tc>
        <w:tc>
          <w:tcPr>
            <w:tcW w:type="dxa" w:w="3000"/>
          </w:tcPr>
          <w:p>
            <w:r>
              <w:rPr>
                <w:highlight w:val="yellow"/>
              </w:rPr>
              <w:t xml:space="preserve">1</w:t>
            </w:r>
          </w:p>
        </w:tc>
      </w:tr>
      <w:tr>
        <w:tc>
          <w:tcPr>
            <w:tcW w:type="dxa" w:w="3000"/>
          </w:tcPr>
          <w:p>
            <w:r>
              <w:rPr>
                <w:highlight w:val="yellow"/>
              </w:rPr>
              <w:t xml:space="preserve">itchy</w:t>
            </w:r>
          </w:p>
        </w:tc>
        <w:tc>
          <w:tcPr>
            <w:tcW w:type="dxa" w:w="3000"/>
          </w:tcPr>
          <w:p>
            <w:r>
              <w:rPr>
                <w:highlight w:val="yellow"/>
              </w:rPr>
              <w:t xml:space="preserve">RASHES</w:t>
            </w:r>
          </w:p>
        </w:tc>
        <w:tc>
          <w:tcPr>
            <w:tcW w:type="dxa" w:w="3000"/>
          </w:tcPr>
          <w:p>
            <w:r>
              <w:rPr>
                <w:highlight w:val="yellow"/>
              </w:rPr>
              <w:t xml:space="preserve">2</w:t>
            </w:r>
          </w:p>
        </w:tc>
      </w:tr>
      <w:tr>
        <w:tc>
          <w:tcPr>
            <w:tcW w:type="dxa" w:w="3000"/>
          </w:tcPr>
          <w:p>
            <w:r>
              <w:rPr>
                <w:highlight w:val="yellow"/>
              </w:rPr>
              <w:t xml:space="preserve">sneeze</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allergy</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allergic</w:t>
            </w:r>
          </w:p>
        </w:tc>
        <w:tc>
          <w:tcPr>
            <w:tcW w:type="dxa" w:w="3000"/>
          </w:tcPr>
          <w:p>
            <w:r>
              <w:rPr>
                <w:highlight w:val="yellow"/>
              </w:rPr>
              <w:t xml:space="preserve">ALLERGIC_RHINITIS</w:t>
            </w:r>
          </w:p>
        </w:tc>
        <w:tc>
          <w:tcPr>
            <w:tcW w:type="dxa" w:w="3000"/>
          </w:tcPr>
          <w:p>
            <w:r>
              <w:rPr>
                <w:highlight w:val="yellow"/>
              </w:rPr>
              <w:t xml:space="preserve">2</w:t>
            </w:r>
          </w:p>
        </w:tc>
      </w:tr>
      <w:tr>
        <w:tc>
          <w:tcPr>
            <w:tcW w:type="dxa" w:w="3000"/>
          </w:tcPr>
          <w:p>
            <w:r>
              <w:rPr>
                <w:highlight w:val="yellow"/>
              </w:rPr>
              <w:t xml:space="preserve">body</w:t>
            </w:r>
          </w:p>
        </w:tc>
        <w:tc>
          <w:tcPr>
            <w:tcW w:type="dxa" w:w="3000"/>
          </w:tcPr>
          <w:p>
            <w:r>
              <w:rPr>
                <w:highlight w:val="yellow"/>
              </w:rPr>
              <w:t xml:space="preserve">BODY_ACHES</w:t>
            </w:r>
          </w:p>
        </w:tc>
        <w:tc>
          <w:tcPr>
            <w:tcW w:type="dxa" w:w="3000"/>
          </w:tcPr>
          <w:p>
            <w:r>
              <w:rPr>
                <w:highlight w:val="yellow"/>
              </w:rPr>
              <w:t xml:space="preserve">1</w:t>
            </w:r>
          </w:p>
        </w:tc>
      </w:tr>
      <w:tr>
        <w:tc>
          <w:tcPr>
            <w:tcW w:type="dxa" w:w="3000"/>
          </w:tcPr>
          <w:p>
            <w:r>
              <w:rPr>
                <w:highlight w:val="yellow"/>
              </w:rPr>
              <w:t xml:space="preserve">runny</w:t>
            </w:r>
          </w:p>
        </w:tc>
        <w:tc>
          <w:tcPr>
            <w:tcW w:type="dxa" w:w="3000"/>
          </w:tcPr>
          <w:p>
            <w:r>
              <w:rPr>
                <w:highlight w:val="yellow"/>
              </w:rPr>
              <w:t xml:space="preserve">RUNNY_NOSE</w:t>
            </w:r>
          </w:p>
        </w:tc>
        <w:tc>
          <w:tcPr>
            <w:tcW w:type="dxa" w:w="3000"/>
          </w:tcPr>
          <w:p>
            <w:r>
              <w:rPr>
                <w:highlight w:val="yellow"/>
              </w:rPr>
              <w:t xml:space="preserve">2</w:t>
            </w:r>
          </w:p>
        </w:tc>
      </w:tr>
    </w:tbl>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pPr>
        <w:pStyle w:val="Heading4"/>
      </w:pPr>
      <w:r>
        <w:rPr>
          <w:highlight w:val="yellow"/>
        </w:rPr>
        <w:t>Free-Text Headache-Type Intake.</w:t>
      </w:r>
    </w:p>
    <w:p>
      <w:pPr>
        <w:widowControl w:val="0"/>
        <w:spacing w:after="120" w:before="240" w:line="240" w:lineRule="auto"/>
        <w:ind w:firstLine="20"/>
        <w:jc w:val="both"/>
      </w:pPr>
      <w:r>
        <w:rPr>
          <w:highlight w:val="yellow"/>
        </w:rPr>
        <w:t>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 thunderclap, hypertension, spinal, post-traumatic, and exertion —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Pr>
          <w:strike/>
          <w:color w:val="FF0000"/>
          <w:highlight w:val="yellow"/>
          <w:rtl w:val="0"/>
        </w:rPr>
        <w:t xml:space="preserve">The semantic stage covers symptom descriptions that fall outside the dictionary's 587 curated phrases. It uses the pre-trained paraphrase-multilingual-MiniLM-L12-v2 model from the Sentence-Transformers library (Reimers &amp; Gurevych, 2019), a compact transformer (~33 million parameters) producing 384-dimensional sentence embeddings. For an input sentence s of n tokens, the sentence vector is computed by mean-pooling the encoder's final hidden states: e(s) = (1/n) Σₖ₌₁ⁿ hₖ, where each hₖ ∈ ℝ³⁸⁴ and n is the number of tokens. The same encoder and pooling serve both semantic pathways described below.</w:t>
      </w:r>
    </w:p>
    <w:p>
      <w:pPr>
        <w:widowControl w:val="0"/>
        <w:spacing w:after="120" w:before="120" w:line="240" w:lineRule="auto"/>
        <w:jc w:val="center"/>
      </w:pPr>
      <m:oMathPara>
        <m:oMath>
          <m:oMath>
            <m:r>
              <m:rPr>
                <w:rPr>
                  <w:highlight w:val="yellow"/>
                </w:rPr>
              </m:rPr>
              <m:t xml:space="preserve">e(s) = </m:t>
            </m:r>
            <m:f>
              <m:num>
                <m:r>
                  <m:rPr>
                    <w:rPr>
                      <w:highlight w:val="yellow"/>
                    </w:rPr>
                  </m:rPr>
                  <m:t xml:space="preserve">1</m:t>
                </m:r>
              </m:num>
              <m:den>
                <m:r>
                  <m:rPr>
                    <w:rPr>
                      <w:highlight w:val="yellow"/>
                    </w:rPr>
                  </m:rPr>
                  <m:t xml:space="preserve">n</m:t>
                </m:r>
              </m:den>
            </m:f>
            <m:nary>
              <m:naryPr>
                <m:chr m:val="∑"/>
                <m:limLoc m:val="undOvr"/>
              </m:naryPr>
              <m:sub>
                <m:r>
                  <m:rPr>
                    <w:rPr>
                      <w:highlight w:val="yellow"/>
                    </w:rPr>
                  </m:rPr>
                  <m:t xml:space="preserve">k = 1</m:t>
                </m:r>
              </m:sub>
              <m:sup>
                <m:r>
                  <m:rPr>
                    <w:rPr>
                      <w:highlight w:val="yellow"/>
                    </w:rPr>
                  </m:rPr>
                  <m:t xml:space="preserve">n</m:t>
                </m:r>
              </m:sup>
              <m:e>
                <m:sSub>
                  <m:e>
                    <m:r>
                      <m:rPr>
                        <w:rPr>
                          <w:highlight w:val="yellow"/>
                        </w:rPr>
                      </m:rPr>
                      <m:t xml:space="preserve">h</m:t>
                    </m:r>
                  </m:e>
                  <m:sub>
                    <m:r>
                      <m:rPr>
                        <w:rPr>
                          <w:highlight w:val="yellow"/>
                        </w:rPr>
                      </m:rPr>
                      <m:t xml:space="preserve">k</m:t>
                    </m:r>
                  </m:sub>
                </m:sSub>
              </m:e>
            </m:nary>
          </m:oMath>
        </m:oMath>
      </m:oMathPara>
      <w:r>
        <w:rPr>
          <w:strike/>
          <w:color w:val="FF0000"/>
          <w:highlight w:val="yellow"/>
        </w:rPr>
        <w:t>    (4)At initialization</w:t>
      </w:r>
      <w:r>
        <w:rPr>
          <w:highlight w:val="yellow"/>
        </w:rPr>
        <w:t xml:space="preserve">, 270 anchor sentences (13–33 per symptom label) are pre-encoded into 384-dimensional vectors, one vector e(a) per anchor. At runtime the user's input is encoded to e(u) and compared against all anchors using the cosine similarity of their embedding vectors,</w:t>
      </w:r>
    </w:p>
    <w:p>
      <w:pPr>
        <w:spacing w:after="120" w:before="120" w:line="240" w:lineRule="auto"/>
        <w:jc w:val="center"/>
      </w:pPr>
      <m:oMathPara>
        <m:oMath>
          <m:oMath>
            <m:r>
              <m:rPr>
                <w:rPr>
                  <w:highlight w:val="yellow"/>
                </w:rPr>
              </m:rPr>
              <m:t xml:space="preserve">cos(e(u), e(a)) = </m:t>
            </m:r>
            <m:f>
              <m:num>
                <m:r>
                  <m:rPr>
                    <w:rPr>
                      <w:highlight w:val="yellow"/>
                    </w:rPr>
                  </m:rPr>
                  <m:t xml:space="preserve">(e(u) · e(a))</m:t>
                </m:r>
              </m:num>
              <m:den>
                <m:r>
                  <m:rPr>
                    <w:rPr>
                      <w:highlight w:val="yellow"/>
                    </w:rPr>
                  </m:rPr>
                  <m:t xml:space="preserve">(‖e(u)‖ · ‖e(a)‖)</m:t>
                </m:r>
              </m:den>
            </m:f>
          </m:oMath>
        </m:oMath>
      </m:oMathPara>
      <w:r>
        <w:rPr>
          <w:highlight w:val="yellow"/>
        </w:rPr>
        <w:t>    (5)</w:t>
      </w:r>
    </w:p>
    <w:p>
      <w:pPr>
        <w:widowControl w:val="0"/>
        <w:spacing w:after="120" w:before="240" w:line="240" w:lineRule="auto"/>
        <w:ind w:firstLine="20"/>
        <w:jc w:val="both"/>
      </w:pPr>
      <w:r>
        <w:rPr>
          <w:highlight w:val="yellow"/>
        </w:rPr>
        <w:t xml:space="preserve">where · denotes the dot product, ‖·‖ the Euclidean norm, and uᵢ, aᵢ the i-th components of the two 384-dimensional vectors. For each of the 13 labels L with anchor set Aₗ, the label score is the best-anchor maximum,</w:t>
      </w:r>
    </w:p>
    <w:p>
      <w:pPr>
        <w:spacing w:after="120" w:before="120" w:line="240" w:lineRule="auto"/>
        <w:jc w:val="center"/>
      </w:pPr>
      <m:oMathPara>
        <m:oMath>
          <m:oMath>
            <m:sSub>
              <m:e>
                <m:r>
                  <m:rPr>
                    <w:rPr>
                      <w:highlight w:val="yellow"/>
                    </w:rPr>
                  </m:rPr>
                  <m:t xml:space="preserve">s</m:t>
                </m:r>
              </m:e>
              <m:sub>
                <m:r>
                  <m:rPr>
                    <w:rPr>
                      <w:highlight w:val="yellow"/>
                    </w:rPr>
                  </m:rPr>
                  <m:t xml:space="preserve">L</m:t>
                </m:r>
              </m:sub>
            </m:sSub>
            <m:r>
              <m:rPr>
                <w:rPr>
                  <w:highlight w:val="yellow"/>
                </w:rPr>
              </m:rPr>
              <m:t xml:space="preserve"> = </m:t>
            </m:r>
            <m:sSub>
              <m:e>
                <m:r>
                  <m:rPr>
                    <w:rPr>
                      <w:highlight w:val="yellow"/>
                    </w:rPr>
                  </m:rPr>
                  <m:t xml:space="preserve">max</m:t>
                </m:r>
              </m:e>
              <m:sub>
                <m:r>
                  <m:rPr>
                    <w:rPr>
                      <w:highlight w:val="yellow"/>
                    </w:rPr>
                  </m:rPr>
                  <m:t xml:space="preserve">a ∈ A_L</m:t>
                </m:r>
              </m:sub>
            </m:sSub>
            <m:r>
              <m:rPr>
                <w:rPr>
                  <w:highlight w:val="yellow"/>
                </w:rPr>
              </m:rPr>
              <m:t xml:space="preserve"> cos(e(u), e(a))</m:t>
            </m:r>
          </m:oMath>
        </m:oMath>
      </m:oMathPara>
      <w:r>
        <w:rPr>
          <w:highlight w:val="yellow"/>
        </w:rPr>
        <w:t>    (6)</w:t>
      </w:r>
    </w:p>
    <w:p>
      <w:pPr>
        <w:widowControl w:val="0"/>
        <w:spacing w:after="120" w:before="240" w:line="240" w:lineRule="auto"/>
        <w:ind w:firstLine="20"/>
        <w:jc w:val="both"/>
      </w:pPr>
      <w:r>
        <w:rPr>
          <w:highlight w:val="yellow"/>
        </w:rPr>
        <w:t xml:space="preserve">and L is returned as a candidate when sₗ ≥ τ, with the similarity threshold τ = 0.65. Candidates are then ranked by sₗ and capped at two labels per utterance.</w:t>
      </w:r>
    </w:p>
    <w:p w:rsidR="00000000" w:rsidDel="00000000" w:rsidP="00000000" w:rsidRDefault="00000000" w:rsidRPr="00000000" w14:paraId="00000163">
      <w:pPr>
        <w:widowControl w:val="0"/>
        <w:spacing w:after="120" w:before="240" w:line="240" w:lineRule="auto"/>
        <w:ind w:firstLine="20"/>
        <w:jc w:val="both"/>
        <w:rPr/>
      </w:pPr>
      <w:r>
        <w:rPr>
          <w:highlight w:val="yellow"/>
          <w:rtl w:val="0"/>
        </w:rPr>
        <w:t xml:space="preserve">The encoder weights remain the fixed, publicly available pre-trained artifact; the semantic stage is anchor-based and requires no training of any kind. Every firing is traceable to its best-matching anchor sentence, so a pharmacist can audit why a label was (or was not) produced. This design was chosen deliberately: (1) safety — no trained head can drift from the audited decision surface on a data update; (2) explainability — the anchor that fired is reported in the trace; (3) reproducibility — identical input always yields identical output; (4) simplicity — no training corpus, no threshold tuning, no checkpoint management. A fine-tuned 13-label classification head was prototyped earlier in development and removed: its held-out paraphrase accuracy (10/16 guarded) was lower than the expanded 270-anchor cosine path (11/16) and it added training-data caveats that the anchor design does not have.</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highlight w:val="yellow"/>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Pr>
          <w:b w:val="1"/>
          <w:bCs w:val="1"/>
          <w:color w:val="000000"/>
          <w:sz w:val="22"/>
          <w:szCs w:val="22"/>
          <w:highlight w:val="yellow"/>
          <w:rtl w:val="0"/>
        </w:rPr>
        <w:t>Centralized Safety Filter. 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 Three contextual gates further keep the semantic stage from misreading triage-level or non-nasal text as congestion: a bare breathing-difficulty phrase (“hirap huminga”, “shortness of breath”) is treated as a respiratory red flag rather than a nasal-congestion detection unless a nasal anchor (ilong/nose) is present; a throat mention without any nasal anchor vetoes NASAL_CONGESTION (a “blocked throat” routes to throat care, not cold syrup); and explicit allergy verbs (react, reacts, reaction) join the allergy lexicon triggers.</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120" w:before="240" w:line="240" w:lineRule="auto"/>
        <w:ind w:firstLine="20"/>
        <w:jc w:val="both"/>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b/>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b/>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120" w:before="240" w:line="240" w:lineRule="auto"/>
        <w:ind w:firstLine="20"/>
        <w:jc w:val="both"/>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120" w:before="240" w:line="240" w:lineRule="auto"/>
        <w:ind w:firstLine="20"/>
        <w:jc w:val="both"/>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widowControl w:val="0"/>
        <w:spacing w:after="120" w:before="240" w:line="240" w:lineRule="auto"/>
        <w:ind w:firstLine="20"/>
        <w:jc w:val="both"/>
      </w:pPr>
      <w:r>
        <w:rPr>
          <w:b/>
          <w:highlight w:val="yellow"/>
        </w:rPr>
        <w:t xml:space="preserve">Multilingual Evaluation Suite (520 cases). In addition to the five-tier CSV benchmark, the system is exercised against a multilingual utterance sheet of 520 rows: 13 symptom labels × 5 varied utterances × 2 forms (plain statement and negated statement) × 4 language variants (English, Filipino, Cebuano, and mixed code-switch). Each row's expected labels were reviewed by the licensed-pharmacist adviser. Under the anchor-only design the sheet is pure evaluation data for every path: no rule, anchor, or model is trained on it, so its 518/520 result is straightforward regression and generalization evidence. Results are reported under Evaluation Results below; of the two rows the deployed system does not resolve exactly, one is a typo in the sheet's own text and the other is a labeling-scheme clash in which the sheet maps a pure-throat utterance to Cough while the product taxonomy defines SORE_THROAT as a first-class label.</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widowControl w:val="0"/>
        <w:spacing w:after="120" w:before="240" w:line="240" w:lineRule="auto"/>
        <w:ind w:firstLine="20"/>
        <w:jc w:val="both"/>
        <w:rPr/>
      </w:pPr>
      <w:r w:rsidDel="00000000" w:rsidR="00000000" w:rsidRPr="00000000">
        <w:rPr>
          <w:strike/>
          <w:color w:val="FF0000"/>
          <w:rtl w:val="0"/>
          <w:highlight w:val="yellow"/>
        </w:rPr>
        <w:t xml:space="preserve">The benchmark is organized into the following tiers: Formal definitions. For a single case, let P be the set of predicted labels and E the expected set. Exact match is set equality, P = E. Per-label micro-averaging pools decisions across the whole corpus:</w:t>
      </w:r>
    </w:p>
    <w:p>
      <w:pPr>
        <w:widowControl w:val="0"/>
        <w:spacing w:after="120" w:before="240" w:line="240" w:lineRule="auto"/>
        <w:ind w:firstLine="20"/>
        <w:jc w:val="both"/>
      </w:pPr>
      <w:r>
        <w:rPr>
          <w:highlight w:val="yellow"/>
        </w:rPr>
        <w:t xml:space="preserve">where TP, FP, and FN count labels across all (case, label) pairs, and</w:t>
      </w:r>
    </w:p>
    <w:p>
      <w:pPr>
        <w:widowControl w:val="0"/>
        <w:spacing w:after="120" w:before="240" w:line="240" w:lineRule="auto"/>
        <w:ind w:firstLine="20"/>
        <w:jc w:val="both"/>
      </w:pPr>
      <w:r>
        <w:rPr>
          <w:highlight w:val="yellow"/>
        </w:rPr>
        <w:t xml:space="preserve">is the average fraction of the 13 labels that are wrong per case over M cases. Macro-F1 averages the per-class F1 equally, giving rare labels the same weight as common ones.</w:t>
      </w:r>
    </w:p>
    <w:p>
      <w:pPr>
        <w:spacing w:after="120" w:before="120" w:line="240" w:lineRule="auto"/>
        <w:jc w:val="center"/>
      </w:pPr>
      <m:oMathPara>
        <m:oMath>
          <m:oMath>
            <m:r>
              <m:rPr>
                <w:rPr>
                  <w:highlight w:val="yellow"/>
                </w:rPr>
              </m:rPr>
              <m:t xml:space="preserve">Hamming loss = </m:t>
            </m:r>
            <m:f>
              <m:num>
                <m:r>
                  <m:rPr>
                    <w:rPr>
                      <w:highlight w:val="yellow"/>
                    </w:rPr>
                  </m:rPr>
                  <m:t xml:space="preserve">1</m:t>
                </m:r>
              </m:num>
              <m:den>
                <m:r>
                  <m:rPr>
                    <w:rPr>
                      <w:highlight w:val="yellow"/>
                    </w:rPr>
                  </m:rPr>
                  <m:t xml:space="preserve">M</m:t>
                </m:r>
              </m:den>
            </m:f>
            <m:nary>
              <m:naryPr>
                <m:chr m:val="∑"/>
                <m:limLoc m:val="undOvr"/>
              </m:naryPr>
              <m:sub>
                <m:r>
                  <m:rPr>
                    <w:rPr>
                      <w:highlight w:val="yellow"/>
                    </w:rPr>
                  </m:rPr>
                  <m:t xml:space="preserve">m = 1</m:t>
                </m:r>
              </m:sub>
              <m:sup>
                <m:r>
                  <m:rPr>
                    <w:rPr>
                      <w:highlight w:val="yellow"/>
                    </w:rPr>
                  </m:rPr>
                  <m:t xml:space="preserve">M</m:t>
                </m:r>
              </m:sup>
              <m:e>
                <m:f>
                  <m:num>
                    <m:d>
                      <m:dPr>
                        <m:begChr m:val="|"/>
                        <m:endChr m:val="|"/>
                      </m:dPr>
                      <m:e>
                        <m:sSub>
                          <m:e>
                            <m:r>
                              <m:rPr>
                                <w:rPr>
                                  <w:highlight w:val="yellow"/>
                                </w:rPr>
                              </m:rPr>
                              <m:t xml:space="preserve">P</m:t>
                            </m:r>
                          </m:e>
                          <m:sub>
                            <m:r>
                              <m:rPr>
                                <w:rPr>
                                  <w:highlight w:val="yellow"/>
                                </w:rPr>
                              </m:rPr>
                              <m:t xml:space="preserve">m</m:t>
                            </m:r>
                          </m:sub>
                        </m:sSub>
                        <m:r>
                          <m:rPr>
                            <w:rPr>
                              <w:highlight w:val="yellow"/>
                            </w:rPr>
                          </m:rPr>
                          <m:t xml:space="preserve"> Δ </m:t>
                        </m:r>
                        <m:sSub>
                          <m:e>
                            <m:r>
                              <m:rPr>
                                <w:rPr>
                                  <w:highlight w:val="yellow"/>
                                </w:rPr>
                              </m:rPr>
                              <m:t xml:space="preserve">E</m:t>
                            </m:r>
                          </m:e>
                          <m:sub>
                            <m:r>
                              <m:rPr>
                                <w:rPr>
                                  <w:highlight w:val="yellow"/>
                                </w:rPr>
                              </m:rPr>
                              <m:t xml:space="preserve">m</m:t>
                            </m:r>
                          </m:sub>
                        </m:sSub>
                      </m:e>
                    </m:d>
                  </m:num>
                  <m:den>
                    <m:r>
                      <m:rPr>
                        <w:rPr>
                          <w:highlight w:val="yellow"/>
                        </w:rPr>
                      </m:rPr>
                      <m:t xml:space="preserve">13</m:t>
                    </m:r>
                  </m:den>
                </m:f>
              </m:e>
            </m:nary>
          </m:oMath>
        </m:oMath>
      </m:oMathPara>
      <w:r>
        <w:rPr>
          <w:highlight w:val="yellow"/>
        </w:rPr>
        <w:t>    (7)</w:t>
      </w:r>
    </w:p>
    <w:p>
      <w:pPr>
        <w:spacing w:after="120" w:before="120" w:line="240" w:lineRule="auto"/>
        <w:jc w:val="center"/>
      </w:pPr>
      <m:oMathPara>
        <m:oMath>
          <m:oMath>
            <m:r>
              <m:rPr>
                <w:rPr>
                  <w:highlight w:val="yellow"/>
                </w:rPr>
              </m:rPr>
              <m:t xml:space="preserve">Precision = </m:t>
            </m:r>
            <m:f>
              <m:num>
                <m:r>
                  <m:rPr>
                    <w:rPr>
                      <w:highlight w:val="yellow"/>
                    </w:rPr>
                  </m:rPr>
                  <m:t xml:space="preserve">TP</m:t>
                </m:r>
              </m:num>
              <m:den>
                <m:r>
                  <m:rPr>
                    <w:rPr>
                      <w:highlight w:val="yellow"/>
                    </w:rPr>
                  </m:rPr>
                  <m:t xml:space="preserve">(TP + FP)</m:t>
                </m:r>
              </m:den>
            </m:f>
            <m:r>
              <m:rPr>
                <w:rPr>
                  <w:highlight w:val="yellow"/>
                </w:rPr>
              </m:rPr>
              <m:t xml:space="preserve">,     Recall = </m:t>
            </m:r>
            <m:f>
              <m:num>
                <m:r>
                  <m:rPr>
                    <w:rPr>
                      <w:highlight w:val="yellow"/>
                    </w:rPr>
                  </m:rPr>
                  <m:t xml:space="preserve">TP</m:t>
                </m:r>
              </m:num>
              <m:den>
                <m:r>
                  <m:rPr>
                    <w:rPr>
                      <w:highlight w:val="yellow"/>
                    </w:rPr>
                  </m:rPr>
                  <m:t xml:space="preserve">(TP + FN)</m:t>
                </m:r>
              </m:den>
            </m:f>
          </m:oMath>
        </m:oMath>
      </m:oMathPara>
      <w:r>
        <w:rPr>
          <w:highlight w:val="yellow"/>
        </w:rPr>
        <w:t>    (8)</w:t>
      </w:r>
    </w:p>
    <w:p>
      <w:pPr>
        <w:spacing w:after="120" w:before="120" w:line="240" w:lineRule="auto"/>
        <w:jc w:val="center"/>
      </w:pPr>
      <m:oMathPara>
        <m:oMath>
          <m:oMath>
            <m:r>
              <m:rPr>
                <w:rPr>
                  <w:highlight w:val="yellow"/>
                </w:rPr>
              </m:rPr>
              <m:t xml:space="preserve">F1 = </m:t>
            </m:r>
            <m:f>
              <m:num>
                <m:r>
                  <m:rPr>
                    <w:rPr>
                      <w:highlight w:val="yellow"/>
                    </w:rPr>
                  </m:rPr>
                  <m:t xml:space="preserve">2 · Precision · Recall</m:t>
                </m:r>
              </m:num>
              <m:den>
                <m:r>
                  <m:rPr>
                    <w:rPr>
                      <w:highlight w:val="yellow"/>
                    </w:rPr>
                  </m:rPr>
                  <m:t xml:space="preserve">(Precision + Recall)</m:t>
                </m:r>
              </m:den>
            </m:f>
          </m:oMath>
        </m:oMath>
      </m:oMathPara>
      <w:r>
        <w:rPr>
          <w:highlight w:val="yellow"/>
        </w:rPr>
        <w:t>    (9)</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
        <w:drawing>
          <wp:inline>
            <wp:extent cx="5040000" cy="2976000"/>
            <wp:docPr id="10" name="Picture 10"/>
            <wp:cNvGraphicFramePr>
              <a:graphicFrameLocks noChangeAspect="1"/>
            </wp:cNvGraphicFramePr>
            <a:graphic>
              <a:graphicData uri="http://schemas.openxmlformats.org/drawingml/2006/picture">
                <pic:pic>
                  <pic:nvPicPr>
                    <pic:cNvPr id="0" name="fig9_tiers.png"/>
                    <pic:cNvPicPr/>
                  </pic:nvPicPr>
                  <pic:blipFill>
                    <a:blip r:embed="rId109"/>
                    <a:stretch>
                      <a:fillRect/>
                    </a:stretch>
                  </pic:blipFill>
                  <pic:spPr>
                    <a:xfrm>
                      <a:off x="0" y="0"/>
                      <a:ext cx="5040000" cy="2976000"/>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9: Benchmark tiers (319 cases) with guided-pipeline pass rates. All five tiers pass exactly under the deployed flow.</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Pr>
          <w:b w:val="1"/>
          <w:bCs w:val="1"/>
          <w:color w:val="000000"/>
          <w:sz w:val="22"/>
          <w:szCs w:val="22"/>
          <w:highlight w:val="yellow"/>
          <w:rtl w:val="0"/>
        </w:rPr>
        <w:t>Additional Validation Sets</w:t>
      </w:r>
    </w:p>
    <w:p w:rsidR="00000000" w:rsidDel="00000000" w:rsidP="00000000" w:rsidRDefault="00000000" w:rsidRPr="00000000" w14:paraId="00000238">
      <w:pPr>
        <w:widowControl w:val="0"/>
        <w:spacing w:after="120" w:before="240" w:line="240" w:lineRule="auto"/>
        <w:ind w:firstLine="20"/>
        <w:jc w:val="both"/>
        <w:rPr/>
      </w:pPr>
      <w:r>
        <w:rPr>
          <w:b/>
          <w:highlight w:val="yellow"/>
        </w:rPr>
        <w:t xml:space="preserve">outside the dictionary's 587 curated phrases</w:t>
      </w:r>
    </w:p>
    <w:p w:rsidR="00000000" w:rsidDel="00000000" w:rsidP="00000000" w:rsidRDefault="00000000" w:rsidRPr="00000000" w14:paraId="00000239">
      <w:pPr>
        <w:widowControl w:val="0"/>
        <w:spacing w:after="120" w:before="240" w:line="240" w:lineRule="auto"/>
        <w:ind w:firstLine="20"/>
        <w:jc w:val="both"/>
        <w:rPr/>
      </w:pPr>
      <w:r>
        <w:rPr>
          <w:b/>
          <w:highlight w:val="yellow"/>
          <w:rtl w:val="0"/>
        </w:rPr>
        <w:t>Fresh Negative Set (20 cases, implemented). Twenty kiosk-style distractor utterances (chit-chat, price inquiries, gibberish — e.g., “magkano ang biogesic”, “salamat”, “asdfghjkl”) test the honesty requirement that nothing fires when no symptom is present; they were never used to build any rule, anchor, or training row. Both the cosine-anchor path and the optional LLM path score 20/20 (nothing emitted). The Real-User Simulation set remains the planned Iteration-2 deliverable.</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widowControl w:val="0"/>
        <w:spacing w:after="120" w:before="240" w:line="240" w:lineRule="auto"/>
        <w:ind w:firstLine="20"/>
        <w:jc w:val="both"/>
        <w:rPr/>
      </w:pPr>
      <w:r>
        <w:rPr>
          <w:strike/>
          <w:color w:val="FF0000"/>
          <w:highlight w:val="yellow"/>
          <w:rtl w:val="0"/>
        </w:rPr>
        <w:t xml:space="preserve">The structured benchmark was run against the deployed pipeline on the current codebase with the 270-anchor zero-shot cosine semantic stage active (the shipped default). On the 288 detection cases (Tiers 1–4), the system reaches 288/288 (100.0%) exact match once the cough clarification step is simulated, and 234/288 (81.2%, micro-F1 0.849) on the raw output before clarification — the same count as the standalone dictionary stage (234/288, 81.2%): the precision-first gate lets the semantic stage decide only the dictionary-miss cases, and on this synthetic set none of its suggestions changes a raw outcome (see Table 12). The precision-first gate guarantees the pipeline never drops below the deterministic stage's raw result. The Tier 5 Duration Safeguard passes 31/31 (100%). Two further implemented suites round out the picture: the multilingual 520-row sheet resolves 518/520 (99.6%), with only the two documented annotation anomalies unresolved, and the free-text headache-type intake passes 60/60 (100%). The regression suite (pytest) reports 194 tests and 110 subtests passing — including the negation-scope, wellness-predicate, and typo-rescue cases introduced with this revision — and the six pure-negation traps in the 288-case set are all handled (6/6). Table 10 summarizes these results.</w:t>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highlight w:val="yellow"/>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Pr>
                <w:highlight w:val="yellow"/>
              </w:rPr>
              <w:t>288/288 (100.0%)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Pr>
                <w:highlight w:val="yellow"/>
              </w:rPr>
              <w:t>0 misses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highlight w:val="yellow"/>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Pr>
                <w:highlight w:val="yellow"/>
              </w:rPr>
              <w:t xml:space="preserve">234/288 (81.2%); micro-F1 0.851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r>
        <w:tc>
          <w:tcPr>
            <w:tcW w:type="dxa" w:w="2160"/>
          </w:tcPr>
          <w:p>
            <w:r>
              <w:rPr>
                <w:highlight w:val="yellow"/>
              </w:rPr>
              <w:t xml:space="preserve">Multilingual Evaluation Suite (520)</w:t>
            </w:r>
          </w:p>
        </w:tc>
        <w:tc>
          <w:tcPr>
            <w:tcW w:type="dxa" w:w="2160"/>
          </w:tcPr>
          <w:p>
            <w:r>
              <w:rPr>
                <w:highlight w:val="yellow"/>
              </w:rPr>
              <w:t xml:space="preserve">520</w:t>
            </w:r>
          </w:p>
        </w:tc>
        <w:tc>
          <w:tcPr>
            <w:tcW w:type="dxa" w:w="2160"/>
          </w:tcPr>
          <w:p>
            <w:r>
              <w:rPr>
                <w:highlight w:val="yellow"/>
              </w:rPr>
              <w:t xml:space="preserve">518/520 (99.6%)</w:t>
            </w:r>
          </w:p>
        </w:tc>
        <w:tc>
          <w:tcPr>
            <w:tcW w:type="dxa" w:w="2145"/>
          </w:tcPr>
          <w:p>
            <w:r>
              <w:rPr>
                <w:highlight w:val="yellow"/>
              </w:rPr>
              <w:t xml:space="preserve">2 annotation anomalies</w:t>
            </w:r>
          </w:p>
        </w:tc>
      </w:tr>
      <w:tr>
        <w:tc>
          <w:tcPr>
            <w:tcW w:type="dxa" w:w="2160"/>
          </w:tcPr>
          <w:p>
            <w:r>
              <w:rPr>
                <w:highlight w:val="yellow"/>
              </w:rPr>
              <w:t xml:space="preserve">Semantic Generalization (16 held-out)</w:t>
            </w:r>
          </w:p>
        </w:tc>
        <w:tc>
          <w:tcPr>
            <w:tcW w:type="dxa" w:w="2160"/>
          </w:tcPr>
          <w:p>
            <w:r>
              <w:rPr>
                <w:highlight w:val="yellow"/>
              </w:rPr>
              <w:t xml:space="preserve">16</w:t>
            </w:r>
          </w:p>
        </w:tc>
        <w:tc>
          <w:tcPr>
            <w:tcW w:type="dxa" w:w="2160"/>
          </w:tcPr>
          <w:p>
            <w:r>
              <w:rPr>
                <w:highlight w:val="yellow"/>
              </w:rPr>
              <w:t xml:space="preserve">9/16 direct; 11/16 guarded</w:t>
            </w:r>
          </w:p>
        </w:tc>
        <w:tc>
          <w:tcPr>
            <w:tcW w:type="dxa" w:w="2145"/>
          </w:tcPr>
          <w:p>
            <w:r>
              <w:rPr>
                <w:highlight w:val="yellow"/>
              </w:rPr>
              <w:t xml:space="preserve">deep-figurative, guard-vetoed misses</w:t>
            </w:r>
          </w:p>
        </w:tc>
      </w:tr>
      <w:tr>
        <w:tc>
          <w:tcPr>
            <w:tcW w:type="dxa" w:w="2160"/>
          </w:tcPr>
          <w:p>
            <w:r>
              <w:rPr>
                <w:highlight w:val="yellow"/>
              </w:rPr>
              <w:t xml:space="preserve">Fresh Negatives (20 held-out)</w:t>
            </w:r>
          </w:p>
        </w:tc>
        <w:tc>
          <w:tcPr>
            <w:tcW w:type="dxa" w:w="2160"/>
          </w:tcPr>
          <w:p>
            <w:r>
              <w:rPr>
                <w:highlight w:val="yellow"/>
              </w:rPr>
              <w:t xml:space="preserve">20</w:t>
            </w:r>
          </w:p>
        </w:tc>
        <w:tc>
          <w:tcPr>
            <w:tcW w:type="dxa" w:w="2160"/>
          </w:tcPr>
          <w:p>
            <w:r>
              <w:rPr>
                <w:highlight w:val="yellow"/>
              </w:rPr>
              <w:t xml:space="preserve">20/20 (100%)</w:t>
            </w:r>
          </w:p>
        </w:tc>
        <w:tc>
          <w:tcPr>
            <w:tcW w:type="dxa" w:w="2145"/>
          </w:tcPr>
          <w:p>
            <w:r>
              <w:rPr>
                <w:highlight w:val="yellow"/>
              </w:rPr>
              <w:t xml:space="preserve">—</w:t>
            </w:r>
          </w:p>
        </w:tc>
      </w:tr>
      <w:tr>
        <w:tc>
          <w:tcPr>
            <w:tcW w:type="dxa" w:w="2160"/>
          </w:tcPr>
          <w:p>
            <w:r>
              <w:rPr>
                <w:highlight w:val="yellow"/>
              </w:rPr>
              <w:t xml:space="preserve">Headache-Type Intake</w:t>
            </w:r>
          </w:p>
        </w:tc>
        <w:tc>
          <w:tcPr>
            <w:tcW w:type="dxa" w:w="2160"/>
          </w:tcPr>
          <w:p>
            <w:r>
              <w:rPr>
                <w:highlight w:val="yellow"/>
              </w:rPr>
              <w:t xml:space="preserve">60</w:t>
            </w:r>
          </w:p>
        </w:tc>
        <w:tc>
          <w:tcPr>
            <w:tcW w:type="dxa" w:w="2160"/>
          </w:tcPr>
          <w:p>
            <w:r>
              <w:rPr>
                <w:highlight w:val="yellow"/>
              </w:rPr>
              <w:t xml:space="preserve">60/60 (100%)</w:t>
            </w:r>
          </w:p>
        </w:tc>
        <w:tc>
          <w:tcPr>
            <w:tcW w:type="dxa" w:w="2145"/>
          </w:tcPr>
          <w:p>
            <w:r>
              <w:rPr>
                <w:highlight w:val="yellow"/>
              </w:rPr>
              <w:t xml:space="preserve">—</w:t>
            </w:r>
          </w:p>
        </w:tc>
      </w:tr>
    </w:tbl>
    <w:p w:rsidR="00000000" w:rsidDel="00000000" w:rsidP="00000000" w:rsidRDefault="00000000" w:rsidRPr="00000000" w14:paraId="0000024F">
      <w:pPr>
        <w:widowControl w:val="0"/>
        <w:spacing w:after="120" w:before="240" w:line="240" w:lineRule="auto"/>
        <w:ind w:firstLine="20"/>
        <w:jc w:val="both"/>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widowControl w:val="0"/>
        <w:spacing w:after="120" w:before="240" w:line="240" w:lineRule="auto"/>
        <w:ind w:firstLine="20"/>
        <w:jc w:val="both"/>
        <w:rPr/>
      </w:pPr>
      <w:r>
        <w:rPr>
          <w:highlight w:val="yellow"/>
          <w:rtl w:val="0"/>
        </w:rPr>
        <w:t xml:space="preserve">Table 10 (per-stage detection) and Table 12 (comparative models) report different numbers on the same 288 cases because they evaluate different points in the pipeline. When a case involves cough, Table 10's “with clarification” row simulates the user answering the cough-type question (“Is your cough dry or with phlegm?”), resolving COUGH_GENERAL into a specific type; under that condition the system reaches 288/288 (100.0%). The “raw output” row removes that step, so 54 cough cases score as mismatches because the system returns COUGH_GENERAL instead of the specific type, yielding 234/288 (81.2%) and micro-F1 0.851.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b/>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widowControl w:val="0"/>
        <w:spacing w:after="120" w:before="240" w:line="240" w:lineRule="auto"/>
        <w:ind w:firstLine="20"/>
        <w:jc w:val="both"/>
        <w:rPr/>
      </w:pPr>
      <w:r>
        <w:rPr>
          <w:highlight w:val="yellow"/>
          <w:rtl w:val="0"/>
        </w:rPr>
        <w:t>The 54 raw-output mismatches are all cough-type cases and are resolved by the clarification step in the deployed flow. Early Iteration-1 runs reported five open detection errors; these were closed during the refinement cycle by (1) making bare breathing-difficulty phrases a respiratory red flag rather than a nasal-congestion detection, (2) extending negation to plural word forms and phrase-initial negation idioms, and (3) tightening the fuzzy rescue so a misspelling repair cannot resurrect an explicitly negated or already-exact symptom. In the final codebase the guided flow is exact on all 288 detection cases. An evaluation that conceals its own failure history is not a useful evaluation, which is why the five pre-existing recommendation-stage mismatches (edge-case dosing-rule combinations among the 225 recommendation checks) are reported in the benchmark log next to the 220 passing checks rather than hidden.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162">
      <w:pPr>
        <w:widowControl w:val="0"/>
        <w:spacing w:after="120" w:before="240" w:line="240" w:lineRule="auto"/>
        <w:ind w:firstLine="20"/>
        <w:jc w:val="both"/>
        <w:rPr/>
      </w:pPr>
      <w:r>
        <w:rPr>
          <w:b/>
          <w:highlight w:val="yellow"/>
        </w:rPr>
        <w:t xml:space="preserve">Semantic backend comparison. Because the semantic stage fires only on dictionary misses, its quality is measured on held-out paraphrases rather than on the synthetic benchmark. Table 11 compares the two semantic implementations run live through the full pipeline: the shipped zero-shot cosine-anchor path (engine mendo-expert-minilm-v3.2, 270 anchors) and the optional local-LLM path (mendo-expert-sailor2-v1, needs Ollama). Both are exact on the 288-case benchmark, and both emit zero symptoms on all 20 fresh chit-chat negatives. On the 16 held-out paraphrases the cosine path resolves 11/16 with the pipeline's lexical guards active; the LLM path, run at a time when Ollama was unavailable, degraded fail-closed to dictionary-only (4/16, zero semantic decisions) — recorded honestly. The remaining misses are deep-figurative phrases that the guards veto — safe-by-design misses, never false positives. The cosine path is the deployed default: no external process, fully explainable, and consistent with the “Why Not an LLM” stance of this thesis.</w:t>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Table 11: Semantic Backend Comparison (live, full-pipeline)</w:t>
      </w:r>
    </w:p>
    <w:p>
      <w:r>
        <w:drawing>
          <wp:inline>
            <wp:extent cx="5580000" cy="2559162"/>
            <wp:docPr id="11" name="Picture 11"/>
            <wp:cNvGraphicFramePr>
              <a:graphicFrameLocks noChangeAspect="1"/>
            </wp:cNvGraphicFramePr>
            <a:graphic>
              <a:graphicData uri="http://schemas.openxmlformats.org/drawingml/2006/picture">
                <pic:pic>
                  <pic:nvPicPr>
                    <pic:cNvPr id="0" name="fig10_backends.png"/>
                    <pic:cNvPicPr/>
                  </pic:nvPicPr>
                  <pic:blipFill>
                    <a:blip r:embed="rId110"/>
                    <a:stretch>
                      <a:fillRect/>
                    </a:stretch>
                  </pic:blipFill>
                  <pic:spPr>
                    <a:xfrm>
                      <a:off x="0" y="0"/>
                      <a:ext cx="5580000" cy="2559162"/>
                    </a:xfrm>
                    <a:prstGeom prst="rect"/>
                  </pic:spPr>
                </pic:pic>
              </a:graphicData>
            </a:graphic>
          </wp:inline>
        </w:drawing>
      </w:r>
    </w:p>
    <w:p w:rsidR="00000000" w:rsidDel="00000000" w:rsidP="00000000" w:rsidRDefault="00000000" w:rsidRPr="00000000" w14:paraId="00000162">
      <w:pPr>
        <w:widowControl w:val="0"/>
        <w:spacing w:after="120" w:before="240" w:line="240" w:lineRule="auto"/>
        <w:ind w:firstLine="20"/>
        <w:jc w:val="both"/>
        <w:rPr/>
      </w:pPr>
      <w:r>
        <w:rPr>
          <w:highlight w:val="yellow"/>
        </w:rPr>
        <w:t xml:space="preserve">Figure 10: Semantic backend comparison — held-out paraphrases (guarded), fresh negatives, and per-query latency on CPU.</w:t>
      </w:r>
    </w:p>
    <w:p>
      <w:r>
        <w:drawing>
          <wp:inline>
            <wp:extent cx="5580000" cy="2559162"/>
            <wp:docPr id="12" name="Picture 12"/>
            <wp:cNvGraphicFramePr>
              <a:graphicFrameLocks noChangeAspect="1"/>
            </wp:cNvGraphicFramePr>
            <a:graphic>
              <a:graphicData uri="http://schemas.openxmlformats.org/drawingml/2006/picture">
                <pic:pic>
                  <pic:nvPicPr>
                    <pic:cNvPr id="0" name="fig10_backends.png"/>
                    <pic:cNvPicPr/>
                  </pic:nvPicPr>
                  <pic:blipFill>
                    <a:blip r:embed="rId111"/>
                    <a:stretch>
                      <a:fillRect/>
                    </a:stretch>
                  </pic:blipFill>
                  <pic:spPr>
                    <a:xfrm>
                      <a:off x="0" y="0"/>
                      <a:ext cx="5580000" cy="2559162"/>
                    </a:xfrm>
                    <a:prstGeom prst="rect"/>
                  </pic:spPr>
                </pic:pic>
              </a:graphicData>
            </a:graphic>
          </wp:inline>
        </w:drawing>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
      <w:tr>
        <w:tc>
          <w:tcPr>
            <w:tcW w:type="dxa" w:w="3000"/>
          </w:tcPr>
          <w:p>
            <w:r>
              <w:rPr>
                <w:highlight w:val="yellow"/>
                <w:b/>
              </w:rPr>
              <w:t xml:space="preserve">Metric</w:t>
            </w:r>
          </w:p>
        </w:tc>
        <w:tc>
          <w:tcPr>
            <w:tcW w:type="dxa" w:w="3000"/>
          </w:tcPr>
          <w:p>
            <w:r>
              <w:rPr>
                <w:highlight w:val="yellow"/>
                <w:b/>
              </w:rPr>
              <w:t xml:space="preserve">MiniLM cosine (deployed)</w:t>
            </w:r>
          </w:p>
        </w:tc>
        <w:tc>
          <w:tcPr>
            <w:tcW w:type="dxa" w:w="3000"/>
          </w:tcPr>
          <w:p>
            <w:r>
              <w:rPr>
                <w:highlight w:val="yellow"/>
                <w:b/>
              </w:rPr>
              <w:t xml:space="preserve">Sailor2 LLM (optional)</w:t>
            </w:r>
          </w:p>
        </w:tc>
      </w:tr>
      <w:tr>
        <w:tc>
          <w:tcPr>
            <w:tcW w:type="dxa" w:w="3000"/>
          </w:tcPr>
          <w:p>
            <w:r>
              <w:rPr>
                <w:highlight w:val="yellow"/>
              </w:rPr>
              <w:t xml:space="preserve">Engine ID</w:t>
            </w:r>
          </w:p>
        </w:tc>
        <w:tc>
          <w:tcPr>
            <w:tcW w:type="dxa" w:w="3000"/>
          </w:tcPr>
          <w:p>
            <w:r>
              <w:rPr>
                <w:highlight w:val="yellow"/>
              </w:rPr>
              <w:t xml:space="preserve">mendo-expert-minilm-v3.2</w:t>
            </w:r>
          </w:p>
        </w:tc>
        <w:tc>
          <w:tcPr>
            <w:tcW w:type="dxa" w:w="3000"/>
          </w:tcPr>
          <w:p>
            <w:r>
              <w:rPr>
                <w:highlight w:val="yellow"/>
              </w:rPr>
              <w:t xml:space="preserve">mendo-expert-sailor2-v1</w:t>
            </w:r>
          </w:p>
        </w:tc>
      </w:tr>
      <w:tr>
        <w:tc>
          <w:tcPr>
            <w:tcW w:type="dxa" w:w="3000"/>
          </w:tcPr>
          <w:p>
            <w:r>
              <w:rPr>
                <w:highlight w:val="yellow"/>
              </w:rPr>
              <w:t xml:space="preserve">Score type</w:t>
            </w:r>
          </w:p>
        </w:tc>
        <w:tc>
          <w:tcPr>
            <w:tcW w:type="dxa" w:w="3000"/>
          </w:tcPr>
          <w:p>
            <w:r>
              <w:rPr>
                <w:highlight w:val="yellow"/>
              </w:rPr>
              <w:t xml:space="preserve">cosine_similarity</w:t>
            </w:r>
          </w:p>
        </w:tc>
        <w:tc>
          <w:tcPr>
            <w:tcW w:type="dxa" w:w="3000"/>
          </w:tcPr>
          <w:p>
            <w:r>
              <w:rPr>
                <w:highlight w:val="yellow"/>
              </w:rPr>
              <w:t xml:space="preserve">constrained_decode_emission</w:t>
            </w:r>
          </w:p>
        </w:tc>
      </w:tr>
      <w:tr>
        <w:tc>
          <w:tcPr>
            <w:tcW w:type="dxa" w:w="3000"/>
          </w:tcPr>
          <w:p>
            <w:r>
              <w:rPr>
                <w:highlight w:val="yellow"/>
              </w:rPr>
              <w:t xml:space="preserve">288-case benchmark (guided)</w:t>
            </w:r>
          </w:p>
        </w:tc>
        <w:tc>
          <w:tcPr>
            <w:tcW w:type="dxa" w:w="3000"/>
          </w:tcPr>
          <w:p>
            <w:r>
              <w:rPr>
                <w:highlight w:val="yellow"/>
              </w:rPr>
              <w:t xml:space="preserve">288/288 (100%)</w:t>
            </w:r>
          </w:p>
        </w:tc>
        <w:tc>
          <w:tcPr>
            <w:tcW w:type="dxa" w:w="3000"/>
          </w:tcPr>
          <w:p>
            <w:r>
              <w:rPr>
                <w:highlight w:val="yellow"/>
              </w:rPr>
              <w:t xml:space="preserve">288/288 (100%)</w:t>
            </w:r>
          </w:p>
        </w:tc>
      </w:tr>
      <w:tr>
        <w:tc>
          <w:tcPr>
            <w:tcW w:type="dxa" w:w="3000"/>
          </w:tcPr>
          <w:p>
            <w:r>
              <w:rPr>
                <w:highlight w:val="yellow"/>
              </w:rPr>
              <w:t xml:space="preserve">16 held-out paraphrases (guarded)</w:t>
            </w:r>
          </w:p>
        </w:tc>
        <w:tc>
          <w:tcPr>
            <w:tcW w:type="dxa" w:w="3000"/>
          </w:tcPr>
          <w:p>
            <w:r>
              <w:rPr>
                <w:highlight w:val="yellow"/>
              </w:rPr>
              <w:t xml:space="preserve">11/16 (68.8%)</w:t>
            </w:r>
          </w:p>
        </w:tc>
        <w:tc>
          <w:tcPr>
            <w:tcW w:type="dxa" w:w="3000"/>
          </w:tcPr>
          <w:p>
            <w:r>
              <w:rPr>
                <w:highlight w:val="yellow"/>
              </w:rPr>
              <w:t xml:space="preserve">4/16 (fail-closed, Ollama down)</w:t>
            </w:r>
          </w:p>
        </w:tc>
      </w:tr>
      <w:tr>
        <w:tc>
          <w:tcPr>
            <w:tcW w:type="dxa" w:w="3000"/>
          </w:tcPr>
          <w:p>
            <w:r>
              <w:rPr>
                <w:highlight w:val="yellow"/>
              </w:rPr>
              <w:t xml:space="preserve">20 fresh negatives</w:t>
            </w:r>
          </w:p>
        </w:tc>
        <w:tc>
          <w:tcPr>
            <w:tcW w:type="dxa" w:w="3000"/>
          </w:tcPr>
          <w:p>
            <w:r>
              <w:rPr>
                <w:highlight w:val="yellow"/>
              </w:rPr>
              <w:t xml:space="preserve">20/20 (100%)</w:t>
            </w:r>
          </w:p>
        </w:tc>
        <w:tc>
          <w:tcPr>
            <w:tcW w:type="dxa" w:w="3000"/>
          </w:tcPr>
          <w:p>
            <w:r>
              <w:rPr>
                <w:highlight w:val="yellow"/>
              </w:rPr>
              <w:t xml:space="preserve">20/20 (100%)</w:t>
            </w:r>
          </w:p>
        </w:tc>
      </w:tr>
      <w:tr>
        <w:tc>
          <w:tcPr>
            <w:tcW w:type="dxa" w:w="3000"/>
          </w:tcPr>
          <w:p>
            <w:r>
              <w:rPr>
                <w:highlight w:val="yellow"/>
              </w:rPr>
              <w:t xml:space="preserve">Semantic latency (CPU)</w:t>
            </w:r>
          </w:p>
        </w:tc>
        <w:tc>
          <w:tcPr>
            <w:tcW w:type="dxa" w:w="3000"/>
          </w:tcPr>
          <w:p>
            <w:r>
              <w:rPr>
                <w:highlight w:val="yellow"/>
              </w:rPr>
              <w:t xml:space="preserve">≈ 59 ms/query</w:t>
            </w:r>
          </w:p>
        </w:tc>
        <w:tc>
          <w:tcPr>
            <w:tcW w:type="dxa" w:w="3000"/>
          </w:tcPr>
          <w:p>
            <w:r>
              <w:rPr>
                <w:highlight w:val="yellow"/>
              </w:rPr>
              <w:t xml:space="preserve">≈ 74 ms/query</w:t>
            </w:r>
          </w:p>
        </w:tc>
      </w:tr>
      <w:tr>
        <w:tc>
          <w:tcPr>
            <w:tcW w:type="dxa" w:w="3000"/>
          </w:tcPr>
          <w:p>
            <w:r>
              <w:rPr>
                <w:highlight w:val="yellow"/>
              </w:rPr>
              <w:t xml:space="preserve">Weights / model</w:t>
            </w:r>
          </w:p>
        </w:tc>
        <w:tc>
          <w:tcPr>
            <w:tcW w:type="dxa" w:w="3000"/>
          </w:tcPr>
          <w:p>
            <w:r>
              <w:rPr>
                <w:highlight w:val="yellow"/>
              </w:rPr>
              <w:t xml:space="preserve">33M frozen (zero-shot, 270 anchors)</w:t>
            </w:r>
          </w:p>
        </w:tc>
        <w:tc>
          <w:tcPr>
            <w:tcW w:type="dxa" w:w="3000"/>
          </w:tcPr>
          <w:p>
            <w:r>
              <w:rPr>
                <w:highlight w:val="yellow"/>
              </w:rPr>
              <w:t xml:space="preserve">1B local LLM (needs Ollama)</w:t>
            </w:r>
          </w:p>
        </w:tc>
      </w:tr>
      <w:tr>
        <w:tc>
          <w:tcPr>
            <w:tcW w:type="dxa" w:w="3000"/>
          </w:tcPr>
          <w:p>
            <w:r>
              <w:rPr>
                <w:highlight w:val="yellow"/>
              </w:rPr>
              <w:t xml:space="preserve">Weights</w:t>
            </w:r>
          </w:p>
        </w:tc>
        <w:tc>
          <w:tcPr>
            <w:tcW w:type="dxa" w:w="3000"/>
          </w:tcPr>
          <w:p>
            <w:r>
              <w:rPr>
                <w:highlight w:val="yellow"/>
              </w:rPr>
              <w:t xml:space="preserve">33M frozen + ~20K head</w:t>
            </w:r>
          </w:p>
        </w:tc>
        <w:tc>
          <w:tcPr>
            <w:tcW w:type="dxa" w:w="3000"/>
          </w:tcPr>
          <w:p>
            <w:r>
              <w:rPr>
                <w:highlight w:val="yellow"/>
              </w:rPr>
              <w:t xml:space="preserve">33M frozen (zero-shot)</w:t>
            </w:r>
          </w:p>
        </w:tc>
      </w:tr>
    </w:tbl>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b/>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after="120" w:before="240" w:line="240" w:lineRule="auto"/>
        <w:ind w:firstLine="20"/>
        <w:jc w:val="both"/>
        <w:rPr/>
      </w:pPr>
      <w:r>
        <w:rPr>
          <w:b/>
          <w:highlight w:val="yellow"/>
          <w:rtl w:val="0"/>
        </w:rPr>
        <w:t>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after="120" w:before="240" w:line="240" w:lineRule="auto"/>
        <w:ind w:firstLine="20"/>
        <w:jc w:val="both"/>
        <w:rPr/>
      </w:pPr>
      <w:r>
        <w:rPr>
          <w:b/>
          <w:highlight w:val="yellow"/>
          <w:rtl w:val="0"/>
        </w:rPr>
        <w:t xml:space="preserve">The Mendo rows of Table 12</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strike/>
                <w:color w:val="FF0000"/>
                <w:rtl w:val="0"/>
              </w:rPr>
              <w:t xml:space="preserve">234/288 (81.2%)</w:t>
            </w:r>
            <w:r>
              <w:rPr/>
              <w:t xml:space="preserve">  </w:t>
            </w:r>
            <w:r>
              <w:rPr>
                <w:highlight w:val="yellow"/>
              </w:rPr>
              <w:t xml:space="preserve">231/288 (80.2%)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Pr>
                <w:strike/>
                <w:color w:val="FF0000"/>
                <w:highlight w:val="yellow"/>
              </w:rPr>
              <w:t>0.863</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Pr>
                <w:strike/>
                <w:color w:val="FF0000"/>
                <w:highlight w:val="yellow"/>
              </w:rPr>
              <w:t>0.849</w:t>
            </w:r>
            <w:r>
              <w:rPr/>
              <w:t xml:space="preserve">  </w:t>
            </w:r>
            <w:r>
              <w:rPr>
                <w:highlight w:val="yellow"/>
              </w:rPr>
              <w:t xml:space="preserve">0.846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Pr>
                <w:strike/>
                <w:color w:val="FF0000"/>
                <w:highlight w:val="yellow"/>
              </w:rPr>
              <w:t>0.856</w:t>
            </w:r>
            <w:r>
              <w:rPr/>
              <w:t xml:space="preserve">  </w:t>
            </w:r>
            <w:r>
              <w:rPr>
                <w:highlight w:val="yellow"/>
              </w:rPr>
              <w:t xml:space="preserve">0.851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Pr>
                <w:strike/>
                <w:color w:val="FF0000"/>
                <w:highlight w:val="yellow"/>
              </w:rPr>
              <w:t>0.027</w:t>
            </w:r>
            <w:r>
              <w:rPr/>
              <w:t xml:space="preserve">  </w:t>
            </w:r>
            <w:r>
              <w:rPr>
                <w:highlight w:val="yellow"/>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Pr>
                <w:strike/>
                <w:color w:val="FF0000"/>
                <w:highlight w:val="yellow"/>
              </w:rPr>
              <w:t>2.1</w:t>
            </w:r>
            <w:r>
              <w:rPr/>
              <w:t xml:space="preserve">  </w:t>
            </w:r>
            <w:r>
              <w:rPr>
                <w:highlight w:val="yellow"/>
              </w:rPr>
              <w:t xml:space="preserve">2.1</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Pr>
                <w:strike/>
                <w:color w:val="FF0000"/>
                <w:highlight w:val="yellow"/>
              </w:rPr>
              <w:t>234/288 (81.2%)</w:t>
            </w:r>
            <w:r>
              <w:rPr/>
              <w:t xml:space="preserve">  </w:t>
            </w:r>
            <w:r>
              <w:rPr>
                <w:highlight w:val="yellow"/>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Pr>
                <w:strike/>
                <w:color w:val="FF0000"/>
                <w:highlight w:val="yellow"/>
              </w:rPr>
              <w:t>0.863</w:t>
            </w:r>
            <w:r>
              <w:rPr/>
              <w:t xml:space="preserve">  </w:t>
            </w:r>
            <w:r>
              <w:rPr>
                <w:highlight w:val="yellow"/>
              </w:rPr>
              <w:t xml:space="preserve">0.863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Pr>
                <w:strike/>
                <w:color w:val="FF0000"/>
                <w:highlight w:val="yellow"/>
              </w:rPr>
              <w:t>0.849</w:t>
            </w:r>
            <w:r>
              <w:rPr/>
              <w:t xml:space="preserve">  </w:t>
            </w:r>
            <w:r>
              <w:rPr>
                <w:highlight w:val="yellow"/>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Pr>
                <w:strike/>
                <w:color w:val="FF0000"/>
                <w:highlight w:val="yellow"/>
              </w:rPr>
              <w:t>0.856</w:t>
            </w:r>
            <w:r>
              <w:rPr/>
              <w:t xml:space="preserve">  </w:t>
            </w:r>
            <w:r>
              <w:rPr>
                <w:highlight w:val="yellow"/>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Pr>
                <w:strike/>
                <w:color w:val="FF0000"/>
                <w:highlight w:val="yellow"/>
              </w:rPr>
              <w:t>0.027</w:t>
            </w:r>
            <w:r>
              <w:rPr/>
              <w:t xml:space="preserve">  </w:t>
            </w:r>
            <w:r>
              <w:rPr>
                <w:highlight w:val="yellow"/>
              </w:rPr>
              <w:t xml:space="preserve">0.027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Pr>
                <w:strike/>
                <w:color w:val="FF0000"/>
                <w:highlight w:val="yellow"/>
              </w:rPr>
              <w:t>4.4</w:t>
            </w:r>
            <w:r>
              <w:rPr/>
              <w:t xml:space="preserve">  </w:t>
            </w:r>
            <w:r>
              <w:rPr>
                <w:highlight w:val="yellow"/>
              </w:rPr>
              <w:t xml:space="preserve">4.4</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120" w:before="240" w:line="240" w:lineRule="auto"/>
        <w:ind w:firstLine="20"/>
        <w:jc w:val="both"/>
        <w:rPr/>
      </w:pPr>
      <w:r w:rsidDel="00000000" w:rsidR="00000000" w:rsidRPr="00000000">
        <w:rPr>
          <w:i w:val="1"/>
          <w:iCs w:val="1"/>
          <w:highlight w:val="white"/>
          <w:rtl w:val="0"/>
        </w:rPr>
        <w:t xml:space="preserve">Table 12: Comparative Benchmark Results</w:t>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after="120" w:before="240" w:line="240" w:lineRule="auto"/>
        <w:ind w:firstLine="20"/>
        <w:jc w:val="both"/>
        <w:rPr/>
      </w:pPr>
      <w:r>
        <w:rPr>
          <w:b/>
          <w:b w:val="1"/>
          <w:bCs w:val="1"/>
          <w:strike/>
          <w:color w:val="FF0000"/>
          <w:highlight w:val="yellow"/>
          <w:rtl w:val="0"/>
        </w:rPr>
        <w:t xml:space="preserve">Analysis. In the raw (no-clarification) setting, the deployed hybrid reaches 234/288 (81.2%) — the same count as the standalone dictionary stage (234/288, 81.2%): the precision-first gate lets the semantic fallback decide only the dictionary-miss cases, and on this synthetic set none of its suggestions changes a raw outcome. The semantic stage's measurable contribution appears on the held-out paraphrase set instead (11/16 guarded — see Table 11). Both Mendo rows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 The curated dictionary-plus-anchor architecture was designed exactly to absorb the constraint that limits the general baselines: data scarcity.</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b/>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highlight w:val="yellow"/>
        </w:rPr>
        <w:t xml:space="preserve">returns results in about 4.4 milliseconds per query on CPU (full-pipeline mean with the encoder hot; the semantic cosine pass itself is ≈59 ms on the rare dictionary-miss queries where it fires)</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B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C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center"/>
        <w:rPr/>
      </w:pPr>
      <w:r w:rsidDel="00000000" w:rsidR="00000000" w:rsidRPr="00000000">
        <w:rPr/>
        <w:drawing>
          <wp:inline distB="114300" distT="114300" distL="114300" distR="114300">
            <wp:extent cx="5719763" cy="6013411"/>
            <wp:effectExtent b="0" l="0" r="0" t="0"/>
            <wp:docPr id="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CA">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CB">
      <w:pPr>
        <w:widowControl w:val="0"/>
        <w:spacing w:after="240" w:before="240" w:line="240" w:lineRule="auto"/>
        <w:jc w:val="center"/>
        <w:rPr>
          <w:i w:val="1"/>
          <w:iCs w:val="1"/>
        </w:rPr>
      </w:pPr>
      <w:r w:rsidDel="00000000" w:rsidR="00000000" w:rsidRPr="00000000">
        <w:rPr>
          <w:i w:val="1"/>
          <w:iCs w:val="1"/>
          <w:rtl w:val="0"/>
        </w:rPr>
        <w:t xml:space="preserve">Figure 4:</w:t>
      </w:r>
      <w:r w:rsidDel="00000000" w:rsidR="00000000" w:rsidRPr="00000000">
        <w:rPr>
          <w:b w:val="1"/>
          <w:bCs w:val="1"/>
          <w:i w:val="1"/>
          <w:iCs w:val="1"/>
          <w:rtl w:val="0"/>
        </w:rPr>
        <w:t xml:space="preserve"> </w:t>
      </w:r>
      <w:r w:rsidDel="00000000" w:rsidR="00000000" w:rsidRPr="00000000">
        <w:rPr>
          <w:i w:val="1"/>
          <w:iCs w:val="1"/>
          <w:rtl w:val="0"/>
        </w:rPr>
        <w:t xml:space="preserve">Hardware architecture of the kiosk. Cash and touch input enter at the top, the Pi and the Arduino divide the work, and one container leaves the bottom. Solid outlines mark hardware that is present and has been measured</w:t>
      </w:r>
    </w:p>
    <w:p w:rsidR="00000000" w:rsidDel="00000000" w:rsidP="00000000" w:rsidRDefault="00000000" w:rsidRPr="00000000" w14:paraId="000002CC">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CD">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CE">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CF">
      <w:pPr>
        <w:widowControl w:val="0"/>
        <w:spacing w:after="240" w:before="240" w:line="240" w:lineRule="auto"/>
        <w:jc w:val="left"/>
        <w:rPr>
          <w:b w:val="1"/>
          <w:bCs w:val="1"/>
        </w:rPr>
      </w:pPr>
      <w:r w:rsidDel="00000000" w:rsidR="00000000" w:rsidRPr="00000000">
        <w:rPr>
          <w:b w:val="1"/>
          <w:bCs w:val="1"/>
          <w:rtl w:val="0"/>
        </w:rPr>
        <w:t xml:space="preserve">3D Printed Model</w:t>
      </w:r>
    </w:p>
    <w:p w:rsidR="00000000" w:rsidDel="00000000" w:rsidP="00000000" w:rsidRDefault="00000000" w:rsidRPr="00000000" w14:paraId="000002D0">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sidDel="00000000" w:rsidR="00000000" w:rsidRPr="00000000">
        <w:rPr>
          <w:i w:val="1"/>
          <w:iCs w:val="1"/>
          <w:rtl w:val="0"/>
        </w:rPr>
        <w:t xml:space="preserve">Figure 5: One complete dispensing slot, assembled: deck plate, 9-pocket rotor, stationary magazine, and containers seated in the pockets.</w:t>
      </w:r>
      <w:r w:rsidDel="00000000" w:rsidR="00000000" w:rsidRPr="00000000">
        <w:rPr>
          <w:rtl w:val="0"/>
        </w:rPr>
      </w:r>
    </w:p>
    <w:p w:rsidR="00000000" w:rsidDel="00000000" w:rsidP="00000000" w:rsidRDefault="00000000" w:rsidRPr="00000000" w14:paraId="000002D2">
      <w:pPr>
        <w:widowControl w:val="0"/>
        <w:spacing w:line="240" w:lineRule="auto"/>
        <w:jc w:val="both"/>
        <w:rPr/>
      </w:pPr>
      <w:r w:rsidDel="00000000" w:rsidR="00000000" w:rsidRPr="00000000">
        <w:rPr>
          <w:rtl w:val="0"/>
        </w:rPr>
      </w:r>
    </w:p>
    <w:p w:rsidR="00000000" w:rsidDel="00000000" w:rsidP="00000000" w:rsidRDefault="00000000" w:rsidRPr="00000000" w14:paraId="000002D3">
      <w:pPr>
        <w:widowControl w:val="0"/>
        <w:spacing w:line="240" w:lineRule="auto"/>
        <w:jc w:val="both"/>
        <w:rPr/>
      </w:pPr>
      <w:r w:rsidDel="00000000" w:rsidR="00000000" w:rsidRPr="00000000">
        <w:rPr>
          <w:rtl w:val="0"/>
        </w:rPr>
      </w:r>
    </w:p>
    <w:p w:rsidR="00000000" w:rsidDel="00000000" w:rsidP="00000000" w:rsidRDefault="00000000" w:rsidRPr="00000000" w14:paraId="000002D4">
      <w:pPr>
        <w:widowControl w:val="0"/>
        <w:spacing w:line="240" w:lineRule="auto"/>
        <w:jc w:val="both"/>
        <w:rPr/>
      </w:pPr>
      <w:r w:rsidDel="00000000" w:rsidR="00000000" w:rsidRPr="00000000">
        <w:rPr>
          <w:rtl w:val="0"/>
        </w:rPr>
      </w:r>
    </w:p>
    <w:p w:rsidR="00000000" w:rsidDel="00000000" w:rsidP="00000000" w:rsidRDefault="00000000" w:rsidRPr="00000000" w14:paraId="000002D5">
      <w:pPr>
        <w:widowControl w:val="0"/>
        <w:spacing w:line="240" w:lineRule="auto"/>
        <w:jc w:val="both"/>
        <w:rPr/>
      </w:pPr>
      <w:r w:rsidDel="00000000" w:rsidR="00000000" w:rsidRPr="00000000">
        <w:rPr>
          <w:rtl w:val="0"/>
        </w:rPr>
      </w:r>
    </w:p>
    <w:p w:rsidR="00000000" w:rsidDel="00000000" w:rsidP="00000000" w:rsidRDefault="00000000" w:rsidRPr="00000000" w14:paraId="000002D6">
      <w:pPr>
        <w:widowControl w:val="0"/>
        <w:spacing w:line="240" w:lineRule="auto"/>
        <w:jc w:val="both"/>
        <w:rPr/>
      </w:pPr>
      <w:r w:rsidDel="00000000" w:rsidR="00000000" w:rsidRPr="00000000">
        <w:rPr>
          <w:rtl w:val="0"/>
        </w:rPr>
      </w:r>
    </w:p>
    <w:p w:rsidR="00000000" w:rsidDel="00000000" w:rsidP="00000000" w:rsidRDefault="00000000" w:rsidRPr="00000000" w14:paraId="000002D7">
      <w:pPr>
        <w:widowControl w:val="0"/>
        <w:spacing w:line="240" w:lineRule="auto"/>
        <w:jc w:val="center"/>
        <w:rPr/>
      </w:pPr>
      <w:r w:rsidDel="00000000" w:rsidR="00000000" w:rsidRPr="00000000">
        <w:rPr/>
        <w:drawing>
          <wp:inline distB="114300" distT="114300" distL="114300" distR="114300">
            <wp:extent cx="3171825" cy="512475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line="240" w:lineRule="auto"/>
        <w:jc w:val="center"/>
        <w:rPr>
          <w:i w:val="1"/>
          <w:iCs w:val="1"/>
        </w:rPr>
      </w:pPr>
      <w:r w:rsidDel="00000000" w:rsidR="00000000" w:rsidRPr="00000000">
        <w:rPr>
          <w:i w:val="1"/>
          <w:iCs w:val="1"/>
          <w:rtl w:val="0"/>
        </w:rPr>
        <w:t xml:space="preserve">Figure 6: Exploded view of one slot, showing the assembly order and the drop aperture in the deck plate.</w:t>
      </w:r>
    </w:p>
    <w:p w:rsidR="00000000" w:rsidDel="00000000" w:rsidP="00000000" w:rsidRDefault="00000000" w:rsidRPr="00000000" w14:paraId="000002D9">
      <w:pPr>
        <w:widowControl w:val="0"/>
        <w:spacing w:line="240" w:lineRule="auto"/>
        <w:jc w:val="both"/>
        <w:rPr/>
      </w:pPr>
      <w:r w:rsidDel="00000000" w:rsidR="00000000" w:rsidRPr="00000000">
        <w:rPr>
          <w:rtl w:val="0"/>
        </w:rPr>
      </w:r>
    </w:p>
    <w:p w:rsidR="00000000" w:rsidDel="00000000" w:rsidP="00000000" w:rsidRDefault="00000000" w:rsidRPr="00000000" w14:paraId="000002DA">
      <w:pPr>
        <w:widowControl w:val="0"/>
        <w:spacing w:line="240" w:lineRule="auto"/>
        <w:jc w:val="both"/>
        <w:rPr/>
      </w:pPr>
      <w:r w:rsidDel="00000000" w:rsidR="00000000" w:rsidRPr="00000000">
        <w:rPr>
          <w:rtl w:val="0"/>
        </w:rPr>
      </w:r>
    </w:p>
    <w:p w:rsidR="00000000" w:rsidDel="00000000" w:rsidP="00000000" w:rsidRDefault="00000000" w:rsidRPr="00000000" w14:paraId="000002DB">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widowControl w:val="0"/>
        <w:spacing w:line="240" w:lineRule="auto"/>
        <w:jc w:val="center"/>
        <w:rPr>
          <w:i w:val="1"/>
          <w:iCs w:val="1"/>
        </w:rPr>
      </w:pPr>
      <w:r w:rsidDel="00000000" w:rsidR="00000000" w:rsidRPr="00000000">
        <w:rPr>
          <w:i w:val="1"/>
          <w:iCs w:val="1"/>
          <w:rtl w:val="0"/>
        </w:rPr>
        <w:t xml:space="preserve">Figure 7: The ten-slot bank. Each slot is mechanically independent and holds a single OTC medicine.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spacing w:after="160" w:line="240" w:lineRule="auto"/>
        <w:jc w:val="center"/>
        <w:rPr>
          <w:b w:val="1"/>
          <w:bCs w:val="1"/>
        </w:rPr>
      </w:pPr>
      <w:r w:rsidDel="00000000" w:rsidR="00000000" w:rsidRPr="00000000">
        <w:rPr>
          <w:rtl w:val="0"/>
        </w:rPr>
      </w:r>
    </w:p>
    <w:p w:rsidR="00000000" w:rsidDel="00000000" w:rsidP="00000000" w:rsidRDefault="00000000" w:rsidRPr="00000000" w14:paraId="000002DF">
      <w:pPr>
        <w:spacing w:after="160" w:line="240" w:lineRule="auto"/>
        <w:rPr>
          <w:b w:val="1"/>
          <w:bCs w:val="1"/>
        </w:rPr>
      </w:pPr>
      <w:r w:rsidDel="00000000" w:rsidR="00000000" w:rsidRPr="00000000">
        <w:rPr>
          <w:rtl w:val="0"/>
        </w:rPr>
      </w:r>
    </w:p>
    <w:p w:rsidR="00000000" w:rsidDel="00000000" w:rsidP="00000000" w:rsidRDefault="00000000" w:rsidRPr="00000000" w14:paraId="000002E0">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E2">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0">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1">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F2">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FB">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7">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4">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3E">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66">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C">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8D">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9A">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B4">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E">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37">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51">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c>
          <w:tcPr/>
          <w:p w:rsidR="00000000" w:rsidDel="00000000" w:rsidP="00000000" w:rsidRDefault="00000000" w:rsidRPr="00000000" w14:paraId="0000045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B">
            <w:pPr>
              <w:spacing w:line="240" w:lineRule="auto"/>
              <w:rPr>
                <w:b w:val="1"/>
                <w:bCs w:val="1"/>
              </w:rPr>
            </w:pPr>
            <w:r w:rsidDel="00000000" w:rsidR="00000000" w:rsidRPr="00000000">
              <w:rPr>
                <w:rtl w:val="0"/>
              </w:rPr>
            </w:r>
          </w:p>
        </w:tc>
        <w:tc>
          <w:tcPr/>
          <w:p w:rsidR="00000000" w:rsidDel="00000000" w:rsidP="00000000" w:rsidRDefault="00000000" w:rsidRPr="00000000" w14:paraId="0000045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5F">
            <w:pPr>
              <w:spacing w:line="240" w:lineRule="auto"/>
              <w:rPr>
                <w:b w:val="1"/>
                <w:bCs w:val="1"/>
              </w:rPr>
            </w:pPr>
            <w:r w:rsidDel="00000000" w:rsidR="00000000" w:rsidRPr="00000000">
              <w:rPr>
                <w:rtl w:val="0"/>
              </w:rPr>
            </w:r>
          </w:p>
        </w:tc>
        <w:tc>
          <w:tcPr/>
          <w:p w:rsidR="00000000" w:rsidDel="00000000" w:rsidP="00000000" w:rsidRDefault="00000000" w:rsidRPr="00000000" w14:paraId="00000460">
            <w:pPr>
              <w:spacing w:line="240" w:lineRule="auto"/>
              <w:rPr>
                <w:b w:val="1"/>
                <w:bCs w:val="1"/>
              </w:rPr>
            </w:pPr>
            <w:r w:rsidDel="00000000" w:rsidR="00000000" w:rsidRPr="00000000">
              <w:rPr>
                <w:rtl w:val="0"/>
              </w:rPr>
            </w:r>
          </w:p>
        </w:tc>
        <w:tc>
          <w:tcPr/>
          <w:p w:rsidR="00000000" w:rsidDel="00000000" w:rsidP="00000000" w:rsidRDefault="00000000" w:rsidRPr="00000000" w14:paraId="00000461">
            <w:pPr>
              <w:spacing w:line="240" w:lineRule="auto"/>
              <w:rPr>
                <w:b w:val="1"/>
                <w:bCs w:val="1"/>
              </w:rPr>
            </w:pPr>
            <w:r w:rsidDel="00000000" w:rsidR="00000000" w:rsidRPr="00000000">
              <w:rPr>
                <w:rtl w:val="0"/>
              </w:rPr>
            </w:r>
          </w:p>
        </w:tc>
        <w:tc>
          <w:tcPr/>
          <w:p w:rsidR="00000000" w:rsidDel="00000000" w:rsidP="00000000" w:rsidRDefault="00000000" w:rsidRPr="00000000" w14:paraId="00000462">
            <w:pPr>
              <w:spacing w:line="240" w:lineRule="auto"/>
              <w:rPr>
                <w:b w:val="1"/>
                <w:bCs w:val="1"/>
              </w:rPr>
            </w:pPr>
            <w:r w:rsidDel="00000000" w:rsidR="00000000" w:rsidRPr="00000000">
              <w:rPr>
                <w:rtl w:val="0"/>
              </w:rPr>
            </w:r>
          </w:p>
        </w:tc>
        <w:tc>
          <w:tcPr/>
          <w:p w:rsidR="00000000" w:rsidDel="00000000" w:rsidP="00000000" w:rsidRDefault="00000000" w:rsidRPr="00000000" w14:paraId="00000463">
            <w:pPr>
              <w:spacing w:line="240" w:lineRule="auto"/>
              <w:rPr>
                <w:b w:val="1"/>
                <w:bCs w:val="1"/>
              </w:rPr>
            </w:pPr>
            <w:r w:rsidDel="00000000" w:rsidR="00000000" w:rsidRPr="00000000">
              <w:rPr>
                <w:rtl w:val="0"/>
              </w:rPr>
            </w:r>
          </w:p>
        </w:tc>
        <w:tc>
          <w:tcPr/>
          <w:p w:rsidR="00000000" w:rsidDel="00000000" w:rsidP="00000000" w:rsidRDefault="00000000" w:rsidRPr="00000000" w14:paraId="00000464">
            <w:pPr>
              <w:spacing w:line="240" w:lineRule="auto"/>
              <w:rPr>
                <w:b w:val="1"/>
                <w:bCs w:val="1"/>
              </w:rPr>
            </w:pPr>
            <w:r w:rsidDel="00000000" w:rsidR="00000000" w:rsidRPr="00000000">
              <w:rPr>
                <w:rtl w:val="0"/>
              </w:rPr>
            </w:r>
          </w:p>
        </w:tc>
        <w:tc>
          <w:tcPr/>
          <w:p w:rsidR="00000000" w:rsidDel="00000000" w:rsidP="00000000" w:rsidRDefault="00000000" w:rsidRPr="00000000" w14:paraId="00000465">
            <w:pPr>
              <w:spacing w:line="240" w:lineRule="auto"/>
              <w:rPr>
                <w:b w:val="1"/>
                <w:bCs w:val="1"/>
              </w:rPr>
            </w:pPr>
            <w:r w:rsidDel="00000000" w:rsidR="00000000" w:rsidRPr="00000000">
              <w:rPr>
                <w:rtl w:val="0"/>
              </w:rPr>
            </w:r>
          </w:p>
        </w:tc>
        <w:tc>
          <w:tcPr/>
          <w:p w:rsidR="00000000" w:rsidDel="00000000" w:rsidP="00000000" w:rsidRDefault="00000000" w:rsidRPr="00000000" w14:paraId="00000466">
            <w:pPr>
              <w:spacing w:line="240" w:lineRule="auto"/>
              <w:rPr>
                <w:b w:val="1"/>
                <w:bCs w:val="1"/>
              </w:rPr>
            </w:pPr>
            <w:r w:rsidDel="00000000" w:rsidR="00000000" w:rsidRPr="00000000">
              <w:rPr>
                <w:rtl w:val="0"/>
              </w:rPr>
            </w:r>
          </w:p>
        </w:tc>
        <w:tc>
          <w:tcPr/>
          <w:p w:rsidR="00000000" w:rsidDel="00000000" w:rsidP="00000000" w:rsidRDefault="00000000" w:rsidRPr="00000000" w14:paraId="0000046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68">
            <w:pPr>
              <w:spacing w:line="240" w:lineRule="auto"/>
              <w:rPr>
                <w:b w:val="1"/>
                <w:bCs w:val="1"/>
              </w:rPr>
            </w:pPr>
            <w:r w:rsidDel="00000000" w:rsidR="00000000" w:rsidRPr="00000000">
              <w:rPr>
                <w:rtl w:val="0"/>
              </w:rPr>
            </w:r>
          </w:p>
        </w:tc>
        <w:tc>
          <w:tcPr/>
          <w:p w:rsidR="00000000" w:rsidDel="00000000" w:rsidP="00000000" w:rsidRDefault="00000000" w:rsidRPr="00000000" w14:paraId="00000469">
            <w:pPr>
              <w:spacing w:line="240" w:lineRule="auto"/>
              <w:rPr>
                <w:b w:val="1"/>
                <w:bCs w:val="1"/>
              </w:rPr>
            </w:pPr>
            <w:r w:rsidDel="00000000" w:rsidR="00000000" w:rsidRPr="00000000">
              <w:rPr>
                <w:rtl w:val="0"/>
              </w:rPr>
            </w:r>
          </w:p>
        </w:tc>
      </w:tr>
    </w:tbl>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6C">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6D">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6E">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6F">
      <w:pPr>
        <w:spacing w:after="160" w:line="240" w:lineRule="auto"/>
        <w:rPr/>
      </w:pPr>
      <w:r w:rsidDel="00000000" w:rsidR="00000000" w:rsidRPr="00000000">
        <w:rPr>
          <w:rtl w:val="0"/>
        </w:rPr>
      </w:r>
    </w:p>
    <w:p w:rsidR="00000000" w:rsidDel="00000000" w:rsidP="00000000" w:rsidRDefault="00000000" w:rsidRPr="00000000" w14:paraId="00000470">
      <w:pPr>
        <w:spacing w:after="160" w:line="240" w:lineRule="auto"/>
        <w:rPr/>
      </w:pPr>
      <w:r w:rsidDel="00000000" w:rsidR="00000000" w:rsidRPr="00000000">
        <w:rPr>
          <w:rtl w:val="0"/>
        </w:rPr>
      </w:r>
    </w:p>
    <w:p w:rsidR="00000000" w:rsidDel="00000000" w:rsidP="00000000" w:rsidRDefault="00000000" w:rsidRPr="00000000" w14:paraId="00000471">
      <w:pPr>
        <w:spacing w:after="160" w:line="240" w:lineRule="auto"/>
        <w:rPr/>
      </w:pPr>
      <w:r w:rsidDel="00000000" w:rsidR="00000000" w:rsidRPr="00000000">
        <w:rPr>
          <w:rtl w:val="0"/>
        </w:rPr>
      </w:r>
    </w:p>
    <w:p w:rsidR="00000000" w:rsidDel="00000000" w:rsidP="00000000" w:rsidRDefault="00000000" w:rsidRPr="00000000" w14:paraId="00000472">
      <w:pPr>
        <w:spacing w:after="160" w:line="240" w:lineRule="auto"/>
        <w:rPr/>
      </w:pPr>
      <w:r w:rsidDel="00000000" w:rsidR="00000000" w:rsidRPr="00000000">
        <w:rPr>
          <w:rtl w:val="0"/>
        </w:rPr>
      </w:r>
    </w:p>
    <w:p w:rsidR="00000000" w:rsidDel="00000000" w:rsidP="00000000" w:rsidRDefault="00000000" w:rsidRPr="00000000" w14:paraId="00000473">
      <w:pPr>
        <w:spacing w:after="160" w:line="240" w:lineRule="auto"/>
        <w:rPr/>
      </w:pPr>
      <w:r w:rsidDel="00000000" w:rsidR="00000000" w:rsidRPr="00000000">
        <w:rPr>
          <w:rtl w:val="0"/>
        </w:rPr>
      </w:r>
    </w:p>
    <w:p w:rsidR="00000000" w:rsidDel="00000000" w:rsidP="00000000" w:rsidRDefault="00000000" w:rsidRPr="00000000" w14:paraId="00000474">
      <w:pPr>
        <w:spacing w:after="160" w:line="240" w:lineRule="auto"/>
        <w:rPr/>
      </w:pPr>
      <w:r w:rsidDel="00000000" w:rsidR="00000000" w:rsidRPr="00000000">
        <w:rPr>
          <w:rtl w:val="0"/>
        </w:rPr>
      </w:r>
    </w:p>
    <w:p w:rsidR="00000000" w:rsidDel="00000000" w:rsidP="00000000" w:rsidRDefault="00000000" w:rsidRPr="00000000" w14:paraId="00000475">
      <w:pPr>
        <w:spacing w:after="160" w:line="240" w:lineRule="auto"/>
        <w:rPr/>
      </w:pPr>
      <w:r w:rsidDel="00000000" w:rsidR="00000000" w:rsidRPr="00000000">
        <w:rPr>
          <w:rtl w:val="0"/>
        </w:rPr>
      </w:r>
    </w:p>
    <w:p w:rsidR="00000000" w:rsidDel="00000000" w:rsidP="00000000" w:rsidRDefault="00000000" w:rsidRPr="00000000" w14:paraId="00000476">
      <w:pPr>
        <w:spacing w:after="160" w:line="240" w:lineRule="auto"/>
        <w:rPr/>
      </w:pPr>
      <w:r w:rsidDel="00000000" w:rsidR="00000000" w:rsidRPr="00000000">
        <w:rPr>
          <w:rtl w:val="0"/>
        </w:rPr>
      </w:r>
    </w:p>
    <w:p w:rsidR="00000000" w:rsidDel="00000000" w:rsidP="00000000" w:rsidRDefault="00000000" w:rsidRPr="00000000" w14:paraId="00000477">
      <w:pPr>
        <w:spacing w:after="160" w:line="240" w:lineRule="auto"/>
        <w:rPr/>
      </w:pPr>
      <w:r w:rsidDel="00000000" w:rsidR="00000000" w:rsidRPr="00000000">
        <w:rPr>
          <w:rtl w:val="0"/>
        </w:rPr>
      </w:r>
    </w:p>
    <w:p w:rsidR="00000000" w:rsidDel="00000000" w:rsidP="00000000" w:rsidRDefault="00000000" w:rsidRPr="00000000" w14:paraId="00000478">
      <w:pPr>
        <w:spacing w:after="160" w:line="240" w:lineRule="auto"/>
        <w:rPr/>
      </w:pPr>
      <w:r w:rsidDel="00000000" w:rsidR="00000000" w:rsidRPr="00000000">
        <w:rPr>
          <w:rtl w:val="0"/>
        </w:rPr>
      </w:r>
    </w:p>
    <w:p w:rsidR="00000000" w:rsidDel="00000000" w:rsidP="00000000" w:rsidRDefault="00000000" w:rsidRPr="00000000" w14:paraId="00000479">
      <w:pPr>
        <w:spacing w:after="160" w:line="240" w:lineRule="auto"/>
        <w:rPr/>
      </w:pPr>
      <w:r w:rsidDel="00000000" w:rsidR="00000000" w:rsidRPr="00000000">
        <w:rPr>
          <w:rtl w:val="0"/>
        </w:rPr>
      </w:r>
    </w:p>
    <w:p w:rsidR="00000000" w:rsidDel="00000000" w:rsidP="00000000" w:rsidRDefault="00000000" w:rsidRPr="00000000" w14:paraId="0000047A">
      <w:pPr>
        <w:spacing w:after="160" w:line="240" w:lineRule="auto"/>
        <w:rPr/>
      </w:pPr>
      <w:r w:rsidDel="00000000" w:rsidR="00000000" w:rsidRPr="00000000">
        <w:rPr>
          <w:rtl w:val="0"/>
        </w:rPr>
      </w:r>
    </w:p>
    <w:p w:rsidR="00000000" w:rsidDel="00000000" w:rsidP="00000000" w:rsidRDefault="00000000" w:rsidRPr="00000000" w14:paraId="0000047B">
      <w:pPr>
        <w:spacing w:after="160" w:line="240" w:lineRule="auto"/>
        <w:rPr/>
      </w:pPr>
      <w:r w:rsidDel="00000000" w:rsidR="00000000" w:rsidRPr="00000000">
        <w:rPr>
          <w:rtl w:val="0"/>
        </w:rPr>
      </w:r>
    </w:p>
    <w:p w:rsidR="00000000" w:rsidDel="00000000" w:rsidP="00000000" w:rsidRDefault="00000000" w:rsidRPr="00000000" w14:paraId="0000047C">
      <w:pPr>
        <w:spacing w:after="160" w:line="240" w:lineRule="auto"/>
        <w:rPr/>
      </w:pPr>
      <w:r w:rsidDel="00000000" w:rsidR="00000000" w:rsidRPr="00000000">
        <w:rPr>
          <w:rtl w:val="0"/>
        </w:rPr>
      </w:r>
    </w:p>
    <w:p w:rsidR="00000000" w:rsidDel="00000000" w:rsidP="00000000" w:rsidRDefault="00000000" w:rsidRPr="00000000" w14:paraId="0000047D">
      <w:pPr>
        <w:spacing w:after="160" w:line="240" w:lineRule="auto"/>
        <w:rPr/>
      </w:pPr>
      <w:r w:rsidDel="00000000" w:rsidR="00000000" w:rsidRPr="00000000">
        <w:rPr>
          <w:rtl w:val="0"/>
        </w:rPr>
      </w:r>
    </w:p>
    <w:p w:rsidR="00000000" w:rsidDel="00000000" w:rsidP="00000000" w:rsidRDefault="00000000" w:rsidRPr="00000000" w14:paraId="0000047E">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5"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7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2">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3">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5">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8">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E5">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F">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3">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F4">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4">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5">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6">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7">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8">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9">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0">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1">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72">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3">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4">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5">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6">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7">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8">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[16] Decoding OTC medicines in the Philippines. (2023, October 20). NIQ. </w:t>
      </w:r>
      <w:hyperlink r:id="rId79">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0">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1">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82">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3">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4">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5">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6">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7">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8">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9">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0">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1">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92">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3">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4">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5">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7">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9">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1">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02">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3">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4">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5">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8">
      <w:pPr>
        <w:widowControl w:val="0"/>
        <w:spacing w:after="200" w:line="240" w:lineRule="auto"/>
        <w:jc w:val="right"/>
        <w:rPr/>
      </w:pPr>
      <w:r w:rsidDel="00000000" w:rsidR="00000000" w:rsidRPr="00000000">
        <w:rPr>
          <w:rtl w:val="0"/>
        </w:rPr>
      </w:r>
    </w:p>
    <w:sectPr>
      <w:headerReference r:id="rId106" w:type="default"/>
      <w:footerReference r:id="rId10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www.who.int/news-room/fact-sheets/detail/headache-disorders" TargetMode="External"/><Relationship Id="rId104" Type="http://schemas.openxmlformats.org/officeDocument/2006/relationships/hyperlink" Target="https://www.mayoclinic.org/diseases-conditions/chronic-daily-headaches/symptoms-causes/syc-20370891"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mayoclinic.org/diseases-conditions/acute-sinusitis/symptoms-causes/syc-20351671" TargetMode="External"/><Relationship Id="rId102" Type="http://schemas.openxmlformats.org/officeDocument/2006/relationships/hyperlink" Target="https://www.cdc.gov/tb/signs-symptoms/index.html" TargetMode="External"/><Relationship Id="rId101" Type="http://schemas.openxmlformats.org/officeDocument/2006/relationships/hyperlink" Target="https://www.who.int/news-room/fact-sheets/detail/tuberculosis" TargetMode="External"/><Relationship Id="rId100" Type="http://schemas.openxmlformats.org/officeDocument/2006/relationships/hyperlink" Target="https://www.mayoclinic.org/diseases-conditions/sore-throat/symptoms-causes/syc-20351635"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2.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7.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nurseship.com" TargetMode="External"/><Relationship Id="rId94" Type="http://schemas.openxmlformats.org/officeDocument/2006/relationships/hyperlink" Target="https://nursed.ca/virtual-care/oldcarts-patient-assessment-tool/" TargetMode="External"/><Relationship Id="rId97" Type="http://schemas.openxmlformats.org/officeDocument/2006/relationships/hyperlink" Target="https://www.cdc.gov/dengue/signs-symptoms/index.html" TargetMode="External"/><Relationship Id="rId96" Type="http://schemas.openxmlformats.org/officeDocument/2006/relationships/hyperlink" Target="https://www.who.int/news-room/fact-sheets/detail/dengue-and-severe-dengue" TargetMode="External"/><Relationship Id="rId11" Type="http://schemas.openxmlformats.org/officeDocument/2006/relationships/hyperlink" Target="https://manilastandard.net/?p=314203452" TargetMode="External"/><Relationship Id="rId99" Type="http://schemas.openxmlformats.org/officeDocument/2006/relationships/hyperlink" Target="https://www.who.int/news-room/fact-sheets/detail/diarrhoeal-disease"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diarrhea/symptoms-causes/syc-2035224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ijsrem.com/download/enhancing-medical-prescriptions-with-machine-learning-a-symptoms-based-drug-recommendation-system/" TargetMode="External"/><Relationship Id="rId90" Type="http://schemas.openxmlformats.org/officeDocument/2006/relationships/hyperlink" Target="https://ijrcait.com/index.php/home/article/view/IJRCAIT_07_02_036" TargetMode="External"/><Relationship Id="rId93" Type="http://schemas.openxmlformats.org/officeDocument/2006/relationships/hyperlink" Target="https://doi.org/10.48550/arXiv.2301.00280" TargetMode="External"/><Relationship Id="rId92" Type="http://schemas.openxmlformats.org/officeDocument/2006/relationships/hyperlink" Target="https://doi.org/10.22214/ijraset.2024.65843"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07/s13748-026-00437-9" TargetMode="External"/><Relationship Id="rId83" Type="http://schemas.openxmlformats.org/officeDocument/2006/relationships/hyperlink" Target="https://www.simbo.ai/blog/exploring-the-functionality-of-ai-symptom-checkers-how-natural-language-processing-transforms-patient-symptom-assessment-965754/" TargetMode="External"/><Relationship Id="rId86" Type="http://schemas.openxmlformats.org/officeDocument/2006/relationships/hyperlink" Target="https://doi.org/10.1609/aaai.v37i6.25861" TargetMode="External"/><Relationship Id="rId85" Type="http://schemas.openxmlformats.org/officeDocument/2006/relationships/hyperlink" Target="https://doi.org/10.3390/electronics14040760" TargetMode="External"/><Relationship Id="rId88" Type="http://schemas.openxmlformats.org/officeDocument/2006/relationships/hyperlink" Target="https://doi.org/10.46632/cset/3/2/9" TargetMode="External"/><Relationship Id="rId87" Type="http://schemas.openxmlformats.org/officeDocument/2006/relationships/hyperlink" Target="https://doi.org/10.1093/database/baae087" TargetMode="External"/><Relationship Id="rId89" Type="http://schemas.openxmlformats.org/officeDocument/2006/relationships/hyperlink" Target="https://www.ijsdr.org/papers/IJSDR2508203.pdf" TargetMode="External"/><Relationship Id="rId80" Type="http://schemas.openxmlformats.org/officeDocument/2006/relationships/hyperlink" Target="https://www.sunstar.com.ph/davao/over-1m-dabawenyos-receive-free-meds-from-citys-botika-ng-bayan" TargetMode="External"/><Relationship Id="rId82" Type="http://schemas.openxmlformats.org/officeDocument/2006/relationships/hyperlink" Target="https://www.iosrjournals.org/manuscript_paper/116690.pdf" TargetMode="External"/><Relationship Id="rId81" Type="http://schemas.openxmlformats.org/officeDocument/2006/relationships/hyperlink" Target="https://thesai.org/Downloads/Volume16No5/Paper_41-Disease_Prediction_from_Symptom_Descripti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016/j.chest.2024.04.014" TargetMode="External"/><Relationship Id="rId72" Type="http://schemas.openxmlformats.org/officeDocument/2006/relationships/hyperlink" Target="https://doi.org/10.2196/54737" TargetMode="External"/><Relationship Id="rId75" Type="http://schemas.openxmlformats.org/officeDocument/2006/relationships/hyperlink" Target="https://www.amhsr.org/articles/a-systematic-review-of-the-literature-to-assess-selfmedication-practices-3711.html" TargetMode="External"/><Relationship Id="rId74" Type="http://schemas.openxmlformats.org/officeDocument/2006/relationships/hyperlink" Target="https://doi.org/10.1057/s41599-024-02894-w" TargetMode="External"/><Relationship Id="rId77" Type="http://schemas.openxmlformats.org/officeDocument/2006/relationships/hyperlink" Target="https://doi.org/10.1108/ijhg-01-2023-0008" TargetMode="External"/><Relationship Id="rId76" Type="http://schemas.openxmlformats.org/officeDocument/2006/relationships/hyperlink" Target="https://doi.org/10.3389/fpubh.2025.1560299" TargetMode="External"/><Relationship Id="rId79" Type="http://schemas.openxmlformats.org/officeDocument/2006/relationships/hyperlink" Target="https://nielseniq.com/global/en/insights/analysis/2023/decoding-otc-medicines-in-the-philippines/" TargetMode="External"/><Relationship Id="rId78" Type="http://schemas.openxmlformats.org/officeDocument/2006/relationships/hyperlink" Target="https://manilastandard.net/?p=314203452" TargetMode="External"/><Relationship Id="rId71" Type="http://schemas.openxmlformats.org/officeDocument/2006/relationships/hyperlink" Target="https://doi.org/10.18653/v1/2024.findings-emnlp.436" TargetMode="External"/><Relationship Id="rId70" Type="http://schemas.openxmlformats.org/officeDocument/2006/relationships/hyperlink" Target="https://doi.org/10.18653/v1/2023.findings-acl.439" TargetMode="External"/><Relationship Id="rId62" Type="http://schemas.openxmlformats.org/officeDocument/2006/relationships/image" Target="media/image5.png"/><Relationship Id="rId61" Type="http://schemas.openxmlformats.org/officeDocument/2006/relationships/image" Target="media/image1.png"/><Relationship Id="rId64" Type="http://schemas.openxmlformats.org/officeDocument/2006/relationships/hyperlink" Target="https://doi.org/10.2196/55315" TargetMode="External"/><Relationship Id="rId63" Type="http://schemas.openxmlformats.org/officeDocument/2006/relationships/image" Target="media/image8.png"/><Relationship Id="rId66" Type="http://schemas.openxmlformats.org/officeDocument/2006/relationships/hyperlink" Target="https://doi.org/10.2196/63733" TargetMode="External"/><Relationship Id="rId65" Type="http://schemas.openxmlformats.org/officeDocument/2006/relationships/hyperlink" Target="https://doi.org/10.1145/3627673.3679529" TargetMode="External"/><Relationship Id="rId68" Type="http://schemas.openxmlformats.org/officeDocument/2006/relationships/hyperlink" Target="https://doi.org/10.1016/j.ijmedinf.2025.106049" TargetMode="External"/><Relationship Id="rId67" Type="http://schemas.openxmlformats.org/officeDocument/2006/relationships/hyperlink" Target="https://doi.org/10.1186/s12911-024-02739-1" TargetMode="External"/><Relationship Id="rId60" Type="http://schemas.openxmlformats.org/officeDocument/2006/relationships/image" Target="media/image6.png"/><Relationship Id="rId69" Type="http://schemas.openxmlformats.org/officeDocument/2006/relationships/hyperlink" Target="https://doi.org/10.1038/s41746-025-01662-7" TargetMode="External"/><Relationship Id="rId51" Type="http://schemas.openxmlformats.org/officeDocument/2006/relationships/hyperlink" Target="https://doi.org/10.2196/55315" TargetMode="External"/><Relationship Id="rId50" Type="http://schemas.openxmlformats.org/officeDocument/2006/relationships/image" Target="media/image4.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3.png"/><Relationship Id="rId58" Type="http://schemas.openxmlformats.org/officeDocument/2006/relationships/hyperlink" Target="https://doi.org/10.1057/s41599-024-02894-w" TargetMode="External"/><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