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tbl>
      <w:tblPr>
        <w:tblStyle w:val="Table1"/>
        <w:tblW w:w="1065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860"/>
        <w:gridCol w:w="2415"/>
        <w:gridCol w:w="1770"/>
        <w:gridCol w:w="3300"/>
        <w:tblGridChange w:id="0">
          <w:tblGrid>
            <w:gridCol w:w="1305"/>
            <w:gridCol w:w="1860"/>
            <w:gridCol w:w="2415"/>
            <w:gridCol w:w="177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Panelist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Comments/Suggestions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Page # | Paragraph # | Sentence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Panel 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Indicate what are the only covered illnesses.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00" w:line="240" w:lineRule="auto"/>
              <w:jc w:val="center"/>
              <w:rPr>
                <w:b w:val="1"/>
                <w:bCs w:val="1"/>
              </w:rPr>
            </w:pPr>
            <w:r w:rsidDel="00000000" w:rsidR="00000000" w:rsidRPr="00000000">
              <w:rPr>
                <w:rtl w:val="0"/>
              </w:rPr>
              <w:t xml:space="preserve">The study specifically covers common minor illnesses associated with seven supported symptom categories: fever, cough, colds, headaches, allergy, stomachache, and body 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00" w:line="240" w:lineRule="auto"/>
              <w:jc w:val="center"/>
              <w:rPr/>
            </w:pPr>
            <w:r>
              <w:t>Pg. 7 | Prgph. 1 | Sen.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00" w:line="240" w:lineRule="auto"/>
              <w:jc w:val="center"/>
              <w:rPr>
                <w:shd w:fill="1c4587"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Offline functionality clarification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00" w:line="240" w:lineRule="auto"/>
              <w:jc w:val="center"/>
              <w:rPr>
                <w:b w:val="1"/>
                <w:bCs w:val="1"/>
              </w:rPr>
            </w:pPr>
            <w:r>
              <w:rPr>
                <w:highlight w:val="green"/>
              </w:rPr>
              <w:t>Clarified in the Methods that Mendo v3.0 is designed for fully offline / low-connectivity operation: all symptom detection, safety screening, and recommendation run on-device on a Raspberry Pi 5 with no external API calls, so the kiosk keeps working without internet and patient data never leaves the device (RA 10173).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240" w:lineRule="auto"/>
              <w:jc w:val="center"/>
              <w:rPr>
                <w:shd w:fill="1c4587" w:val="clear"/>
              </w:rPr>
            </w:pPr>
            <w:r>
              <w:t>Pg. 7 | Prgph. 1 | Sen.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240" w:lineRule="auto"/>
              <w:jc w:val="center"/>
              <w:rPr>
                <w:shd w:fill="1c4587"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Figure 1: Iterative Research Approach; Cite reference for this image - if it is not your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This image was created by the researchers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highlight w:val="green"/>
              </w:rPr>
              <w:t>Pg. 8 | Figure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Design; The discussion here is a duplicate of the Requirements stage. Please revisit and check what should be discussed in each of these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Restructured the RADITR sections to remove duplicated discussions and clearly separate the contents of each 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highlight w:val="green"/>
              </w:rPr>
              <w:t>Pg. 9 | Prgph. 1 | Sen.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Phrase Matching Strategy; How will differences in spelling be treated? Wrong spelling?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Revised this section to explicitly clarify that character-level spelling variations, typos, and phonetic substitutions are resolved beforehand by the text normalization layer, thereby redefining this phrase matching step as a rigid structural filter for standardized text. Furthermore, we added a direct hand-off connection to the downstream semantic embedding model to ensure that any severe typos or unrecognized spellings that bypass this dictionary matching layer are gracefully routed for contextual resolution instead of causing a system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Pr>
                <w:highlight w:val="green"/>
              </w:rPr>
              <w:t>Pg. 18 | Prgph. 1 | Sen.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Fuzzy Rescue Mechanism; Explain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Expanded the Methods (Stage 1, Fuzzy Rescue Mechanism) and added Table 5 (Levenshtein Distance Matching). Updated to EIGHT rescue families to match mendo_core/step1.py (added the HEADACHE head/ulo rescue, with exclusion set {ubo, ubi, uno, uso} and a nearby-pain-word guard); Table 5 now lists all eight families with fuzzy targets, max edit distance, and exclusion sets, plus the three precision guards (minimum-length gate, exclusion lists, and the stomach/body rescues firing only next to a pain word). Implemented via _levenshtein_within().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Pr>
                <w:highlight w:val="green"/>
              </w:rPr>
              <w:t>Pg. 19 | Table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Evaluation Methodology; Who will evaluate? How many? How will the evaluation be conducted?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Rewrote the Evaluation Methodology section to answer who/how many/how explicitly. WHO: the three student researchers run the technical benchmark; the College of Pharmacy and Chemistry adviser (a licensed pharmacist) reviews and signs off the expected clinical outputs; in Iteration 2 licensed pharmacist(s) at the partner Botika ng Bayan branches conduct field validation. HOW MANY: 319 benchmark cases now, with a target of at least 100 consenting anonymized consultations in the field phase. HOW: component-wise comparison against clinically-reviewed expected outputs (technical phase); pharmacist-vs-system agreement on real consultation logs for precision/recall/F1 (field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Pr>
                <w:highlight w:val="green"/>
              </w:rPr>
              <w:t>Pgs. 30 – 31 | Evaluation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Benchmark Design; Basis/reference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Added the basis/reference for the benchmark design: the five-tier structure follows the standard software/NLP testing progression (core -&gt; robustness -&gt; adversarial -&gt; safety) [1,3], with Tier 5 grounded in the OLDCARTS Duration component [31,32] and the clinical thresholds/references in Table 6 (WHO, CDC, Mayo Clinic, DOH) [33-42]. Also corrected the tier sizes to the true counts in the code: Tier 1 = 106, Tier 2 = 94, Tier 3 = 64, Tier 4 = 24, Tier 5 = 31 (319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Pr>
                <w:highlight w:val="green"/>
              </w:rPr>
              <w:t>Pgs. 31 – 32 | Benchmark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Project Workplan; use 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Added a Gantt Chart version of the project workplan right below the original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Pr>
                <w:highlight w:val="green"/>
              </w:rPr>
              <w:t>Pg. 42 | 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bCs w:val="1"/>
              </w:rPr>
            </w:pPr>
            <w:r w:rsidDel="00000000" w:rsidR="00000000" w:rsidRPr="00000000">
              <w:rPr>
                <w:rtl w:val="0"/>
              </w:rPr>
            </w:r>
          </w:p>
        </w:tc>
      </w:tr>
      <w:tr>
        <w:trPr>
          <w:cantSplit w:val="0"/>
          <w:tblHeader w:val="0"/>
        </w:trPr>
        <w:tc>
          <w:tcPr>
            <w:tcMar>
              <w:top w:w="120.0" w:type="dxa"/>
              <w:left w:w="180.0" w:type="dxa"/>
              <w:bottom w:w="120.0" w:type="dxa"/>
              <w:right w:w="180.0" w:type="dxa"/>
            </w:tcMar>
            <w:vAlign w:val="top"/>
          </w:tcPr>
          <w:p w:rsidR="00000000" w:rsidDel="00000000" w:rsidP="00000000" w:rsidRDefault="00000000" w:rsidRPr="00000000" w14:paraId="00000034">
            <w:pPr>
              <w:widowControl w:val="0"/>
              <w:spacing w:after="480" w:lineRule="auto"/>
              <w:jc w:val="center"/>
              <w:rPr>
                <w:b w:val="1"/>
                <w:bCs w:val="1"/>
              </w:rPr>
            </w:pPr>
            <w:r w:rsidDel="00000000" w:rsidR="00000000" w:rsidRPr="00000000">
              <w:rPr>
                <w:b w:val="1"/>
                <w:bCs w:val="1"/>
                <w:rtl w:val="0"/>
              </w:rPr>
              <w:t xml:space="preserve">Dr. Cherrie</w:t>
            </w:r>
          </w:p>
        </w:tc>
        <w:tc>
          <w:tcPr>
            <w:tcMar>
              <w:top w:w="120.0" w:type="dxa"/>
              <w:left w:w="180.0" w:type="dxa"/>
              <w:bottom w:w="120.0" w:type="dxa"/>
              <w:right w:w="180.0" w:type="dxa"/>
            </w:tcMar>
            <w:vAlign w:val="top"/>
          </w:tcPr>
          <w:p w:rsidR="00000000" w:rsidDel="00000000" w:rsidP="00000000" w:rsidRDefault="00000000" w:rsidRPr="00000000" w14:paraId="00000035">
            <w:pPr>
              <w:widowControl w:val="0"/>
              <w:spacing w:after="480" w:lineRule="auto"/>
              <w:jc w:val="center"/>
              <w:rPr/>
            </w:pPr>
            <w:r w:rsidDel="00000000" w:rsidR="00000000" w:rsidRPr="00000000">
              <w:rPr>
                <w:rtl w:val="0"/>
              </w:rPr>
              <w:t xml:space="preserve">For Runny nose if its duration is more than a week consult a doctor</w:t>
            </w:r>
          </w:p>
        </w:tc>
        <w:tc>
          <w:tcPr>
            <w:tcMar>
              <w:top w:w="120.0" w:type="dxa"/>
              <w:left w:w="180.0" w:type="dxa"/>
              <w:bottom w:w="120.0" w:type="dxa"/>
              <w:right w:w="180.0" w:type="dxa"/>
            </w:tcMar>
            <w:vAlign w:val="top"/>
          </w:tcPr>
          <w:p w:rsidR="00000000" w:rsidDel="00000000" w:rsidP="00000000" w:rsidRDefault="00000000" w:rsidRPr="00000000" w14:paraId="00000036">
            <w:pPr>
              <w:widowControl w:val="0"/>
              <w:spacing w:after="480" w:lineRule="auto"/>
              <w:jc w:val="center"/>
              <w:rPr/>
            </w:pPr>
            <w:r w:rsidDel="00000000" w:rsidR="00000000" w:rsidRPr="00000000">
              <w:rPr>
                <w:rtl w:val="0"/>
              </w:rPr>
              <w:t xml:space="preserve">Implemented and now consistent across code and paper: the Colds/Sipon nasal threshold is set to 7 days (corrected from 10) in mendo_core/step4_recommend.py and Table 6; runny nose / nasal congestion persisting beyond 7 days routes to Doctor Consult to screen for secondary bacterial sinusitis.</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037">
            <w:pPr>
              <w:widowControl w:val="0"/>
              <w:spacing w:after="480" w:lineRule="auto"/>
              <w:jc w:val="center"/>
              <w:rPr/>
            </w:pPr>
            <w:r>
              <w:rPr>
                <w:highlight w:val="green"/>
              </w:rPr>
              <w:t>Pg. 23 | Table 6 (Runny Nose / Nasal)</w:t>
            </w:r>
          </w:p>
        </w:tc>
        <w:tc>
          <w:tcPr>
            <w:tcMar>
              <w:top w:w="120.0" w:type="dxa"/>
              <w:left w:w="180.0" w:type="dxa"/>
              <w:bottom w:w="120.0" w:type="dxa"/>
              <w:right w:w="180.0" w:type="dxa"/>
            </w:tcMar>
            <w:vAlign w:val="top"/>
          </w:tcPr>
          <w:p w:rsidR="00000000" w:rsidDel="00000000" w:rsidP="00000000" w:rsidRDefault="00000000" w:rsidRPr="00000000" w14:paraId="00000038">
            <w:pPr>
              <w:widowControl w:val="0"/>
              <w:spacing w:after="480" w:lineRule="auto"/>
              <w:jc w:val="center"/>
              <w:rPr/>
            </w:pPr>
            <w:r w:rsidDel="00000000" w:rsidR="00000000" w:rsidRPr="00000000">
              <w:rPr>
                <w:rtl w:val="0"/>
              </w:rPr>
            </w:r>
          </w:p>
        </w:tc>
      </w:tr>
      <w:tr>
        <w:trPr>
          <w:cantSplit w:val="0"/>
          <w:tblHeader w:val="0"/>
        </w:trPr>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9">
            <w:pPr>
              <w:widowControl w:val="0"/>
              <w:spacing w:after="480" w:lineRule="auto"/>
              <w:jc w:val="center"/>
              <w:rPr>
                <w:b w:val="1"/>
                <w:bCs w:val="1"/>
              </w:rPr>
            </w:pPr>
            <w:r w:rsidDel="00000000" w:rsidR="00000000" w:rsidRPr="00000000">
              <w:rPr>
                <w:b w:val="1"/>
                <w:bCs w:val="1"/>
                <w:rtl w:val="0"/>
              </w:rPr>
              <w:t xml:space="preserve">Dr. Cherrie</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A">
            <w:pPr>
              <w:widowControl w:val="0"/>
              <w:spacing w:after="480" w:lineRule="auto"/>
              <w:jc w:val="center"/>
              <w:rPr/>
            </w:pPr>
            <w:r w:rsidDel="00000000" w:rsidR="00000000" w:rsidRPr="00000000">
              <w:rPr>
                <w:rtl w:val="0"/>
              </w:rPr>
              <w:t xml:space="preserve">Rashes can be over the counter but for the red flag is difficulty in breathing (severe allergic reaction)</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B">
            <w:pPr>
              <w:widowControl w:val="0"/>
              <w:spacing w:after="480" w:lineRule="auto"/>
              <w:jc w:val="center"/>
              <w:rPr/>
            </w:pPr>
            <w:r w:rsidDel="00000000" w:rsidR="00000000" w:rsidRPr="00000000">
              <w:rPr>
                <w:rtl w:val="0"/>
              </w:rPr>
              <w:t xml:space="preserve">Implemented: when RASHES is detected, a screening prompt 'Are you experiencing difficulty breathing?' is shown; selecting Yes triggers immediate Emergency Triage routing and bypasses OTC recommendations (potential anaphylaxis). Code: consultation.html safety-screening module (renderDyspneaScreen). The red-flag text layer also independently catches 'difficulty breathing'.</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C">
            <w:pPr>
              <w:widowControl w:val="0"/>
              <w:spacing w:after="480" w:lineRule="auto"/>
              <w:jc w:val="center"/>
              <w:rPr/>
            </w:pPr>
            <w:r>
              <w:rPr>
                <w:highlight w:val="green"/>
              </w:rPr>
              <w:t>Pg. 23 | Prgph. 1 | Sen. 4</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D">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E">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F">
            <w:pPr>
              <w:widowControl w:val="0"/>
              <w:spacing w:after="480" w:lineRule="auto"/>
              <w:jc w:val="center"/>
              <w:rPr/>
            </w:pPr>
            <w:r w:rsidDel="00000000" w:rsidR="00000000" w:rsidRPr="00000000">
              <w:rPr>
                <w:rtl w:val="0"/>
              </w:rPr>
              <w:t xml:space="preserve">Sipon can be an allergic reaction (antihistamine)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0">
            <w:pPr>
              <w:widowControl w:val="0"/>
              <w:spacing w:after="480" w:lineRule="auto"/>
              <w:jc w:val="center"/>
              <w:rPr/>
            </w:pPr>
            <w:r w:rsidDel="00000000" w:rsidR="00000000" w:rsidRPr="00000000">
              <w:rPr>
                <w:rtl w:val="0"/>
              </w:rPr>
              <w:t xml:space="preserve">Updated recommendation logic so minor runny-nose cases with allergy indicators (sneezing, itchy nose/eyes, dust/pollen/pet, 'every morning') are matched to OTC antihistamines (Cetirizine); viral colds get general sipon relief.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1">
            <w:pPr>
              <w:widowControl w:val="0"/>
              <w:spacing w:after="480" w:lineRule="auto"/>
              <w:jc w:val="center"/>
              <w:rPr/>
            </w:pPr>
            <w:r>
              <w:rPr>
                <w:highlight w:val="green"/>
              </w:rPr>
              <w:t>Pg. 23 | Prgph. 1 | Sen. 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2">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3">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4">
            <w:pPr>
              <w:widowControl w:val="0"/>
              <w:spacing w:after="480" w:lineRule="auto"/>
              <w:jc w:val="center"/>
              <w:rPr/>
            </w:pPr>
            <w:r w:rsidDel="00000000" w:rsidR="00000000" w:rsidRPr="00000000">
              <w:rPr>
                <w:rtl w:val="0"/>
              </w:rPr>
              <w:t xml:space="preserve">For Diarrhea mild is over the counter, more than 7-10 consult for diurnation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5">
            <w:pPr>
              <w:widowControl w:val="0"/>
              <w:spacing w:after="480" w:lineRule="auto"/>
              <w:jc w:val="center"/>
              <w:rPr/>
            </w:pPr>
            <w:r w:rsidDel="00000000" w:rsidR="00000000" w:rsidRPr="00000000">
              <w:rPr>
                <w:rtl w:val="0"/>
              </w:rPr>
              <w:t xml:space="preserve">Corrected to the true threshold. Diarrhea uses a 2-day threshold in code (step4_recommend.py DURATION_THRESHOLDS) and Table 6 - i.e., adult diarrhea persisting beyond ~48 hours routes to Doctor Consult, which is STRICTER than the suggested 7-10 days, following WHO/Mayo guidance on dehydration and bacterial/parasitic infection risk [35,36]. Mild diarrhea within 2 days proceeds to OTC / Oral Rehydration; suspected food poisoning additionally excludes loperamide and prioritizes ORS. (NOTE: this is intentionally more conservative than Dr. Cherrie's 7-10 day suggestion - worth confirming with her.)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6">
            <w:pPr>
              <w:widowControl w:val="0"/>
              <w:spacing w:after="480" w:lineRule="auto"/>
              <w:jc w:val="right"/>
              <w:rPr/>
            </w:pPr>
            <w:r>
              <w:rPr>
                <w:highlight w:val="green"/>
              </w:rPr>
              <w:t>Pg. 22 | Table 6 (Diarrhea)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7">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8">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Rule="auto"/>
              <w:jc w:val="center"/>
              <w:rPr/>
            </w:pPr>
            <w:r w:rsidDel="00000000" w:rsidR="00000000" w:rsidRPr="00000000">
              <w:rPr>
                <w:rtl w:val="0"/>
              </w:rPr>
              <w:t xml:space="preserve">Scope limited to Adults only (suggestion)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A">
            <w:pPr>
              <w:widowControl w:val="0"/>
              <w:spacing w:after="480" w:lineRule="auto"/>
              <w:jc w:val="center"/>
              <w:rPr/>
            </w:pPr>
            <w:r w:rsidDel="00000000" w:rsidR="00000000" w:rsidRPr="00000000">
              <w:rPr>
                <w:rtl w:val="0"/>
              </w:rPr>
              <w:t xml:space="preserve">Considered. The system keeps all-ages support with per-medicine minimum-age enforcement: age is collected at Step 1 and every recommendation endpoint drops any medicine below its minimum age (pos/routes_consultation.py). This is safer for pediatric formulations and more flexible than a blanket adults-only gate; recorded as a documented design decision. The new proxy-purchase screening ensures the age used is the actual patient's.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Rule="auto"/>
              <w:jc w:val="center"/>
              <w:rPr/>
            </w:pPr>
            <w:r>
              <w:rPr>
                <w:highlight w:val="green"/>
              </w:rPr>
              <w:t>Pg. 13 | Stage 4 – Safety Checks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E">
            <w:pPr>
              <w:widowControl w:val="0"/>
              <w:spacing w:after="480" w:lineRule="auto"/>
              <w:jc w:val="center"/>
              <w:rPr/>
            </w:pPr>
            <w:r w:rsidDel="00000000" w:rsidR="00000000" w:rsidRPr="00000000">
              <w:rPr>
                <w:rtl w:val="0"/>
              </w:rPr>
              <w:t xml:space="preserve">Specify the stomachache if the patient is sick before or after eating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Rule="auto"/>
              <w:jc w:val="center"/>
              <w:rPr/>
            </w:pPr>
            <w:r w:rsidDel="00000000" w:rsidR="00000000" w:rsidRPr="00000000">
              <w:rPr>
                <w:rtl w:val="0"/>
              </w:rPr>
              <w:t xml:space="preserve">Implemented: the stomachache clarification now asks WHEN the pain occurs - before eating / after eating / not related to food - mapping food-related pain to acid-related therapy (antacid, e.g. Kremil-S) and food-unrelated cramping to an antispasmodic (Buscopan). Code: consultation.html STOMACH_CONTEXT food-timing selector.</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480" w:lineRule="auto"/>
              <w:jc w:val="center"/>
              <w:rPr/>
            </w:pPr>
            <w:r>
              <w:rPr>
                <w:highlight w:val="green"/>
              </w:rPr>
              <w:t>Pg. 23 | Prgph. 1 | Sen. 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Rule="auto"/>
              <w:jc w:val="center"/>
              <w:rPr/>
            </w:pPr>
            <w:r w:rsidDel="00000000" w:rsidR="00000000" w:rsidRPr="00000000">
              <w:rPr>
                <w:rtl w:val="0"/>
              </w:rPr>
              <w:t xml:space="preserve">Add illustration for the headache part where the user can select the location (a specific part is red flag ex., stroke, aneurysm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4">
            <w:pPr>
              <w:widowControl w:val="0"/>
              <w:spacing w:after="480" w:lineRule="auto"/>
              <w:jc w:val="center"/>
              <w:rPr/>
            </w:pPr>
            <w:r w:rsidDel="00000000" w:rsidR="00000000" w:rsidRPr="00000000">
              <w:rPr>
                <w:rtl w:val="0"/>
              </w:rPr>
              <w:t xml:space="preserve">Implemented: an interactive, clickable head-map. Selecting the back-of-head (occipital) zone, or the 'sudden, worst-ever (thunderclap)' option, routes directly to Emergency Triage and bypasses OTC recommendations (stroke/aneurysm risk). Code: consultation.html safety-screening module (renderHeadMapScreen).</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after="480" w:lineRule="auto"/>
              <w:jc w:val="center"/>
              <w:rPr/>
            </w:pPr>
            <w:r>
              <w:rPr>
                <w:highlight w:val="green"/>
              </w:rPr>
              <w:t>Pg. 23 | Prgph. 1 | Sen. 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7">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Rule="auto"/>
              <w:jc w:val="center"/>
              <w:rPr/>
            </w:pPr>
            <w:r w:rsidDel="00000000" w:rsidR="00000000" w:rsidRPr="00000000">
              <w:rPr>
                <w:rtl w:val="0"/>
              </w:rPr>
              <w:t xml:space="preserve">QR Code on containers to scan for instructions on medication usage (after taking medication 24 hours if you still have headache consult)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Rule="auto"/>
              <w:jc w:val="center"/>
              <w:rPr/>
            </w:pPr>
            <w:r w:rsidDel="00000000" w:rsidR="00000000" w:rsidRPr="00000000">
              <w:rPr>
                <w:rtl w:val="0"/>
              </w:rPr>
              <w:t xml:space="preserve">Noted for the Iteration-2 hardware/dispensing track: medicine containers dispensed by the vendo machine can carry a QR code linking to usage instructions and a 'consult a professional if symptoms persist after 24 hours' reminder. Out of scope for the Iteration-1 software baseline.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after="480" w:lineRule="auto"/>
              <w:jc w:val="center"/>
              <w:rPr/>
            </w:pPr>
            <w:r>
              <w:rPr>
                <w:highlight w:val="green"/>
              </w:rPr>
              <w:t>Iteration 2 (Hardware Track)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after="480" w:lineRule="auto"/>
              <w:jc w:val="center"/>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after="480" w:lineRule="auto"/>
              <w:jc w:val="center"/>
              <w:rPr/>
            </w:pPr>
            <w:r w:rsidDel="00000000" w:rsidR="00000000" w:rsidRPr="00000000">
              <w:rPr>
                <w:rtl w:val="0"/>
              </w:rPr>
              <w:t xml:space="preserve">Why not verify the user on the first page already with the fingerprint, a way to prevent brute force to cover for uncertainty and limit the number of tries (prevent the brute force) for profiling the user will have to consent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after="480" w:lineRule="auto"/>
              <w:jc w:val="center"/>
              <w:rPr/>
            </w:pPr>
            <w:r w:rsidDel="00000000" w:rsidR="00000000" w:rsidRPr="00000000">
              <w:rPr>
                <w:rtl w:val="0"/>
              </w:rPr>
              <w:t xml:space="preserve">Added the subsection 'On User Verification and Anonymity' defending the deliberate no-biometric design. Under RA 10173 a fingerprint is sensitive personal information; collecting it would convert an anonymous OTC consultation into an identifiable health record on the device, and biometric enrollment adds friction/accessibility barriers for a walk-up kiosk. The brute-force concern is handled where it belongs - the admin dashboard - via PBKDF2 password hashing, session hardening, and server-side validation, not by fingerprinting customers. Any future loyalty/profiling feature would be explicit opt-in with informed consent, never a mandatory biometric gate. (Consistent with the documented removal of the AS608 module.)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F">
            <w:pPr>
              <w:widowControl w:val="0"/>
              <w:spacing w:after="480" w:lineRule="auto"/>
              <w:jc w:val="center"/>
              <w:rPr/>
            </w:pPr>
            <w:r>
              <w:rPr>
                <w:highlight w:val="green"/>
              </w:rPr>
              <w:t>Pg. 36 | Prgph. 1 | Sen. 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0">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1">
            <w:pPr>
              <w:widowControl w:val="0"/>
              <w:spacing w:after="480" w:lineRule="auto"/>
              <w:jc w:val="center"/>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2">
            <w:pPr>
              <w:widowControl w:val="0"/>
              <w:spacing w:after="480" w:lineRule="auto"/>
              <w:jc w:val="center"/>
              <w:rPr/>
            </w:pPr>
            <w:r w:rsidDel="00000000" w:rsidR="00000000" w:rsidRPr="00000000">
              <w:rPr>
                <w:rtl w:val="0"/>
              </w:rPr>
              <w:t xml:space="preserve">Why not find existing dataset for the dictionary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3">
            <w:pPr>
              <w:widowControl w:val="0"/>
              <w:spacing w:after="480" w:lineRule="auto"/>
              <w:jc w:val="center"/>
              <w:rPr/>
            </w:pPr>
            <w:r w:rsidDel="00000000" w:rsidR="00000000" w:rsidRPr="00000000">
              <w:rPr>
                <w:rtl w:val="0"/>
              </w:rPr>
              <w:t xml:space="preserve">Added a Stage 1 paragraph explaining why the dictionary is hand-curated rather than taken from an existing dataset: no public dataset covers lay, code-switched Tagalog-Bisaya-English (incl. Jejemon/leetspeak) symptom expressions mapped to this small OTC-relevant label set; existing corpora are English/clinician-facing. The dictionary is built from authoritative sources (package inserts, MIMS Philippines) plus pharmacy fieldwork and local language resources, with dataset reuse treated as complementary rather than a replacement.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4">
            <w:pPr>
              <w:widowControl w:val="0"/>
              <w:spacing w:after="480" w:lineRule="auto"/>
              <w:jc w:val="center"/>
              <w:rPr/>
            </w:pPr>
            <w:r>
              <w:rPr>
                <w:highlight w:val="green"/>
              </w:rPr>
              <w:t>Pg. 16 | Prgph. 1 | Sen. 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after="480" w:lineRule="auto"/>
              <w:jc w:val="center"/>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after="480" w:lineRule="auto"/>
              <w:jc w:val="center"/>
              <w:rPr/>
            </w:pPr>
            <w:r w:rsidDel="00000000" w:rsidR="00000000" w:rsidRPr="00000000">
              <w:rPr>
                <w:rtl w:val="0"/>
              </w:rPr>
              <w:t xml:space="preserve">Generate variations of the languages MIMS,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480" w:lineRule="auto"/>
              <w:jc w:val="center"/>
              <w:rPr/>
            </w:pPr>
            <w:r w:rsidDel="00000000" w:rsidR="00000000" w:rsidRPr="00000000">
              <w:rPr>
                <w:rtl w:val="0"/>
              </w:rPr>
              <w:t xml:space="preserve">Addressed in the same Stage 1 paragraph: Iteration 2 will systematically expand the dictionary's surface forms by mining structured drug references such as MIMS for additional brand/generic/indication terms and by harvesting real spelling and phrasing variants from the consultation logs, so coverage grows from observed usage rather than from the team's imagination alone.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480" w:lineRule="auto"/>
              <w:jc w:val="center"/>
              <w:rPr/>
            </w:pPr>
            <w:r>
              <w:rPr>
                <w:highlight w:val="green"/>
              </w:rPr>
              <w:t>Pg. 16 | Prgph. 1 | Sen. 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480" w:lineRule="auto"/>
              <w:jc w:val="center"/>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Rule="auto"/>
              <w:jc w:val="center"/>
              <w:rPr/>
            </w:pPr>
            <w:r w:rsidDel="00000000" w:rsidR="00000000" w:rsidRPr="00000000">
              <w:rPr>
                <w:rtl w:val="0"/>
              </w:rPr>
              <w:t xml:space="preserve">Clearly state the 288 simulated input generated by the llm on the document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480" w:lineRule="auto"/>
              <w:jc w:val="center"/>
              <w:rPr/>
            </w:pPr>
            <w:r w:rsidDel="00000000" w:rsidR="00000000" w:rsidRPr="00000000">
              <w:rPr>
                <w:rtl w:val="0"/>
              </w:rPr>
              <w:t xml:space="preserve">Stated plainly in Benchmark Design that the 288 detection inputs are LLM-generated synthetic cases authored and curated by the team (expected outputs reviewed by the Pharmacy adviser), so the benchmark is a coverage/regression measure, not an independent accuracy estimate. Correspondingly corrected the Evaluation Results to the true, reproducible figures: 283/288 (98.3%) with cough clarification and 234/288 (81.2%, micro-F1 0.852) raw; removed the unreproducible 9-case / 80-case / '377-cases, zero-failures' claims; and the 5 misses are now reported openly (2 caught by the red-flag layer, 3 genuine and on the Iteration-3 fix list).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480" w:lineRule="auto"/>
              <w:jc w:val="center"/>
              <w:rPr/>
            </w:pPr>
            <w:r>
              <w:rPr>
                <w:highlight w:val="green"/>
              </w:rPr>
              <w:t>Pgs. 30 &amp; 32 | Benchmark Design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480" w:lineRule="auto"/>
              <w:jc w:val="center"/>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after="480" w:lineRule="auto"/>
              <w:jc w:val="center"/>
              <w:rPr/>
            </w:pPr>
            <w:r w:rsidDel="00000000" w:rsidR="00000000" w:rsidRPr="00000000">
              <w:rPr>
                <w:rtl w:val="0"/>
              </w:rPr>
              <w:t xml:space="preserve">Add another layer of screening whether the user is buying for himself or for another person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after="480" w:lineRule="auto"/>
              <w:jc w:val="center"/>
              <w:rPr/>
            </w:pPr>
            <w:r w:rsidDel="00000000" w:rsidR="00000000" w:rsidRPr="00000000">
              <w:rPr>
                <w:rtl w:val="0"/>
              </w:rPr>
              <w:t xml:space="preserve">Implemented a proxy-purchase screening step at the start of the consultation ('Who is this medicine for? - Myself / Someone else'). When 'Someone else' is selected, the age collected is the intended patient's age, so the age-based safety filter applies to the actual patient rather than the buyer; the selection is recorded in the consultation log. Code: web/templates/pos/consultation.html (setPurchaseFor) and pos/routes_consultation.py (purchase_for). Described in the paper as 'Proxy-Purchase Screening'.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after="480" w:lineRule="auto"/>
              <w:jc w:val="center"/>
              <w:rPr/>
            </w:pPr>
            <w:r>
              <w:rPr>
                <w:highlight w:val="green"/>
              </w:rPr>
              <w:t>Pg. 13 | Prgph. 1 | Sen. 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after="480" w:lineRule="auto"/>
              <w:jc w:val="center"/>
              <w:rPr/>
            </w:pPr>
            <w:r w:rsidDel="00000000" w:rsidR="00000000" w:rsidRPr="00000000">
              <w:rPr>
                <w:rtl w:val="0"/>
              </w:rPr>
            </w:r>
          </w:p>
        </w:tc>
      </w:tr>
    </w:tbl>
    <w:p w:rsidR="00000000" w:rsidDel="00000000" w:rsidP="00000000" w:rsidRDefault="00000000" w:rsidRPr="00000000" w14:paraId="00000075">
      <w:pPr>
        <w:jc w:val="center"/>
        <w:rPr>
          <w:b w:val="1"/>
          <w:bCs w:val="1"/>
        </w:rPr>
      </w:pPr>
      <w:r w:rsidDel="00000000" w:rsidR="00000000" w:rsidRPr="00000000">
        <w:rPr>
          <w:rtl w:val="0"/>
        </w:rPr>
      </w:r>
    </w:p>
    <w:p w:rsidR="00000000" w:rsidDel="00000000" w:rsidP="00000000" w:rsidRDefault="00000000" w:rsidRPr="00000000" w14:paraId="00000076">
      <w:pPr>
        <w:jc w:val="center"/>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