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MATERIALS &amp; METHODS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This chapter presents the research methodology employed in developing MendoVendo v3.0, an AI-enabled multilingual symptom detection and over-the-counter (OTC) medicine recommendation system optimized for deployment on resource-constrained edge devices. The methodology addresses critical limitations identified in the baseline Mendo v2.0 system, which achieved high recall (97.63%) but suffered from low precision (78.08%) and systematic safety failures in handling negation, multi-symptom scenarios, pediatric cases, and contraindications.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research adopts a hybrid rule-based and machine learning approach that balances semantic understanding with computational efficiency and clinical safety. This chapter outlines the research design, theoretical framework, system architecture, dataset construction procedures, model development and fine-tuning processes, evaluation protocols, deployment considerations, and ethical safeguards. The methodology is grounded in evidence from systematic literature review findings, which identified contextual embeddings, multi-symptom decomposition, and knowledge graph integration as proven approaches for clinical decision-support systems[</w:t>
      </w:r>
      <w:hyperlink r:id="rId7">
        <w:r w:rsidDel="00000000" w:rsidR="00000000" w:rsidRPr="00000000">
          <w:rPr>
            <w:color w:val="1155cc"/>
            <w:u w:val="single"/>
            <w:rtl w:val="0"/>
          </w:rPr>
          <w:t xml:space="preserve">1</w:t>
        </w:r>
      </w:hyperlink>
      <w:r w:rsidDel="00000000" w:rsidR="00000000" w:rsidRPr="00000000">
        <w:rPr>
          <w:rtl w:val="0"/>
        </w:rPr>
        <w:t xml:space="preserve">][</w:t>
      </w:r>
      <w:hyperlink r:id="rId8">
        <w:r w:rsidDel="00000000" w:rsidR="00000000" w:rsidRPr="00000000">
          <w:rPr>
            <w:color w:val="1155cc"/>
            <w:u w:val="single"/>
            <w:rtl w:val="0"/>
          </w:rPr>
          <w:t xml:space="preserve">2</w:t>
        </w:r>
      </w:hyperlink>
      <w:r w:rsidDel="00000000" w:rsidR="00000000" w:rsidRPr="00000000">
        <w:rPr>
          <w:rtl w:val="0"/>
        </w:rPr>
        <w:t xml:space="preserve">][</w:t>
      </w:r>
      <w:hyperlink r:id="rId9">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primary research objective is to develop a system that reduces safety violations while improving recommendation precision on clinically meaningful outputs, without sacrificing recall on supported symptom vocabulary. This is achieved through four complementary architectural components: (1) rule-based deterministic symptom extraction, (2) semantic embedding fallback for paraphrased expressions, (3) hybrid cascade orchestration, and (4) knowledge-based OTC scoring with safety constraints.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Research Design</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This study employs an iterative design science research methodology, which is particularly appropriate for developing and evaluating artificial intelligence systems in healthcare contexts[</w:t>
      </w:r>
      <w:hyperlink r:id="rId10">
        <w:r w:rsidDel="00000000" w:rsidR="00000000" w:rsidRPr="00000000">
          <w:rPr>
            <w:color w:val="1155cc"/>
            <w:u w:val="single"/>
            <w:rtl w:val="0"/>
          </w:rPr>
          <w:t xml:space="preserve">4</w:t>
        </w:r>
      </w:hyperlink>
      <w:r w:rsidDel="00000000" w:rsidR="00000000" w:rsidRPr="00000000">
        <w:rPr>
          <w:rtl w:val="0"/>
        </w:rPr>
        <w:t xml:space="preserve">][</w:t>
      </w:r>
      <w:hyperlink r:id="rId11">
        <w:r w:rsidDel="00000000" w:rsidR="00000000" w:rsidRPr="00000000">
          <w:rPr>
            <w:color w:val="1155cc"/>
            <w:u w:val="single"/>
            <w:rtl w:val="0"/>
          </w:rPr>
          <w:t xml:space="preserve">5</w:t>
        </w:r>
      </w:hyperlink>
      <w:r w:rsidDel="00000000" w:rsidR="00000000" w:rsidRPr="00000000">
        <w:rPr>
          <w:rtl w:val="0"/>
        </w:rPr>
        <w:t xml:space="preserve">]. Design science research provides a systematic framework for creating and evaluating innovative artifacts that address identified problems in organizational and technological contexts. The research follows three iterative cycles, each incorporating the stages of planning, analysis, design, implementation, testing, and review. This approach enables continuous refinement and validation of system components while incorporating feedback from domain experts and empirical evaluation results.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3.2.1 Iteration 1: Baseline Analysis and Pipeline Design</w:t>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first iteration establishes the research foundation by analyzing the limitations of Mendo v2.0 and designing the v3.0 hybrid architecture. Key activities include: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numPr>
          <w:ilvl w:val="0"/>
          <w:numId w:val="5"/>
        </w:numPr>
        <w:ind w:left="720" w:hanging="360"/>
        <w:jc w:val="both"/>
        <w:rPr>
          <w:u w:val="none"/>
        </w:rPr>
      </w:pPr>
      <w:r w:rsidDel="00000000" w:rsidR="00000000" w:rsidRPr="00000000">
        <w:rPr>
          <w:b w:val="1"/>
          <w:bCs w:val="1"/>
          <w:rtl w:val="0"/>
        </w:rPr>
        <w:t xml:space="preserve">Baseline System Evaluation:</w:t>
      </w:r>
      <w:r w:rsidDel="00000000" w:rsidR="00000000" w:rsidRPr="00000000">
        <w:rPr>
          <w:rtl w:val="0"/>
        </w:rPr>
        <w:t xml:space="preserve"> Reproduction and systematic evaluation of the existing TF-IDF and cosine similarity-based approach, confirming strong recall but low precision and multiple safety-critical errors on adversarial examples.</w:t>
      </w:r>
    </w:p>
    <w:p w:rsidR="00000000" w:rsidDel="00000000" w:rsidP="00000000" w:rsidRDefault="00000000" w:rsidRPr="00000000" w14:paraId="00000014">
      <w:pPr>
        <w:numPr>
          <w:ilvl w:val="0"/>
          <w:numId w:val="5"/>
        </w:numPr>
        <w:ind w:left="720" w:hanging="360"/>
        <w:jc w:val="both"/>
        <w:rPr>
          <w:u w:val="none"/>
        </w:rPr>
      </w:pPr>
      <w:r w:rsidDel="00000000" w:rsidR="00000000" w:rsidRPr="00000000">
        <w:rPr>
          <w:b w:val="1"/>
          <w:bCs w:val="1"/>
          <w:rtl w:val="0"/>
        </w:rPr>
        <w:t xml:space="preserve">Symptom Taxonomy Definition:</w:t>
      </w:r>
      <w:r w:rsidDel="00000000" w:rsidR="00000000" w:rsidRPr="00000000">
        <w:rPr>
          <w:rtl w:val="0"/>
        </w:rPr>
        <w:t xml:space="preserve"> Establishment of 15 clinically meaningful symptom labels (HEADACHE, FEVER, COUGH_DRY, COUGH_PRODUCTIVE, COUGH_GENERAL, RUNNY_NOSE, NASAL_CONGESTION, SORE_THROAT, STOMACH_ACHE, NAUSEA, VOMITING, DIARRHEA, BODY_ACHES, DIZZINESS, FATIGUE) to replace direct drug prediction.</w:t>
      </w:r>
    </w:p>
    <w:p w:rsidR="00000000" w:rsidDel="00000000" w:rsidP="00000000" w:rsidRDefault="00000000" w:rsidRPr="00000000" w14:paraId="00000015">
      <w:pPr>
        <w:numPr>
          <w:ilvl w:val="0"/>
          <w:numId w:val="5"/>
        </w:numPr>
        <w:ind w:left="720" w:hanging="360"/>
        <w:jc w:val="both"/>
        <w:rPr>
          <w:u w:val="none"/>
        </w:rPr>
      </w:pPr>
      <w:r w:rsidDel="00000000" w:rsidR="00000000" w:rsidRPr="00000000">
        <w:rPr>
          <w:b w:val="1"/>
          <w:bCs w:val="1"/>
          <w:rtl w:val="0"/>
        </w:rPr>
        <w:t xml:space="preserve">Initial Dataset Construction:</w:t>
      </w:r>
      <w:r w:rsidDel="00000000" w:rsidR="00000000" w:rsidRPr="00000000">
        <w:rPr>
          <w:rtl w:val="0"/>
        </w:rPr>
        <w:t xml:space="preserve"> Assembly of initial evaluation corpus mixing single-symptom utterances with negations, abbreviations, and multi-symptom cases.</w:t>
      </w:r>
    </w:p>
    <w:p w:rsidR="00000000" w:rsidDel="00000000" w:rsidP="00000000" w:rsidRDefault="00000000" w:rsidRPr="00000000" w14:paraId="00000016">
      <w:pPr>
        <w:numPr>
          <w:ilvl w:val="0"/>
          <w:numId w:val="5"/>
        </w:numPr>
        <w:ind w:left="720" w:hanging="360"/>
        <w:jc w:val="both"/>
        <w:rPr>
          <w:u w:val="none"/>
        </w:rPr>
      </w:pPr>
      <w:r w:rsidDel="00000000" w:rsidR="00000000" w:rsidRPr="00000000">
        <w:rPr>
          <w:b w:val="1"/>
          <w:bCs w:val="1"/>
          <w:rtl w:val="0"/>
        </w:rPr>
        <w:t xml:space="preserve">Pipeline Architecture Design:</w:t>
      </w:r>
      <w:r w:rsidDel="00000000" w:rsidR="00000000" w:rsidRPr="00000000">
        <w:rPr>
          <w:rtl w:val="0"/>
        </w:rPr>
        <w:t xml:space="preserve"> Specification of the four-step cascaded pipeline with rule-based extraction, MiniLM fallback, hybrid orchestrator, and knowledge-based scoring.</w:t>
      </w:r>
    </w:p>
    <w:p w:rsidR="00000000" w:rsidDel="00000000" w:rsidP="00000000" w:rsidRDefault="00000000" w:rsidRPr="00000000" w14:paraId="00000017">
      <w:pPr>
        <w:numPr>
          <w:ilvl w:val="0"/>
          <w:numId w:val="3"/>
        </w:numPr>
        <w:ind w:left="720" w:hanging="360"/>
        <w:jc w:val="both"/>
        <w:rPr>
          <w:u w:val="none"/>
        </w:rPr>
      </w:pPr>
      <w:r w:rsidDel="00000000" w:rsidR="00000000" w:rsidRPr="00000000">
        <w:rPr>
          <w:b w:val="1"/>
          <w:bCs w:val="1"/>
          <w:rtl w:val="0"/>
        </w:rPr>
        <w:t xml:space="preserve">Requirements Gathering:</w:t>
      </w:r>
      <w:r w:rsidDel="00000000" w:rsidR="00000000" w:rsidRPr="00000000">
        <w:rPr>
          <w:rtl w:val="0"/>
        </w:rPr>
        <w:t xml:space="preserve"> Identification of functional and non-functional requirements based on v2.0 limitations, including multilingual support (English, Filipino/Tagalog, Cebuano/Bisaya), computational constraints for Raspberry Pi 5 deployment, and safety-critical reasoning capabilities.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Outputs of Iteration 1 include documented error analysis of v2.0, the 15-label symptom taxonomy, draft pipeline specification, and baseline performance benchmarks establishing clear improvement targets.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3.2.2 Iteration 2: Data Cleaning, Expert-Guided Refinement, and Fine-Tuning</w:t>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second iteration focuses on cleaner data, expert validation, and semantic model adaptation. Key activities include: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4"/>
        </w:numPr>
        <w:ind w:left="720" w:hanging="360"/>
        <w:jc w:val="both"/>
        <w:rPr>
          <w:u w:val="none"/>
        </w:rPr>
      </w:pPr>
      <w:r w:rsidDel="00000000" w:rsidR="00000000" w:rsidRPr="00000000">
        <w:rPr>
          <w:b w:val="1"/>
          <w:bCs w:val="1"/>
          <w:rtl w:val="0"/>
        </w:rPr>
        <w:t xml:space="preserve">Real-World Style Dataset Construction:</w:t>
      </w:r>
      <w:r w:rsidDel="00000000" w:rsidR="00000000" w:rsidRPr="00000000">
        <w:rPr>
          <w:rtl w:val="0"/>
        </w:rPr>
        <w:t xml:space="preserve"> A corpus of 1,039 realistic patient-style utterances in Bisaya, Tagalog, English, code-switched combinations, and informal slang was constructed to serve as input for expert annotation</w:t>
      </w:r>
    </w:p>
    <w:p w:rsidR="00000000" w:rsidDel="00000000" w:rsidP="00000000" w:rsidRDefault="00000000" w:rsidRPr="00000000" w14:paraId="00000020">
      <w:pPr>
        <w:numPr>
          <w:ilvl w:val="0"/>
          <w:numId w:val="4"/>
        </w:numPr>
        <w:ind w:left="720" w:hanging="360"/>
        <w:jc w:val="both"/>
        <w:rPr>
          <w:u w:val="none"/>
        </w:rPr>
      </w:pPr>
      <w:r w:rsidDel="00000000" w:rsidR="00000000" w:rsidRPr="00000000">
        <w:rPr>
          <w:b w:val="1"/>
          <w:bCs w:val="1"/>
          <w:rtl w:val="0"/>
        </w:rPr>
        <w:t xml:space="preserve">Annotation Tool Development and Deployment:</w:t>
      </w:r>
      <w:r w:rsidDel="00000000" w:rsidR="00000000" w:rsidRPr="00000000">
        <w:rPr>
          <w:rtl w:val="0"/>
        </w:rPr>
        <w:t xml:space="preserve"> A web-based annotation tool was developed and deployed (accessible at </w:t>
      </w:r>
      <w:hyperlink r:id="rId12">
        <w:r w:rsidDel="00000000" w:rsidR="00000000" w:rsidRPr="00000000">
          <w:rPr>
            <w:color w:val="1155cc"/>
            <w:u w:val="single"/>
            <w:rtl w:val="0"/>
          </w:rPr>
          <w:t xml:space="preserve">mendo.diapana.dev</w:t>
        </w:r>
      </w:hyperlink>
      <w:r w:rsidDel="00000000" w:rsidR="00000000" w:rsidRPr="00000000">
        <w:rPr>
          <w:rtl w:val="0"/>
        </w:rPr>
        <w:t xml:space="preserve">) to guide a domain expert pharmacist in producing structured JSON annotations containing symptom labels, recommended OTC drugs, age restrictions, dosage guidance, and safety referral flags</w:t>
      </w:r>
    </w:p>
    <w:p w:rsidR="00000000" w:rsidDel="00000000" w:rsidP="00000000" w:rsidRDefault="00000000" w:rsidRPr="00000000" w14:paraId="00000021">
      <w:pPr>
        <w:numPr>
          <w:ilvl w:val="0"/>
          <w:numId w:val="4"/>
        </w:numPr>
        <w:ind w:left="720" w:hanging="360"/>
        <w:jc w:val="both"/>
        <w:rPr>
          <w:u w:val="none"/>
        </w:rPr>
      </w:pPr>
      <w:r w:rsidDel="00000000" w:rsidR="00000000" w:rsidRPr="00000000">
        <w:rPr>
          <w:b w:val="1"/>
          <w:bCs w:val="1"/>
          <w:rtl w:val="0"/>
        </w:rPr>
        <w:t xml:space="preserve">Domain Expert Annotation:</w:t>
      </w:r>
      <w:r w:rsidDel="00000000" w:rsidR="00000000" w:rsidRPr="00000000">
        <w:rPr>
          <w:rtl w:val="0"/>
        </w:rPr>
        <w:t xml:space="preserve"> </w:t>
      </w:r>
      <w:commentRangeStart w:id="0"/>
      <w:r w:rsidDel="00000000" w:rsidR="00000000" w:rsidRPr="00000000">
        <w:rPr>
          <w:rtl w:val="0"/>
        </w:rPr>
        <w:t xml:space="preserve">Licensed pharmacist annotates the 1,039-entry corpus, creating gold-standard evaluation data with symptom labels, medication recommendations, safety considerations, and clinical appropriateness assessments.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numPr>
          <w:ilvl w:val="0"/>
          <w:numId w:val="4"/>
        </w:numPr>
        <w:ind w:left="720" w:hanging="360"/>
        <w:jc w:val="both"/>
        <w:rPr>
          <w:u w:val="none"/>
        </w:rPr>
      </w:pPr>
      <w:r w:rsidDel="00000000" w:rsidR="00000000" w:rsidRPr="00000000">
        <w:rPr>
          <w:b w:val="1"/>
          <w:bCs w:val="1"/>
          <w:rtl w:val="0"/>
        </w:rPr>
        <w:t xml:space="preserve">Embedding Model Fine-Tuning:</w:t>
      </w:r>
      <w:r w:rsidDel="00000000" w:rsidR="00000000" w:rsidRPr="00000000">
        <w:rPr>
          <w:rtl w:val="0"/>
        </w:rPr>
        <w:t xml:space="preserve"> Domain-specific adaptation of paraphrase-multilingual-MiniLM-L12-v2 was performed on 252 sentence-pair similarity samples using CosineSimilarityLoss, with batch size 16, 4 epochs, 50 warmup steps, and the AdamW optimizer at the library default learning rate of 2×10⁻⁵.</w:t>
      </w:r>
    </w:p>
    <w:p w:rsidR="00000000" w:rsidDel="00000000" w:rsidP="00000000" w:rsidRDefault="00000000" w:rsidRPr="00000000" w14:paraId="00000023">
      <w:pPr>
        <w:numPr>
          <w:ilvl w:val="0"/>
          <w:numId w:val="4"/>
        </w:numPr>
        <w:ind w:left="720" w:hanging="360"/>
        <w:jc w:val="both"/>
        <w:rPr>
          <w:u w:val="none"/>
        </w:rPr>
      </w:pPr>
      <w:r w:rsidDel="00000000" w:rsidR="00000000" w:rsidRPr="00000000">
        <w:rPr>
          <w:b w:val="1"/>
          <w:bCs w:val="1"/>
          <w:rtl w:val="0"/>
        </w:rPr>
        <w:t xml:space="preserve">Threshold Optimization:</w:t>
      </w:r>
      <w:r w:rsidDel="00000000" w:rsidR="00000000" w:rsidRPr="00000000">
        <w:rPr>
          <w:rtl w:val="0"/>
        </w:rPr>
        <w:t xml:space="preserve"> A threshold sweep analysis (0.40 to 0.85) was conducted on a 2,170-entry symptom evaluation corpus to identify the F1-maximizing cosine similarity cutoff for symptom detection, avoiding manual threshold bias</w:t>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b w:val="1"/>
          <w:bCs w:val="1"/>
          <w:rtl w:val="0"/>
        </w:rPr>
        <w:t xml:space="preserve">Rule Dictionary Expansion: </w:t>
      </w:r>
      <w:r w:rsidDel="00000000" w:rsidR="00000000" w:rsidRPr="00000000">
        <w:rPr>
          <w:rtl w:val="0"/>
        </w:rPr>
        <w:t xml:space="preserve">Multilingual symptom dictionaries were iteratively expanded to 522 curated phrases across 15 symptom labels based on observed linguistic patterns and domain expert input. This iteration produces a domain-adapted embedding model, a validated symptom label set, an expert-annotated gold-standard corpus, and a clean evaluation split with no training-test leakage — directly addressing a documented limitation of Mendo v2.0.</w:t>
      </w:r>
    </w:p>
    <w:p w:rsidR="00000000" w:rsidDel="00000000" w:rsidP="00000000" w:rsidRDefault="00000000" w:rsidRPr="00000000" w14:paraId="00000025">
      <w:pPr>
        <w:jc w:val="both"/>
        <w:rPr/>
      </w:pPr>
      <w:r w:rsidDel="00000000" w:rsidR="00000000" w:rsidRPr="00000000">
        <w:rPr>
          <w:rtl w:val="0"/>
        </w:rPr>
        <w:t xml:space="preserve">This iteration produces a domain-adapted MiniLM model, validated symptom label set, expert-annotated gold-standard corpus, and cleaner evaluation split with no training-test leakage, addressing a documented issue in Mendo v2.0.</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3.2.3 Iteration 3: Error-Driven Adjustment and Experimental Evaluation</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third iteration addresses remaining errors, finalizes the system, and conducts comprehensive evaluation. Key activities include: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b w:val="1"/>
          <w:bCs w:val="1"/>
          <w:rtl w:val="0"/>
        </w:rPr>
        <w:t xml:space="preserve">Failure Case Analysis:</w:t>
      </w:r>
      <w:r w:rsidDel="00000000" w:rsidR="00000000" w:rsidRPr="00000000">
        <w:rPr>
          <w:rtl w:val="0"/>
        </w:rPr>
        <w:t xml:space="preserve"> Systematic review of misclassification cases from Iteration 2, with targeted adjustments to dictionaries, negation windows, and threshold values.</w:t>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b w:val="1"/>
          <w:bCs w:val="1"/>
          <w:rtl w:val="0"/>
        </w:rPr>
        <w:t xml:space="preserve">Knowledge Graph Finalization:</w:t>
      </w:r>
      <w:r w:rsidDel="00000000" w:rsidR="00000000" w:rsidRPr="00000000">
        <w:rPr>
          <w:rtl w:val="0"/>
        </w:rPr>
        <w:t xml:space="preserve"> Completion of the OTC medication knowledge graph for 26 drugs (intentionally reduced from v2.0's 81 entries to focus on OTC-only medications), including drug categories, symptom coverage, minimum age requirements, and basic contraindication flags.</w:t>
      </w:r>
    </w:p>
    <w:p w:rsidR="00000000" w:rsidDel="00000000" w:rsidP="00000000" w:rsidRDefault="00000000" w:rsidRPr="00000000" w14:paraId="0000002D">
      <w:pPr>
        <w:numPr>
          <w:ilvl w:val="0"/>
          <w:numId w:val="2"/>
        </w:numPr>
        <w:ind w:left="720" w:hanging="360"/>
        <w:jc w:val="both"/>
        <w:rPr>
          <w:u w:val="none"/>
        </w:rPr>
      </w:pPr>
      <w:r w:rsidDel="00000000" w:rsidR="00000000" w:rsidRPr="00000000">
        <w:rPr>
          <w:b w:val="1"/>
          <w:bCs w:val="1"/>
          <w:rtl w:val="0"/>
        </w:rPr>
        <w:t xml:space="preserve">Scope Refinement:</w:t>
      </w:r>
      <w:r w:rsidDel="00000000" w:rsidR="00000000" w:rsidRPr="00000000">
        <w:rPr>
          <w:rtl w:val="0"/>
        </w:rPr>
        <w:t xml:space="preserve"> Purposeful reduction of drug coverage to 26 OTC products, dropping maintenance medications and prescription-only agents to align with realistic vending capacity (approximately 15 physical slots) and OTC-only clinical scope.</w:t>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b w:val="1"/>
          <w:bCs w:val="1"/>
          <w:rtl w:val="0"/>
        </w:rPr>
        <w:t xml:space="preserve">Final Intrinsic Evaluation:</w:t>
      </w:r>
      <w:r w:rsidDel="00000000" w:rsidR="00000000" w:rsidRPr="00000000">
        <w:rPr>
          <w:rtl w:val="0"/>
        </w:rPr>
        <w:t xml:space="preserve"> Comprehensive performance measurement on symptom evaluation corpus (2,170 entries) using standard metrics (Precision@K, Recall@K, F1) and safety-oriented metrics (Negation Sensitivity Rate, Safety Violation Rate, Pediatric Formulation Accuracy).</w:t>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b w:val="1"/>
          <w:bCs w:val="1"/>
          <w:rtl w:val="0"/>
        </w:rPr>
        <w:t xml:space="preserve">Ablation Studies:</w:t>
      </w:r>
      <w:r w:rsidDel="00000000" w:rsidR="00000000" w:rsidRPr="00000000">
        <w:rPr>
          <w:rtl w:val="0"/>
        </w:rPr>
        <w:t xml:space="preserve"> Controlled experiments isolating contributions of rule-based extraction, embedding fallback, multi-symptom decomposition, and knowledge graph constraints.</w:t>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b w:val="1"/>
          <w:bCs w:val="1"/>
          <w:rtl w:val="0"/>
        </w:rPr>
        <w:t xml:space="preserve">Expert Validation:</w:t>
      </w:r>
      <w:r w:rsidDel="00000000" w:rsidR="00000000" w:rsidRPr="00000000">
        <w:rPr>
          <w:rtl w:val="0"/>
        </w:rPr>
        <w:t xml:space="preserve"> Pharmacist review of system recommendations for clinical appropriateness and safety compliance.</w:t>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b w:val="1"/>
          <w:bCs w:val="1"/>
          <w:rtl w:val="0"/>
        </w:rPr>
        <w:t xml:space="preserve">Deployment Preparation:</w:t>
      </w:r>
      <w:r w:rsidDel="00000000" w:rsidR="00000000" w:rsidRPr="00000000">
        <w:rPr>
          <w:rtl w:val="0"/>
        </w:rPr>
        <w:t xml:space="preserve"> Performance profiling and optimization for real-time inference latency on Raspberry Pi 5 hardware (target: &lt;100ms per query).</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Iteration 3 produces the final tuned cascade architecture, validated knowledge graph, comprehensive evaluation results, and deployment-ready system.</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3.2.4 Research Philosophy</w:t>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This research adopts a pragmatic research philosophy, which prioritizes practical problem-solving over adherence to a single epistemological stance. Pragmatism is appropriate for applied AI system development in healthcare, where the research question demands both quantitative performance evaluation and qualitative assessment of clinical utility. The study employs a mixed-methods approach combining experimental evaluation of algorithm performance using controlled test datasets with expert pharmacist validation of recommendations and iterative design refinements based on observed system behaviors.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3.3 Theoretical Framework</w:t>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Unlike Mendo v1 and v2, which were grounded in Information Retrieval (IR) Theory due to their TF-IDF retrieval architecture, MendoVendo v3.0 transitions to a hybrid theoretical basis aligned with its new cascaded pipeline architecture.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3.3.1 Rule-Based NLP and Computational Linguistics Theory</w:t>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Step 1 of the pipeline employs explicit dictionaries, regular expressions, negation windows, and cough-type disambiguation rules to encode domain expert knowledge as deterministic linguistic patterns. This approach is grounded in rule-based natural language processing and computational linguistics theory, which posits that explicit linguistic rules can effectively capture domain-specific language phenomena when the vocabulary and grammar are well-defined[</w:t>
      </w:r>
      <w:hyperlink r:id="rId13">
        <w:r w:rsidDel="00000000" w:rsidR="00000000" w:rsidRPr="00000000">
          <w:rPr>
            <w:color w:val="1155cc"/>
            <w:u w:val="single"/>
            <w:rtl w:val="0"/>
          </w:rPr>
          <w:t xml:space="preserve">6</w:t>
        </w:r>
      </w:hyperlink>
      <w:r w:rsidDel="00000000" w:rsidR="00000000" w:rsidRPr="00000000">
        <w:rPr>
          <w:rtl w:val="0"/>
        </w:rPr>
        <w:t xml:space="preserve">]. Modern computational linguistics emphasizes the complementary roles of rule-based and statistical approaches in clinical NLP applications.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The rule-based component draws from established practices in clinical NLP systems where deterministic pattern matching ensures interpretability, auditability, and safety guarantees—critical requirements for healthcare decision support systems.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3.3.2 Distributional Semantics Theory</w:t>
      </w:r>
    </w:p>
    <w:p w:rsidR="00000000" w:rsidDel="00000000" w:rsidP="00000000" w:rsidRDefault="00000000" w:rsidRPr="00000000" w14:paraId="00000046">
      <w:pPr>
        <w:jc w:val="both"/>
        <w:rPr>
          <w:b w:val="1"/>
          <w:bCs w:val="1"/>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Step 2 uses a paraphrase-multilingual-MiniLM sentence embedding model and cosine similarity to handle paraphrased and code-switched symptom expressions. This component is grounded in distributional semantics theory, which assumes that words and phrases appearing in similar contexts share similar meanings[</w:t>
      </w:r>
      <w:hyperlink r:id="rId14">
        <w:r w:rsidDel="00000000" w:rsidR="00000000" w:rsidRPr="00000000">
          <w:rPr>
            <w:color w:val="1155cc"/>
            <w:u w:val="single"/>
            <w:rtl w:val="0"/>
          </w:rPr>
          <w:t xml:space="preserve">7</w:t>
        </w:r>
      </w:hyperlink>
      <w:r w:rsidDel="00000000" w:rsidR="00000000" w:rsidRPr="00000000">
        <w:rPr>
          <w:rtl w:val="0"/>
        </w:rPr>
        <w:t xml:space="preserve">][</w:t>
      </w:r>
      <w:hyperlink r:id="rId15">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distributional hypothesis, formalized by Harris (1954) and operationalized through modern neural language models, enables the system to recognize semantic similarity between utterances even when they use different vocabulary or syntax. This is essential for handling the linguistic diversity of Filipino, Cebuano, and English symptom descriptions in real-world patient language.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3.3.3 Knowledge-Based Expert Systems Theory</w:t>
      </w:r>
    </w:p>
    <w:p w:rsidR="00000000" w:rsidDel="00000000" w:rsidP="00000000" w:rsidRDefault="00000000" w:rsidRPr="00000000" w14:paraId="0000004C">
      <w:pPr>
        <w:jc w:val="both"/>
        <w:rPr/>
      </w:pPr>
      <w:r w:rsidDel="00000000" w:rsidR="00000000" w:rsidRPr="00000000">
        <w:rPr>
          <w:rtl w:val="0"/>
        </w:rPr>
        <w:t xml:space="preserve">Step 4 scores candidate OTC drugs via a compact knowledge graph encoding symptom-drug relationships, age limits, and contraindications. This component draws from knowledge-based expert systems theory, which structures domain expertise as formal rules and relationships for automated reasoning[</w:t>
      </w:r>
      <w:hyperlink r:id="rId16">
        <w:r w:rsidDel="00000000" w:rsidR="00000000" w:rsidRPr="00000000">
          <w:rPr>
            <w:color w:val="1155cc"/>
            <w:u w:val="single"/>
            <w:rtl w:val="0"/>
          </w:rPr>
          <w:t xml:space="preserve">9</w:t>
        </w:r>
      </w:hyperlink>
      <w:r w:rsidDel="00000000" w:rsidR="00000000" w:rsidRPr="00000000">
        <w:rPr>
          <w:rtl w:val="0"/>
        </w:rPr>
        <w:t xml:space="preserve">][</w:t>
      </w:r>
      <w:hyperlink r:id="rId17">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The knowledge graph approach is analogous to modern clinical decision support systems, where explicit encoding of medical knowledge enables deterministic safety checking and explainable recommendations. Contemporary knowledge-based systems combine structured medical ontologies with real-time constraint checking to support evidence-based clinical decisions. Unlike probabilistic models, the knowledge-based approach provides hard guarantees for encoded safety constraints.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t xml:space="preserve">3.3.4 Theoretical Justification for Hybrid Architecture</w:t>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The three theoretical foundations justify the cascaded design: deterministic rules handle cases where safety demands explicit guarantees and transparent decision logic, distributional semantics addresses paraphrased and code-switched language that cannot be enumerated in dictionaries, and expert-system rules enforce age and contraindication constraints that cannot be safely delegated to probabilistic models alone.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This hybrid theoretical grounding represents a deliberate architectural evolution from the pure Information Retrieval approach of v1 and v2, motivated by the need for multilingual semantic generalization (IR fails on unseen Bisaya/code-switched variants) and safety-conscious drug recommendation (IR lacks structured clinical knowledge enforcement).</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3.4 Conceptual Framework</w:t>
      </w:r>
    </w:p>
    <w:p w:rsidR="00000000" w:rsidDel="00000000" w:rsidP="00000000" w:rsidRDefault="00000000" w:rsidRPr="00000000" w14:paraId="00000057">
      <w:pPr>
        <w:spacing w:after="220" w:before="200" w:line="218.1812727272727" w:lineRule="auto"/>
        <w:jc w:val="both"/>
        <w:rPr/>
      </w:pPr>
      <w:r w:rsidDel="00000000" w:rsidR="00000000" w:rsidRPr="00000000">
        <w:rPr>
          <w:rtl w:val="0"/>
        </w:rPr>
        <w:t xml:space="preserve">At the conceptual level, MendoVendo v3.0 operates as a multilingual OTC recommendation kiosk that transforms free-text symptom descriptions into age-appropriate, safety-screened drug suggestions. The system follows a five-stage conceptual flow:</w:t>
      </w:r>
    </w:p>
    <w:p w:rsidR="00000000" w:rsidDel="00000000" w:rsidP="00000000" w:rsidRDefault="00000000" w:rsidRPr="00000000" w14:paraId="00000058">
      <w:pPr>
        <w:numPr>
          <w:ilvl w:val="0"/>
          <w:numId w:val="1"/>
        </w:numPr>
        <w:spacing w:after="0" w:afterAutospacing="0" w:before="240" w:lineRule="auto"/>
        <w:ind w:left="720" w:hanging="360"/>
        <w:rPr/>
      </w:pPr>
      <w:r w:rsidDel="00000000" w:rsidR="00000000" w:rsidRPr="00000000">
        <w:rPr>
          <w:b w:val="1"/>
          <w:bCs w:val="1"/>
          <w:rtl w:val="0"/>
        </w:rPr>
        <w:t xml:space="preserve">User Interaction</w:t>
      </w:r>
      <w:r w:rsidDel="00000000" w:rsidR="00000000" w:rsidRPr="00000000">
        <w:rPr>
          <w:rtl w:val="0"/>
        </w:rPr>
        <w:t xml:space="preserve">: Users interact with a touchscreen kiosk interface and type symptom descriptions in Bisaya, Tagalog, English, or code-switched combinations, optionally providing age information.</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b w:val="1"/>
          <w:bCs w:val="1"/>
          <w:rtl w:val="0"/>
        </w:rPr>
        <w:t xml:space="preserve">Symptom Detection</w:t>
      </w:r>
      <w:r w:rsidDel="00000000" w:rsidR="00000000" w:rsidRPr="00000000">
        <w:rPr>
          <w:rtl w:val="0"/>
        </w:rPr>
        <w:t xml:space="preserve">: The NLP pipeline detects symptom labels via rule-based extraction (Step 1) and, when needed, semantic similarity using MiniLM embeddings (Step 2).</w:t>
      </w:r>
    </w:p>
    <w:p w:rsidR="00000000" w:rsidDel="00000000" w:rsidP="00000000" w:rsidRDefault="00000000" w:rsidRPr="00000000" w14:paraId="0000005A">
      <w:pPr>
        <w:numPr>
          <w:ilvl w:val="0"/>
          <w:numId w:val="1"/>
        </w:numPr>
        <w:spacing w:after="0" w:afterAutospacing="0" w:before="0" w:beforeAutospacing="0" w:lineRule="auto"/>
        <w:ind w:left="720" w:hanging="360"/>
        <w:rPr/>
      </w:pPr>
      <w:r w:rsidDel="00000000" w:rsidR="00000000" w:rsidRPr="00000000">
        <w:rPr>
          <w:b w:val="1"/>
          <w:bCs w:val="1"/>
          <w:rtl w:val="0"/>
        </w:rPr>
        <w:t xml:space="preserve">Multi-Symptom Orchestration</w:t>
      </w:r>
      <w:r w:rsidDel="00000000" w:rsidR="00000000" w:rsidRPr="00000000">
        <w:rPr>
          <w:rtl w:val="0"/>
        </w:rPr>
        <w:t xml:space="preserve">: The hybrid orchestrator (Step 3) consolidates detected symptom labels, resolves conflicts, and passes a structured symptom set and user age to the knowledge-based scoring engine.</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b w:val="1"/>
          <w:bCs w:val="1"/>
          <w:rtl w:val="0"/>
        </w:rPr>
        <w:t xml:space="preserve">Drug Scoring and Safety Checking</w:t>
      </w:r>
      <w:r w:rsidDel="00000000" w:rsidR="00000000" w:rsidRPr="00000000">
        <w:rPr>
          <w:rtl w:val="0"/>
        </w:rPr>
        <w:t xml:space="preserve">: The knowledge-based scoring engine (Step 4) ranks up to 26 OTC drugs against the symptoms while enforcing age restrictions and contraindication rules encoded in the knowledge graph.</w:t>
      </w:r>
    </w:p>
    <w:p w:rsidR="00000000" w:rsidDel="00000000" w:rsidP="00000000" w:rsidRDefault="00000000" w:rsidRPr="00000000" w14:paraId="0000005C">
      <w:pPr>
        <w:numPr>
          <w:ilvl w:val="0"/>
          <w:numId w:val="1"/>
        </w:numPr>
        <w:spacing w:after="240" w:before="0" w:beforeAutospacing="0" w:lineRule="auto"/>
        <w:ind w:left="720" w:hanging="360"/>
        <w:rPr/>
      </w:pPr>
      <w:r w:rsidDel="00000000" w:rsidR="00000000" w:rsidRPr="00000000">
        <w:rPr>
          <w:b w:val="1"/>
          <w:bCs w:val="1"/>
          <w:rtl w:val="0"/>
        </w:rPr>
        <w:t xml:space="preserve">Recommendation Presentation</w:t>
      </w:r>
      <w:r w:rsidDel="00000000" w:rsidR="00000000" w:rsidRPr="00000000">
        <w:rPr>
          <w:rtl w:val="0"/>
        </w:rPr>
        <w:t xml:space="preserve">: The kiosk displays top-ranked recommendations with basic dosage guidance and safety warnings, explicitly deferring clinically complex cases out-of-scope for OTC treatment and advising professional consultation.</w:t>
      </w:r>
    </w:p>
    <w:p w:rsidR="00000000" w:rsidDel="00000000" w:rsidP="00000000" w:rsidRDefault="00000000" w:rsidRPr="00000000" w14:paraId="0000005D">
      <w:pPr>
        <w:spacing w:after="220" w:before="200" w:line="218.1812727272727" w:lineRule="auto"/>
        <w:jc w:val="both"/>
        <w:rPr/>
      </w:pPr>
      <w:r w:rsidDel="00000000" w:rsidR="00000000" w:rsidRPr="00000000">
        <w:rPr>
          <w:rtl w:val="0"/>
        </w:rPr>
        <w:t xml:space="preserve">This framework maintains the high-level goal of v1 and v2—supporting safe self-medication in resource-limited settings—but replaces direct drug prediction with an intermediate symptom classification layer and rule-based scoring mechanism tailored to the constrained OTC domain. The conceptual shift from "retrieve the best drug" to "detect all symptoms, then score all drugs with safety constraints" enables more robust handling of multi-symptom cases and explicit safety enforcement.</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3.5 System Architecture</w:t>
      </w:r>
    </w:p>
    <w:p w:rsidR="00000000" w:rsidDel="00000000" w:rsidP="00000000" w:rsidRDefault="00000000" w:rsidRPr="00000000" w14:paraId="00000061">
      <w:pPr>
        <w:jc w:val="both"/>
        <w:rPr/>
      </w:pPr>
      <w:r w:rsidDel="00000000" w:rsidR="00000000" w:rsidRPr="00000000">
        <w:rPr>
          <w:rtl w:val="0"/>
        </w:rPr>
        <w:t xml:space="preserve">MendoVendo v3.0 follows a four-stage cascaded architecture deployed on a Raspberry Pi 5-based kiosk with Arduino Mega-controlled dispensing hardware. The architecture prioritizes deterministic rule-based processing for speed and auditability while leveraging semantic embeddings for handling linguistic variations.</w:t>
      </w:r>
    </w:p>
    <w:p w:rsidR="00000000" w:rsidDel="00000000" w:rsidP="00000000" w:rsidRDefault="00000000" w:rsidRPr="00000000" w14:paraId="00000062">
      <w:pPr>
        <w:jc w:val="both"/>
        <w:rPr/>
      </w:pPr>
      <w:r w:rsidDel="00000000" w:rsidR="00000000" w:rsidRPr="00000000">
        <w:rPr>
          <w:rtl w:val="0"/>
        </w:rPr>
        <w:br w:type="textWrapping"/>
        <w:br w:type="textWrapping"/>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18">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[2] Tan, J., Rong, Y., Zhao, K., Bian, T., Xu, T., Huang, J., Cheng, H., &amp; Meng, H. (2025). Natural language-assisted multi-modal medication recommendation. Proceedings of the 33rd ACM International Conference on Information and Knowledge Management, 3245-3254. </w:t>
      </w:r>
      <w:hyperlink r:id="rId19">
        <w:r w:rsidDel="00000000" w:rsidR="00000000" w:rsidRPr="00000000">
          <w:rPr>
            <w:color w:val="1155cc"/>
            <w:u w:val="single"/>
            <w:rtl w:val="0"/>
          </w:rPr>
          <w:t xml:space="preserve">https://doi.org/10.1145/3627673.3679543</w:t>
        </w:r>
      </w:hyperlink>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[3] Zomorodi, M., Ghodsollahee, I., Martin, J. H., Talley, N. J., Salari, V., Pawlak, P., Rahimi, K., &amp; Acharya, U. R. (2024). RECOMED: A comprehensive pharmaceutical recommendation system. Artificial Intelligence in Medicine, 157, Article 102981. </w:t>
      </w:r>
      <w:hyperlink r:id="rId20">
        <w:r w:rsidDel="00000000" w:rsidR="00000000" w:rsidRPr="00000000">
          <w:rPr>
            <w:color w:val="1155cc"/>
            <w:u w:val="single"/>
            <w:rtl w:val="0"/>
          </w:rPr>
          <w:t xml:space="preserve">https://doi.org/10.1016/j.artmed.2024.102981</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[4] Hevner, A. R., March, S. T., Park, J., &amp; Ram, S. (2020). Design science research: A critical analysis. In S. Chatterjee, K. Dutta, &amp; R. P. Sundarraj (Eds.), Design science research: Recent advances and future challenges (pp. 3-22). Springer. </w:t>
      </w:r>
      <w:hyperlink r:id="rId21">
        <w:r w:rsidDel="00000000" w:rsidR="00000000" w:rsidRPr="00000000">
          <w:rPr>
            <w:color w:val="1155cc"/>
            <w:u w:val="single"/>
            <w:rtl w:val="0"/>
          </w:rPr>
          <w:t xml:space="preserve">https://doi.org/10.1007/978-3-030-46781-4_1</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[5] Peffers, K., Tuunanen, T., &amp; Niehaves, B. (2018). Design science research genres: Introduction to the special issue on exemplars and criteria for applicable design science research. European Journal of Information Systems, 27(2), 129-139. </w:t>
      </w:r>
      <w:hyperlink r:id="rId22">
        <w:r w:rsidDel="00000000" w:rsidR="00000000" w:rsidRPr="00000000">
          <w:rPr>
            <w:color w:val="1155cc"/>
            <w:u w:val="single"/>
            <w:rtl w:val="0"/>
          </w:rPr>
          <w:t xml:space="preserve">https://doi.org/10.1080/0960085X.2018.1458066</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[6] Jurafsky, D., &amp; Martin, J. H. (2024). Speech and language processing (3rd ed.). Stanford University. </w:t>
      </w:r>
      <w:hyperlink r:id="rId23">
        <w:r w:rsidDel="00000000" w:rsidR="00000000" w:rsidRPr="00000000">
          <w:rPr>
            <w:color w:val="1155cc"/>
            <w:u w:val="single"/>
            <w:rtl w:val="0"/>
          </w:rPr>
          <w:t xml:space="preserve">https://web.stanford.edu/~jurafsky/slp3/</w:t>
        </w:r>
      </w:hyperlink>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[7] 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w:t>
      </w:r>
      <w:hyperlink r:id="rId24">
        <w:r w:rsidDel="00000000" w:rsidR="00000000" w:rsidRPr="00000000">
          <w:rPr>
            <w:color w:val="1155cc"/>
            <w:u w:val="single"/>
            <w:rtl w:val="0"/>
          </w:rPr>
          <w:t xml:space="preserve">https://doi.org/10.18653/v1/N19-1423</w:t>
        </w:r>
      </w:hyperlink>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[8] Reimers, N., &amp; Gurevych, I. (2019). Sentence-BERT: Sentence embeddings using Siamese BERT-networks. In Proceedings of the 2019 Conference on Empirical Methods in Natural Language Processing and the 9th International Joint Conference on Natural Language Processing (pp. 3982-3992). Association for Computational Linguistics. </w:t>
      </w:r>
      <w:hyperlink r:id="rId25">
        <w:r w:rsidDel="00000000" w:rsidR="00000000" w:rsidRPr="00000000">
          <w:rPr>
            <w:color w:val="1155cc"/>
            <w:u w:val="single"/>
            <w:rtl w:val="0"/>
          </w:rPr>
          <w:t xml:space="preserve">https://doi.org/10.18653/v1/D19-1410</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[9] Sutton, R. T., Pincock, D., Baumgart, D. C., Sadowski, D. C., Fedorak, R. N., &amp; Kroeker, K. I. (2020). An overview of clinical decision support systems: Benefits, risks, and strategies for success. npj Digital Medicine, 3(1), Article 17. </w:t>
      </w:r>
      <w:hyperlink r:id="rId26">
        <w:r w:rsidDel="00000000" w:rsidR="00000000" w:rsidRPr="00000000">
          <w:rPr>
            <w:color w:val="1155cc"/>
            <w:u w:val="single"/>
            <w:rtl w:val="0"/>
          </w:rPr>
          <w:t xml:space="preserve">https://doi.org/10.1038/s41746-020-0221-y</w:t>
        </w:r>
      </w:hyperlink>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[10] Musen, M. A., Middleton, B., &amp; Greenes, R. A. (2021). Clinical decision-support systems. In E. H. Shortliffe &amp; J. J. Cimino (Eds.), Biomedical informatics: Computer applications in health care and biomedicine (5th ed., pp. 795-840). Springer. </w:t>
      </w:r>
      <w:hyperlink r:id="rId27">
        <w:r w:rsidDel="00000000" w:rsidR="00000000" w:rsidRPr="00000000">
          <w:rPr>
            <w:color w:val="1155cc"/>
            <w:u w:val="single"/>
            <w:rtl w:val="0"/>
          </w:rPr>
          <w:t xml:space="preserve">https://doi.org/10.1007/978-3-030-58721-5_24</w:t>
        </w:r>
      </w:hyperlink>
      <w:r w:rsidDel="00000000" w:rsidR="00000000" w:rsidRPr="00000000">
        <w:rPr>
          <w:rtl w:val="0"/>
        </w:rPr>
        <w:t xml:space="preserve"> </w:t>
      </w:r>
    </w:p>
    <w:p w:rsidR="00000000" w:rsidDel="00000000" w:rsidP="00000000" w:rsidRDefault="00000000" w:rsidRPr="00000000" w14:paraId="00000072">
      <w:pPr>
        <w:jc w:val="left"/>
        <w:rPr>
          <w:b w:val="1"/>
          <w:bCs w:val="1"/>
        </w:rPr>
      </w:pPr>
      <w:r w:rsidDel="00000000" w:rsidR="00000000" w:rsidRPr="00000000">
        <w:rPr>
          <w:rtl w:val="0"/>
        </w:rPr>
      </w:r>
    </w:p>
    <w:sectPr>
      <w:pgSz w:h="15840" w:w="12240" w:orient="portrait"/>
      <w:pgMar w:bottom="1440" w:top="1440" w:left="144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FFREY J. DIAPANA" w:id="0" w:date="2026-02-21T06:30:5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if pharma si sir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artmed.2024.102981" TargetMode="External"/><Relationship Id="rId22" Type="http://schemas.openxmlformats.org/officeDocument/2006/relationships/hyperlink" Target="https://doi.org/10.1080/0960085X.2018.1458066" TargetMode="External"/><Relationship Id="rId21" Type="http://schemas.openxmlformats.org/officeDocument/2006/relationships/hyperlink" Target="https://doi.org/10.1007/978-3-030-46781-4_1" TargetMode="External"/><Relationship Id="rId24" Type="http://schemas.openxmlformats.org/officeDocument/2006/relationships/hyperlink" Target="https://doi.org/10.18653/v1/N19-1423" TargetMode="External"/><Relationship Id="rId23" Type="http://schemas.openxmlformats.org/officeDocument/2006/relationships/hyperlink" Target="https://web.stanford.edu/~jurafsky/slp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6/j.artmed.2024.102981" TargetMode="External"/><Relationship Id="rId26" Type="http://schemas.openxmlformats.org/officeDocument/2006/relationships/hyperlink" Target="https://doi.org/10.1038/s41746-020-0221-y" TargetMode="External"/><Relationship Id="rId25" Type="http://schemas.openxmlformats.org/officeDocument/2006/relationships/hyperlink" Target="https://doi.org/10.18653/v1/D19-1410" TargetMode="External"/><Relationship Id="rId27" Type="http://schemas.openxmlformats.org/officeDocument/2006/relationships/hyperlink" Target="https://doi.org/10.1007/978-3-030-58721-5_2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2196/55315" TargetMode="External"/><Relationship Id="rId8" Type="http://schemas.openxmlformats.org/officeDocument/2006/relationships/hyperlink" Target="https://doi.org/10.1145/3627673.3679543" TargetMode="External"/><Relationship Id="rId11" Type="http://schemas.openxmlformats.org/officeDocument/2006/relationships/hyperlink" Target="https://doi.org/10.1080/0960085X.2018.1458066" TargetMode="External"/><Relationship Id="rId10" Type="http://schemas.openxmlformats.org/officeDocument/2006/relationships/hyperlink" Target="https://doi.org/10.1007/978-3-030-46781-4_1" TargetMode="External"/><Relationship Id="rId13" Type="http://schemas.openxmlformats.org/officeDocument/2006/relationships/hyperlink" Target="https://web.stanford.edu/~jurafsky/slp3/" TargetMode="External"/><Relationship Id="rId12" Type="http://schemas.openxmlformats.org/officeDocument/2006/relationships/hyperlink" Target="http://mendo.diapana.dev" TargetMode="External"/><Relationship Id="rId15" Type="http://schemas.openxmlformats.org/officeDocument/2006/relationships/hyperlink" Target="https://doi.org/10.18653/v1/D19-1410" TargetMode="External"/><Relationship Id="rId14" Type="http://schemas.openxmlformats.org/officeDocument/2006/relationships/hyperlink" Target="https://doi.org/10.18653/v1/N19-1423" TargetMode="External"/><Relationship Id="rId17" Type="http://schemas.openxmlformats.org/officeDocument/2006/relationships/hyperlink" Target="https://doi.org/10.1007/978-3-030-58721-5_24" TargetMode="External"/><Relationship Id="rId16" Type="http://schemas.openxmlformats.org/officeDocument/2006/relationships/hyperlink" Target="https://doi.org/10.1038/s41746-020-0221-y" TargetMode="External"/><Relationship Id="rId19" Type="http://schemas.openxmlformats.org/officeDocument/2006/relationships/hyperlink" Target="https://doi.org/10.1145/3627673.3679543" TargetMode="External"/><Relationship Id="rId18" Type="http://schemas.openxmlformats.org/officeDocument/2006/relationships/hyperlink" Target="https://doi.org/10.2196/55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