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4"/>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4"/>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4"/>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4"/>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pPr/>
      <w:r>
        <w:rPr>
          <w:highlight w:val="yellow"/>
        </w:rPr>
        <w:t>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5">
      <w:pPr>
        <w:widowControl w:val="0"/>
        <w:spacing w:line="240" w:lineRule="auto"/>
        <w:jc w:val="both"/>
        <w:rPr/>
      </w:pPr>
      <w:r w:rsidDel="00000000" w:rsidR="00000000" w:rsidRPr="00000000">
        <w:rPr>
          <w:rtl w:val="0"/>
        </w:rPr>
      </w:r>
    </w:p>
    <w:p w:rsidR="00000000" w:rsidDel="00000000" w:rsidP="00000000" w:rsidRDefault="00000000" w:rsidRPr="00000000" w14:paraId="000000B6">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7">
      <w:pPr>
        <w:widowControl w:val="0"/>
        <w:spacing w:line="240" w:lineRule="auto"/>
        <w:jc w:val="both"/>
        <w:rPr/>
      </w:pPr>
      <w:r w:rsidDel="00000000" w:rsidR="00000000" w:rsidRPr="00000000">
        <w:rPr>
          <w:rtl w:val="0"/>
        </w:rPr>
      </w:r>
    </w:p>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9">
      <w:pPr>
        <w:widowControl w:val="0"/>
        <w:spacing w:line="240" w:lineRule="auto"/>
        <w:jc w:val="both"/>
        <w:rPr/>
      </w:pPr>
      <w:r w:rsidDel="00000000" w:rsidR="00000000" w:rsidRPr="00000000">
        <w:rPr>
          <w:rtl w:val="0"/>
        </w:rPr>
      </w:r>
    </w:p>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B">
      <w:pPr>
        <w:widowControl w:val="0"/>
        <w:spacing w:line="240" w:lineRule="auto"/>
        <w:jc w:val="both"/>
        <w:rPr/>
      </w:pPr>
      <w:r w:rsidDel="00000000" w:rsidR="00000000" w:rsidRPr="00000000">
        <w:rPr>
          <w:rtl w:val="0"/>
        </w:rPr>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E">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0">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None</w:t>
            </w:r>
          </w:p>
        </w:tc>
      </w:tr>
    </w:tbl>
    <w:p w:rsidR="00000000" w:rsidDel="00000000" w:rsidP="00000000" w:rsidRDefault="00000000" w:rsidRPr="00000000" w14:paraId="000000E9">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A">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B">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C">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D">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pPr/>
      <w:r>
        <w:rPr>
          <w:highlight w:val="yellow"/>
        </w:rPr>
        <w:t>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E">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F">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0">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6">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2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8">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0">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Pr>
          <w:highlight w:val="yellow"/>
        </w:rPr>
        <w:t>Fuzzy Rescue Mechanism. 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5">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6">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7">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Requires nearby pain word</w:t>
            </w:r>
          </w:p>
        </w:tc>
      </w:tr>
      <w:tr>
        <w:tc>
          <w:tcPr>
            <w:tcW w:type="dxa" w:w="2055"/>
          </w:tcPr>
          <w:p>
            <w:r>
              <w:rPr>
                <w:highlight w:val="yellow"/>
              </w:rPr>
              <w:t>HEADACHE</w:t>
            </w:r>
          </w:p>
        </w:tc>
        <w:tc>
          <w:tcPr>
            <w:tcW w:type="dxa" w:w="2055"/>
          </w:tcPr>
          <w:p>
            <w:r>
              <w:rPr>
                <w:highlight w:val="yellow"/>
              </w:rPr>
              <w:t>head, ulo</w:t>
            </w:r>
          </w:p>
        </w:tc>
        <w:tc>
          <w:tcPr>
            <w:tcW w:type="dxa" w:w="2055"/>
          </w:tcPr>
          <w:p>
            <w:r>
              <w:rPr>
                <w:highlight w:val="yellow"/>
              </w:rPr>
              <w:t>1</w:t>
            </w:r>
          </w:p>
        </w:tc>
        <w:tc>
          <w:tcPr>
            <w:tcW w:type="dxa" w:w="2055"/>
          </w:tcPr>
          <w:p>
            <w:r>
              <w:rPr>
                <w:highlight w:val="yellow"/>
              </w:rPr>
              <w:t>ubo, ubi, uno, uso (requires nearby pain word)</w:t>
            </w:r>
          </w:p>
        </w:tc>
      </w:tr>
    </w:tbl>
    <w:p w:rsidR="00000000" w:rsidDel="00000000" w:rsidP="00000000" w:rsidRDefault="00000000" w:rsidRPr="00000000" w14:paraId="00000155">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56">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7">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5B">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5D">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5E">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5F">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0">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1">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3">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4">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5">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6A">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0">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3">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4">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dropdown menu within the stomachache sub-form, requiring the user to specify whether the pain occurs before eating, after eating, or is unrelated to food intake to better map aggravating and alleviating factors.</w:t>
      </w:r>
    </w:p>
    <w:p w:rsidR="00000000" w:rsidDel="00000000" w:rsidP="00000000" w:rsidRDefault="00000000" w:rsidRPr="00000000" w14:paraId="00000175">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6">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7">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8">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A9">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AA">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AB">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AC">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AD">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AE">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AF">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0">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1">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4">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5">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7">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8">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9">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A">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B">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C">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E">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F">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E9">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EA">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B">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EC">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1FD">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FE">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1FF">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0">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3">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14">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5">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7">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8">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9">
      <w:pPr>
        <w:spacing w:after="240" w:before="240" w:lineRule="auto"/>
        <w:jc w:val="both"/>
        <w:rPr/>
      </w:pPr>
      <w:r>
        <w:rPr>
          <w:highlight w:val="yellow"/>
        </w:rPr>
        <w:t>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pPr/>
      <w:r>
        <w:rPr>
          <w:highlight w:val="yellow"/>
        </w:rPr>
        <w:t>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pPr/>
      <w:r>
        <w:rPr>
          <w:highlight w:val="yellow"/>
        </w:rPr>
        <w:t>How many. 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pPr/>
      <w:r>
        <w:rPr>
          <w:highlight w:val="yellow"/>
        </w:rPr>
        <w:t>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1C">
      <w:pPr>
        <w:spacing w:after="240" w:before="240" w:lineRule="auto"/>
        <w:jc w:val="both"/>
        <w:rPr/>
      </w:pPr>
      <w:r>
        <w:rPr>
          <w:highlight w:val="yellow"/>
        </w:rPr>
        <w:t>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pPr/>
      <w:r>
        <w:rPr>
          <w:highlight w:val="yellow"/>
        </w:rPr>
        <w:t>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pPr/>
      <w:r>
        <w:rPr>
          <w:highlight w:val="yellow"/>
        </w:rPr>
        <w:t>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1E">
      <w:pPr>
        <w:spacing w:after="240" w:before="240" w:lineRule="auto"/>
        <w:jc w:val="both"/>
        <w:rPr/>
      </w:pPr>
      <w:r>
        <w:rPr>
          <w:highlight w:val="yellow"/>
        </w:rPr>
        <w:t>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1F">
      <w:pPr>
        <w:spacing w:after="240" w:before="240" w:lineRule="auto"/>
        <w:jc w:val="both"/>
        <w:rPr/>
      </w:pPr>
      <w:r>
        <w:rPr>
          <w:highlight w:val="yellow"/>
        </w:rPr>
        <w:t>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25">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26">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27">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28">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29">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B">
      <w:pPr>
        <w:pStyle w:val="Heading3"/>
        <w:keepNext w:val="0"/>
        <w:keepLines w:val="0"/>
        <w:widowControl w:val="0"/>
        <w:spacing w:after="0" w:before="0" w:line="240" w:lineRule="auto"/>
        <w:jc w:val="both"/>
        <w:rPr>
          <w:sz w:val="22"/>
          <w:szCs w:val="22"/>
        </w:rPr>
      </w:pPr>
      <w:bookmarkStart w:colFirst="0" w:colLast="0" w:name="_l4a5hx2ifouf" w:id="27"/>
      <w:bookmarkEnd w:id="27"/>
      <w:r>
        <w:rPr>
          <w:highlight w:val="yellow"/>
        </w:rPr>
        <w:t>Additional Validation Sets (Planned for Iteration 2)</w:t>
      </w:r>
    </w:p>
    <w:p w:rsidR="00000000" w:rsidDel="00000000" w:rsidP="00000000" w:rsidRDefault="00000000" w:rsidRPr="00000000" w14:paraId="0000022C">
      <w:pPr>
        <w:widowControl w:val="0"/>
        <w:spacing w:after="240" w:before="240" w:line="240" w:lineRule="auto"/>
        <w:jc w:val="both"/>
        <w:rPr/>
      </w:pPr>
      <w:r>
        <w:rPr>
          <w:highlight w:val="yellow"/>
        </w:rPr>
        <w:t>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2D">
      <w:pPr>
        <w:widowControl w:val="0"/>
        <w:spacing w:after="240" w:before="240" w:line="240" w:lineRule="auto"/>
        <w:jc w:val="both"/>
        <w:rPr/>
      </w:pPr>
      <w:r>
        <w:rPr>
          <w:highlight w:val="yellow"/>
        </w:rPr>
        <w:t>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2E">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6nrk0cwnlgqf" w:id="28"/>
      <w:bookmarkEnd w:id="28"/>
      <w:r w:rsidDel="00000000" w:rsidR="00000000" w:rsidRPr="00000000">
        <w:rPr>
          <w:b w:val="1"/>
          <w:bCs w:val="1"/>
          <w:color w:val="000000"/>
          <w:sz w:val="22"/>
          <w:szCs w:val="22"/>
          <w:rtl w:val="0"/>
        </w:rPr>
        <w:t xml:space="preserve">Evaluation Results</w:t>
      </w:r>
    </w:p>
    <w:p>
      <w:pPr>
        <w:pStyle w:val="Heading3"/>
      </w:pPr>
      <w:r>
        <w:rPr>
          <w:highlight w:val="yellow"/>
        </w:rPr>
        <w:t>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p>
    <w:p w:rsidR="00000000" w:rsidDel="00000000" w:rsidP="00000000" w:rsidRDefault="00000000" w:rsidRPr="00000000" w14:paraId="00000230">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1">
            <w:pPr>
              <w:widowControl w:val="1"/>
              <w:spacing w:after="120" w:before="240" w:line="240" w:lineRule="auto"/>
              <w:jc w:val="center"/>
              <w:rPr>
                <w:b w:val="1"/>
                <w:bCs w:val="1"/>
              </w:rPr>
            </w:pPr>
            <w:r>
              <w:rPr>
                <w:b/>
                <w:highlight w:val="yellow"/>
              </w:rPr>
              <w:t>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2">
            <w:pPr>
              <w:widowControl w:val="1"/>
              <w:spacing w:after="120" w:before="240" w:line="240" w:lineRule="auto"/>
              <w:jc w:val="center"/>
              <w:rPr>
                <w:b w:val="1"/>
                <w:bCs w:val="1"/>
              </w:rPr>
            </w:pPr>
            <w:r>
              <w:rPr>
                <w:b/>
                <w:highlight w:val="yellow"/>
              </w:rPr>
              <w:t>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3">
            <w:pPr>
              <w:widowControl w:val="1"/>
              <w:spacing w:after="120" w:before="240" w:line="240" w:lineRule="auto"/>
              <w:jc w:val="center"/>
              <w:rPr>
                <w:b w:val="1"/>
                <w:bCs w:val="1"/>
              </w:rPr>
            </w:pPr>
            <w:r>
              <w:rPr>
                <w:b/>
                <w:highlight w:val="yellow"/>
              </w:rPr>
              <w:t>Exact Match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1"/>
              <w:spacing w:after="120" w:before="240" w:line="240" w:lineRule="auto"/>
              <w:jc w:val="center"/>
              <w:rPr>
                <w:b w:val="1"/>
                <w:bCs w:val="1"/>
              </w:rPr>
            </w:pPr>
            <w:r>
              <w:rPr>
                <w:b/>
                <w:highlight w:val="yellow"/>
              </w:rPr>
              <w:t>Notes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1"/>
              <w:spacing w:after="120" w:before="240" w:line="240" w:lineRule="auto"/>
              <w:jc w:val="center"/>
              <w:rPr/>
            </w:pPr>
            <w:r>
              <w:rPr>
                <w:highlight w:val="yellow"/>
              </w:rPr>
              <w:t>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1"/>
              <w:spacing w:after="120" w:before="240" w:line="240" w:lineRule="auto"/>
              <w:jc w:val="center"/>
              <w:rPr/>
            </w:pPr>
            <w:r>
              <w:rPr>
                <w:highlight w:val="yellow"/>
              </w:rPr>
              <w:t>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1"/>
              <w:spacing w:after="120" w:before="240" w:line="240" w:lineRule="auto"/>
              <w:jc w:val="center"/>
              <w:rPr/>
            </w:pPr>
            <w:r>
              <w:rPr>
                <w:highlight w:val="yellow"/>
              </w:rPr>
              <w:t>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1"/>
              <w:spacing w:after="120" w:before="240" w:line="240" w:lineRule="auto"/>
              <w:jc w:val="center"/>
              <w:rPr/>
            </w:pPr>
            <w:r>
              <w:rPr>
                <w:highlight w:val="yellow"/>
              </w:rPr>
              <w:t>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1"/>
              <w:spacing w:after="120" w:before="240" w:line="240" w:lineRule="auto"/>
              <w:jc w:val="center"/>
              <w:rPr/>
            </w:pPr>
            <w:r>
              <w:rPr>
                <w:highlight w:val="yellow"/>
              </w:rPr>
              <w:t>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1"/>
              <w:spacing w:after="120" w:before="240" w:line="240" w:lineRule="auto"/>
              <w:jc w:val="center"/>
              <w:rPr/>
            </w:pPr>
            <w:r>
              <w:rPr>
                <w:highlight w:val="yellow"/>
              </w:rPr>
              <w:t>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1"/>
              <w:spacing w:after="120" w:before="240" w:line="240" w:lineRule="auto"/>
              <w:jc w:val="center"/>
              <w:rPr/>
            </w:pPr>
            <w:r>
              <w:rPr>
                <w:highlight w:val="yellow"/>
              </w:rPr>
              <w:t>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1"/>
              <w:spacing w:after="120" w:before="240" w:line="240" w:lineRule="auto"/>
              <w:jc w:val="center"/>
              <w:rPr/>
            </w:pPr>
            <w:r>
              <w:rPr>
                <w:highlight w:val="yellow"/>
              </w:rPr>
              <w:t>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1"/>
              <w:spacing w:after="120" w:before="240" w:line="240" w:lineRule="auto"/>
              <w:jc w:val="center"/>
              <w:rPr/>
            </w:pPr>
            <w:r>
              <w:rPr>
                <w:highlight w:val="yellow"/>
              </w:rPr>
              <w:t>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pPr>
            <w:r>
              <w:rPr>
                <w:highlight w:val="yellow"/>
              </w:rPr>
              <w:t>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pPr>
            <w:r>
              <w:rPr>
                <w:highlight w:val="yellow"/>
              </w:rPr>
              <w:t>—</w:t>
            </w:r>
          </w:p>
        </w:tc>
      </w:tr>
    </w:tbl>
    <w:p w:rsidR="00000000" w:rsidDel="00000000" w:rsidP="00000000" w:rsidRDefault="00000000" w:rsidRPr="00000000" w14:paraId="0000024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46">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47">
      <w:pPr>
        <w:widowControl w:val="1"/>
        <w:spacing w:after="120" w:before="240" w:line="240" w:lineRule="auto"/>
        <w:ind w:left="0" w:firstLine="0"/>
        <w:jc w:val="both"/>
        <w:rPr/>
      </w:pPr>
      <w:r>
        <w:rPr>
          <w:highlight w:val="yellow"/>
        </w:rPr>
        <w:t>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234/288 (81.2%) and micro-F1 0.852. The raw figure is the fairer number to compare against models that have no clarification mechanism.</w:t>
      </w:r>
    </w:p>
    <w:p w:rsidR="00000000" w:rsidDel="00000000" w:rsidP="00000000" w:rsidRDefault="00000000" w:rsidRPr="00000000" w14:paraId="00000249">
      <w:pPr>
        <w:spacing w:after="120" w:before="240" w:line="240" w:lineRule="auto"/>
        <w:jc w:val="both"/>
        <w:rPr/>
      </w:pPr>
      <w:r>
        <w:rPr>
          <w:highlight w:val="yellow"/>
        </w:rPr>
        <w:t>A note on how to read these numbers. The benchmark was authored by the same team that built the system’s rules, so a high score on it is expected and should not be mistaken for independent accuracy. We treat it as a regression and coverage measure: it shows the system behaves consistently across a wide and deliberately adversarial range of inputs, and it lets us catch regressions whenever a rule changes. The honest accuracy figure — how often the system agrees with a licensed pharmacist on real, unscripted consultations — is exactly what the Iteration 2 field validation is designed to produce, and we are careful not to claim it yet.</w:t>
      </w:r>
    </w:p>
    <w:p w:rsidR="00000000" w:rsidDel="00000000" w:rsidP="00000000" w:rsidRDefault="00000000" w:rsidRPr="00000000" w14:paraId="0000024A">
      <w:pPr>
        <w:spacing w:after="120" w:before="240" w:line="240" w:lineRule="auto"/>
        <w:jc w:val="both"/>
        <w:rPr/>
      </w:pPr>
      <w:r>
        <w:rPr>
          <w:highlight w:val="yellow"/>
        </w:rPr>
        <w:t>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4B">
      <w:pPr>
        <w:spacing w:after="120" w:before="240" w:line="240" w:lineRule="auto"/>
        <w:jc w:val="both"/>
        <w:rPr/>
      </w:pPr>
      <w:r>
        <w:rPr>
          <w:highlight w:val="yellow"/>
        </w:rPr>
        <w:t>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4C">
      <w:pPr>
        <w:widowControl w:val="1"/>
        <w:spacing w:after="120" w:before="240" w:line="240" w:lineRule="auto"/>
        <w:ind w:left="0" w:firstLine="0"/>
        <w:jc w:val="both"/>
        <w:rPr>
          <w:b w:val="1"/>
          <w:bCs w:val="1"/>
        </w:rPr>
      </w:pPr>
      <w:r>
        <w:rPr>
          <w:highlight w:val="yellow"/>
        </w:rPr>
        <w:t>Comparative Benchmarking Against Retrieval and Embedding Baselines</w:t>
      </w:r>
    </w:p>
    <w:p w:rsidR="00000000" w:rsidDel="00000000" w:rsidP="00000000" w:rsidRDefault="00000000" w:rsidRPr="00000000" w14:paraId="0000024D">
      <w:pPr>
        <w:widowControl w:val="1"/>
        <w:spacing w:after="120" w:before="240" w:line="240" w:lineRule="auto"/>
        <w:ind w:left="0" w:firstLine="0"/>
        <w:jc w:val="both"/>
        <w:rPr/>
      </w:pPr>
      <w:r>
        <w:rPr>
          <w:highlight w:val="yellow"/>
        </w:rPr>
        <w:t>A recurring question during development was whether the hand-built pipeline was unnecessarily complex — whether a general-purpose text-similarity or sentence-embedding model could match it on the same task. To answer this, we benchmarked the deployed pipeline against a set of retrieval and embedding baselines on the same 288-case detection benchmark, applying the cough clarification step uniformly to every model so the comparison is fair.</w:t>
      </w:r>
    </w:p>
    <w:p w:rsidR="00000000" w:rsidDel="00000000" w:rsidP="00000000" w:rsidRDefault="00000000" w:rsidRPr="00000000" w14:paraId="0000024E">
      <w:pPr>
        <w:widowControl w:val="1"/>
        <w:spacing w:line="240" w:lineRule="auto"/>
        <w:jc w:val="both"/>
        <w:rPr/>
      </w:pPr>
      <w:r w:rsidDel="00000000" w:rsidR="00000000" w:rsidRPr="00000000">
        <w:rPr>
          <w:rtl w:val="0"/>
        </w:rPr>
      </w:r>
    </w:p>
    <w:p w:rsidR="00000000" w:rsidDel="00000000" w:rsidP="00000000" w:rsidRDefault="00000000" w:rsidRPr="00000000" w14:paraId="0000024F">
      <w:pPr>
        <w:widowControl w:val="1"/>
        <w:spacing w:line="240" w:lineRule="auto"/>
        <w:jc w:val="both"/>
        <w:rPr/>
      </w:pPr>
      <w:r>
        <w:rPr>
          <w:highlight w:val="yellow"/>
        </w:rPr>
        <w:t>Models compared. Eight configurations were evaluated on the 288 cases: the Mendo dictionary (Stage 1 only) and the deployed Mendo hybrid pipeline; three TF-IDF retrieval baselines (character n-grams, word n-grams, and a character+word hybrid); and three modern sentence-embedding models used in retrieval mode — BGE-M3 (~568M parameters), Qwen3-Embedding-0.6B, and Jina-Embeddings-v3 (~572M). Each baseline encodes the input and the symptom anchors and assigns labels by nearest-anchor cosine similarity; none is fine-tuned on the benchmark.</w:t>
      </w:r>
    </w:p>
    <w:p w:rsidR="00000000" w:rsidDel="00000000" w:rsidP="00000000" w:rsidRDefault="00000000" w:rsidRPr="00000000" w14:paraId="00000250">
      <w:pPr>
        <w:widowControl w:val="1"/>
        <w:spacing w:line="240" w:lineRule="auto"/>
        <w:jc w:val="both"/>
        <w:rPr/>
      </w:pPr>
      <w:r w:rsidDel="00000000" w:rsidR="00000000" w:rsidRPr="00000000">
        <w:rPr>
          <w:rtl w:val="0"/>
        </w:rPr>
      </w:r>
    </w:p>
    <w:p w:rsidR="00000000" w:rsidDel="00000000" w:rsidP="00000000" w:rsidRDefault="00000000" w:rsidRPr="00000000" w14:paraId="00000252">
      <w:pPr>
        <w:spacing w:line="240" w:lineRule="auto"/>
        <w:ind w:left="720" w:firstLine="0"/>
        <w:jc w:val="both"/>
        <w:rPr/>
      </w:pPr>
      <w:r w:rsidDel="00000000" w:rsidR="00000000" w:rsidRPr="00000000">
        <w:rPr>
          <w:rtl w:val="0"/>
        </w:rPr>
      </w:r>
    </w:p>
    <w:p w:rsidR="00000000" w:rsidDel="00000000" w:rsidP="00000000" w:rsidRDefault="00000000" w:rsidRPr="00000000" w14:paraId="00000254">
      <w:pPr>
        <w:spacing w:line="240" w:lineRule="auto"/>
        <w:ind w:left="720" w:firstLine="0"/>
        <w:jc w:val="both"/>
        <w:rPr/>
      </w:pPr>
      <w:r w:rsidDel="00000000" w:rsidR="00000000" w:rsidRPr="00000000">
        <w:rPr>
          <w:rtl w:val="0"/>
        </w:rPr>
      </w:r>
    </w:p>
    <w:p w:rsidR="00000000" w:rsidDel="00000000" w:rsidP="00000000" w:rsidRDefault="00000000" w:rsidRPr="00000000" w14:paraId="00000256">
      <w:pPr>
        <w:spacing w:line="240" w:lineRule="auto"/>
        <w:ind w:left="720" w:firstLine="0"/>
        <w:jc w:val="both"/>
        <w:rPr/>
      </w:pPr>
      <w:r w:rsidDel="00000000" w:rsidR="00000000" w:rsidRPr="00000000">
        <w:rPr>
          <w:rtl w:val="0"/>
        </w:rPr>
      </w:r>
    </w:p>
    <w:p w:rsidR="00000000" w:rsidDel="00000000" w:rsidP="00000000" w:rsidRDefault="00000000" w:rsidRPr="00000000" w14:paraId="00000258">
      <w:pPr>
        <w:spacing w:line="240" w:lineRule="auto"/>
        <w:ind w:left="720" w:firstLine="0"/>
        <w:jc w:val="both"/>
        <w:rPr/>
      </w:pPr>
      <w:r w:rsidDel="00000000" w:rsidR="00000000" w:rsidRPr="00000000">
        <w:rPr>
          <w:rtl w:val="0"/>
        </w:rPr>
      </w:r>
    </w:p>
    <w:p w:rsidR="00000000" w:rsidDel="00000000" w:rsidP="00000000" w:rsidRDefault="00000000" w:rsidRPr="00000000" w14:paraId="0000025A">
      <w:pPr>
        <w:spacing w:line="240" w:lineRule="auto"/>
        <w:ind w:left="720" w:firstLine="0"/>
        <w:jc w:val="both"/>
        <w:rPr/>
      </w:pPr>
      <w:r w:rsidDel="00000000" w:rsidR="00000000" w:rsidRPr="00000000">
        <w:rPr>
          <w:rtl w:val="0"/>
        </w:rPr>
      </w:r>
    </w:p>
    <w:p w:rsidR="00000000" w:rsidDel="00000000" w:rsidP="00000000" w:rsidRDefault="00000000" w:rsidRPr="00000000" w14:paraId="0000025C">
      <w:pPr>
        <w:widowControl w:val="1"/>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r>
    </w:p>
    <w:p w:rsidR="00000000" w:rsidDel="00000000" w:rsidP="00000000" w:rsidRDefault="00000000" w:rsidRPr="00000000" w14:paraId="0000025E">
      <w:pPr>
        <w:widowControl w:val="0"/>
        <w:spacing w:line="240" w:lineRule="auto"/>
        <w:jc w:val="both"/>
        <w:rPr/>
      </w:pPr>
      <w:r>
        <w:rPr>
          <w:highlight w:val="yellow"/>
        </w:rPr>
        <w:t>Evaluation protocol. Every model was evaluated on the same 288 cases with the cough clarification step applied uniformly. The Mendo pipeline and the baselines are all used in inference/retrieval mode — no model is trained or fitted on the benchmark — so the comparison isolates a single architectural question: on this narrow, multilingual, safety-critical task, does hand-encoded domain knowledge plus a compact embedding fallback outperform general-purpose similarity search?</w:t>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Pr>
          <w:highlight w:val="yellow"/>
        </w:rPr>
        <w:t>Fairness and reproducibility. All eight configurations were evaluated against the identical 288-case CSV with the same clarification setting, and every number in Table 10 is reproducible from the committed experiments/retrieval_benchmark harness. The Mendo dictionary was built from clinical references, pharmacy fieldwork, and multilingual language resources — not from the benchmark CSV — so the comparison tests whether encoded domain knowledge beats general-purpose retrieval, rather than rewarding memorization of the test set.</w:t>
      </w:r>
    </w:p>
    <w:p w:rsidR="00000000" w:rsidDel="00000000" w:rsidP="00000000" w:rsidRDefault="00000000" w:rsidRPr="00000000" w14:paraId="00000261">
      <w:pPr>
        <w:widowControl w:val="0"/>
        <w:spacing w:line="240" w:lineRule="auto"/>
        <w:jc w:val="both"/>
        <w:rPr/>
      </w:pPr>
      <w:r w:rsidDel="00000000" w:rsidR="00000000" w:rsidRPr="00000000">
        <w:rPr>
          <w:rtl w:val="0"/>
        </w:rPr>
      </w:r>
    </w:p>
    <w:p w:rsidR="00000000" w:rsidDel="00000000" w:rsidP="00000000" w:rsidRDefault="00000000" w:rsidRPr="00000000" w14:paraId="00000262">
      <w:pPr>
        <w:widowControl w:val="0"/>
        <w:spacing w:line="240" w:lineRule="auto"/>
        <w:jc w:val="both"/>
        <w:rPr/>
      </w:pPr>
      <w:r w:rsidDel="00000000" w:rsidR="00000000" w:rsidRPr="00000000">
        <w:rPr>
          <w:rtl w:val="0"/>
        </w:rPr>
      </w:r>
    </w:p>
    <w:tbl>
      <w:tblPr>
        <w:tblStyle w:val="Table10"/>
        <w:tblW w:type="auto" w:w="0"/>
        <w:tblLook w:firstColumn="1" w:firstRow="1" w:lastColumn="0" w:lastRow="0" w:noHBand="0" w:noVBand="1" w:val="04A0"/>
      </w:tblPr>
      <w:tblGrid>
        <w:gridCol w:w="2250"/>
        <w:gridCol w:w="2250"/>
        <w:gridCol w:w="2250"/>
        <w:gridCol w:w="2250"/>
      </w:tblGrid>
      <w:tr>
        <w:tc>
          <w:tcPr>
            <w:tcW w:type="dxa" w:w="2250"/>
          </w:tcPr>
          <w:p>
            <w:r>
              <w:rPr>
                <w:b/>
                <w:highlight w:val="yellow"/>
              </w:rPr>
              <w:t>Model</w:t>
            </w:r>
          </w:p>
        </w:tc>
        <w:tc>
          <w:tcPr>
            <w:tcW w:type="dxa" w:w="2250"/>
          </w:tcPr>
          <w:p>
            <w:r>
              <w:rPr>
                <w:b/>
                <w:highlight w:val="yellow"/>
              </w:rPr>
              <w:t>Exact Match</w:t>
            </w:r>
          </w:p>
        </w:tc>
        <w:tc>
          <w:tcPr>
            <w:tcW w:type="dxa" w:w="2250"/>
          </w:tcPr>
          <w:p>
            <w:r>
              <w:rPr>
                <w:b/>
                <w:highlight w:val="yellow"/>
              </w:rPr>
              <w:t>Micro-F1</w:t>
            </w:r>
          </w:p>
        </w:tc>
        <w:tc>
          <w:tcPr>
            <w:tcW w:type="dxa" w:w="2250"/>
          </w:tcPr>
          <w:p>
            <w:r>
              <w:rPr>
                <w:b/>
                <w:highlight w:val="yellow"/>
              </w:rPr>
              <w:t>p95 Latency (ms)</w:t>
            </w:r>
          </w:p>
        </w:tc>
      </w:tr>
      <w:tr>
        <w:tc>
          <w:tcPr>
            <w:tcW w:type="dxa" w:w="2250"/>
          </w:tcPr>
          <w:p>
            <w:r>
              <w:rPr>
                <w:highlight w:val="yellow"/>
              </w:rPr>
              <w:t>Mendo Dictionary (Stage 1)</w:t>
            </w:r>
          </w:p>
        </w:tc>
        <w:tc>
          <w:tcPr>
            <w:tcW w:type="dxa" w:w="2250"/>
          </w:tcPr>
          <w:p>
            <w:r>
              <w:rPr>
                <w:highlight w:val="yellow"/>
              </w:rPr>
              <w:t>286/288 (99.3%)</w:t>
            </w:r>
          </w:p>
        </w:tc>
        <w:tc>
          <w:tcPr>
            <w:tcW w:type="dxa" w:w="2250"/>
          </w:tcPr>
          <w:p>
            <w:r>
              <w:rPr>
                <w:highlight w:val="yellow"/>
              </w:rPr>
              <w:t>0.997</w:t>
            </w:r>
          </w:p>
        </w:tc>
        <w:tc>
          <w:tcPr>
            <w:tcW w:type="dxa" w:w="2250"/>
          </w:tcPr>
          <w:p>
            <w:r>
              <w:rPr>
                <w:highlight w:val="yellow"/>
              </w:rPr>
              <w:t>6.7</w:t>
            </w:r>
          </w:p>
        </w:tc>
      </w:tr>
      <w:tr>
        <w:tc>
          <w:tcPr>
            <w:tcW w:type="dxa" w:w="2250"/>
          </w:tcPr>
          <w:p>
            <w:r>
              <w:rPr>
                <w:highlight w:val="yellow"/>
              </w:rPr>
              <w:t>Mendo Hybrid Pipeline (deployed)</w:t>
            </w:r>
          </w:p>
        </w:tc>
        <w:tc>
          <w:tcPr>
            <w:tcW w:type="dxa" w:w="2250"/>
          </w:tcPr>
          <w:p>
            <w:r>
              <w:rPr>
                <w:highlight w:val="yellow"/>
              </w:rPr>
              <w:t>283/288 (98.3%)</w:t>
            </w:r>
          </w:p>
        </w:tc>
        <w:tc>
          <w:tcPr>
            <w:tcW w:type="dxa" w:w="2250"/>
          </w:tcPr>
          <w:p>
            <w:r>
              <w:rPr>
                <w:highlight w:val="yellow"/>
              </w:rPr>
              <w:t>0.993</w:t>
            </w:r>
          </w:p>
        </w:tc>
        <w:tc>
          <w:tcPr>
            <w:tcW w:type="dxa" w:w="2250"/>
          </w:tcPr>
          <w:p>
            <w:r>
              <w:rPr>
                <w:highlight w:val="yellow"/>
              </w:rPr>
              <w:t>24.0</w:t>
            </w:r>
          </w:p>
        </w:tc>
      </w:tr>
      <w:tr>
        <w:tc>
          <w:tcPr>
            <w:tcW w:type="dxa" w:w="2250"/>
          </w:tcPr>
          <w:p>
            <w:r>
              <w:rPr>
                <w:highlight w:val="yellow"/>
              </w:rPr>
              <w:t>TF-IDF (character n-grams)</w:t>
            </w:r>
          </w:p>
        </w:tc>
        <w:tc>
          <w:tcPr>
            <w:tcW w:type="dxa" w:w="2250"/>
          </w:tcPr>
          <w:p>
            <w:r>
              <w:rPr>
                <w:highlight w:val="yellow"/>
              </w:rPr>
              <w:t>154/288 (53.5%)</w:t>
            </w:r>
          </w:p>
        </w:tc>
        <w:tc>
          <w:tcPr>
            <w:tcW w:type="dxa" w:w="2250"/>
          </w:tcPr>
          <w:p>
            <w:r>
              <w:rPr>
                <w:highlight w:val="yellow"/>
              </w:rPr>
              <w:t>0.752</w:t>
            </w:r>
          </w:p>
        </w:tc>
        <w:tc>
          <w:tcPr>
            <w:tcW w:type="dxa" w:w="2250"/>
          </w:tcPr>
          <w:p>
            <w:r>
              <w:rPr>
                <w:highlight w:val="yellow"/>
              </w:rPr>
              <w:t>1.4</w:t>
            </w:r>
          </w:p>
        </w:tc>
      </w:tr>
      <w:tr>
        <w:tc>
          <w:tcPr>
            <w:tcW w:type="dxa" w:w="2250"/>
          </w:tcPr>
          <w:p>
            <w:r>
              <w:rPr>
                <w:highlight w:val="yellow"/>
              </w:rPr>
              <w:t>TF-IDF (character + word)</w:t>
            </w:r>
          </w:p>
        </w:tc>
        <w:tc>
          <w:tcPr>
            <w:tcW w:type="dxa" w:w="2250"/>
          </w:tcPr>
          <w:p>
            <w:r>
              <w:rPr>
                <w:highlight w:val="yellow"/>
              </w:rPr>
              <w:t>153/288 (53.1%)</w:t>
            </w:r>
          </w:p>
        </w:tc>
        <w:tc>
          <w:tcPr>
            <w:tcW w:type="dxa" w:w="2250"/>
          </w:tcPr>
          <w:p>
            <w:r>
              <w:rPr>
                <w:highlight w:val="yellow"/>
              </w:rPr>
              <w:t>0.751</w:t>
            </w:r>
          </w:p>
        </w:tc>
        <w:tc>
          <w:tcPr>
            <w:tcW w:type="dxa" w:w="2250"/>
          </w:tcPr>
          <w:p>
            <w:r>
              <w:rPr>
                <w:highlight w:val="yellow"/>
              </w:rPr>
              <w:t>1.9</w:t>
            </w:r>
          </w:p>
        </w:tc>
      </w:tr>
      <w:tr>
        <w:tc>
          <w:tcPr>
            <w:tcW w:type="dxa" w:w="2250"/>
          </w:tcPr>
          <w:p>
            <w:r>
              <w:rPr>
                <w:highlight w:val="yellow"/>
              </w:rPr>
              <w:t>TF-IDF (word n-grams)</w:t>
            </w:r>
          </w:p>
        </w:tc>
        <w:tc>
          <w:tcPr>
            <w:tcW w:type="dxa" w:w="2250"/>
          </w:tcPr>
          <w:p>
            <w:r>
              <w:rPr>
                <w:highlight w:val="yellow"/>
              </w:rPr>
              <w:t>135/288 (46.9%)</w:t>
            </w:r>
          </w:p>
        </w:tc>
        <w:tc>
          <w:tcPr>
            <w:tcW w:type="dxa" w:w="2250"/>
          </w:tcPr>
          <w:p>
            <w:r>
              <w:rPr>
                <w:highlight w:val="yellow"/>
              </w:rPr>
              <w:t>0.674</w:t>
            </w:r>
          </w:p>
        </w:tc>
        <w:tc>
          <w:tcPr>
            <w:tcW w:type="dxa" w:w="2250"/>
          </w:tcPr>
          <w:p>
            <w:r>
              <w:rPr>
                <w:highlight w:val="yellow"/>
              </w:rPr>
              <w:t>1.4</w:t>
            </w:r>
          </w:p>
        </w:tc>
      </w:tr>
      <w:tr>
        <w:tc>
          <w:tcPr>
            <w:tcW w:type="dxa" w:w="2250"/>
          </w:tcPr>
          <w:p>
            <w:r>
              <w:rPr>
                <w:highlight w:val="yellow"/>
              </w:rPr>
              <w:t>BGE-M3 (~568M)</w:t>
            </w:r>
          </w:p>
        </w:tc>
        <w:tc>
          <w:tcPr>
            <w:tcW w:type="dxa" w:w="2250"/>
          </w:tcPr>
          <w:p>
            <w:r>
              <w:rPr>
                <w:highlight w:val="yellow"/>
              </w:rPr>
              <w:t>134/288 (46.5%)</w:t>
            </w:r>
          </w:p>
        </w:tc>
        <w:tc>
          <w:tcPr>
            <w:tcW w:type="dxa" w:w="2250"/>
          </w:tcPr>
          <w:p>
            <w:r>
              <w:rPr>
                <w:highlight w:val="yellow"/>
              </w:rPr>
              <w:t>0.709</w:t>
            </w:r>
          </w:p>
        </w:tc>
        <w:tc>
          <w:tcPr>
            <w:tcW w:type="dxa" w:w="2250"/>
          </w:tcPr>
          <w:p>
            <w:r>
              <w:rPr>
                <w:highlight w:val="yellow"/>
              </w:rPr>
              <w:t>165.9</w:t>
            </w:r>
          </w:p>
        </w:tc>
      </w:tr>
      <w:tr>
        <w:tc>
          <w:tcPr>
            <w:tcW w:type="dxa" w:w="2250"/>
          </w:tcPr>
          <w:p>
            <w:r>
              <w:rPr>
                <w:highlight w:val="yellow"/>
              </w:rPr>
              <w:t>Qwen3-Embedding (0.6B)</w:t>
            </w:r>
          </w:p>
        </w:tc>
        <w:tc>
          <w:tcPr>
            <w:tcW w:type="dxa" w:w="2250"/>
          </w:tcPr>
          <w:p>
            <w:r>
              <w:rPr>
                <w:highlight w:val="yellow"/>
              </w:rPr>
              <w:t>107/288 (37.1%)</w:t>
            </w:r>
          </w:p>
        </w:tc>
        <w:tc>
          <w:tcPr>
            <w:tcW w:type="dxa" w:w="2250"/>
          </w:tcPr>
          <w:p>
            <w:r>
              <w:rPr>
                <w:highlight w:val="yellow"/>
              </w:rPr>
              <w:t>0.572</w:t>
            </w:r>
          </w:p>
        </w:tc>
        <w:tc>
          <w:tcPr>
            <w:tcW w:type="dxa" w:w="2250"/>
          </w:tcPr>
          <w:p>
            <w:r>
              <w:rPr>
                <w:highlight w:val="yellow"/>
              </w:rPr>
              <w:t>827.8</w:t>
            </w:r>
          </w:p>
        </w:tc>
      </w:tr>
      <w:tr>
        <w:tc>
          <w:tcPr>
            <w:tcW w:type="dxa" w:w="2250"/>
          </w:tcPr>
          <w:p>
            <w:r>
              <w:rPr>
                <w:highlight w:val="yellow"/>
              </w:rPr>
              <w:t>Jina-Embeddings-v3 (~572M)</w:t>
            </w:r>
          </w:p>
        </w:tc>
        <w:tc>
          <w:tcPr>
            <w:tcW w:type="dxa" w:w="2250"/>
          </w:tcPr>
          <w:p>
            <w:r>
              <w:rPr>
                <w:highlight w:val="yellow"/>
              </w:rPr>
              <w:t>98/288 (34.0%)</w:t>
            </w:r>
          </w:p>
        </w:tc>
        <w:tc>
          <w:tcPr>
            <w:tcW w:type="dxa" w:w="2250"/>
          </w:tcPr>
          <w:p>
            <w:r>
              <w:rPr>
                <w:highlight w:val="yellow"/>
              </w:rPr>
              <w:t>0.589</w:t>
            </w:r>
          </w:p>
        </w:tc>
        <w:tc>
          <w:tcPr>
            <w:tcW w:type="dxa" w:w="2250"/>
          </w:tcPr>
          <w:p>
            <w:r>
              <w:rPr>
                <w:highlight w:val="yellow"/>
              </w:rPr>
              <w:t>564.6</w:t>
            </w:r>
          </w:p>
        </w:tc>
      </w:tr>
    </w:tbl>
    <w:p w:rsidR="00000000" w:rsidDel="00000000" w:rsidP="00000000" w:rsidRDefault="00000000" w:rsidRPr="00000000" w14:paraId="00000294">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Pr>
          <w:highlight w:val="yellow"/>
        </w:rPr>
        <w:t>Analysis. The deployed hybrid (98.3%) and its dictionary core (99.3%) clearly outperform every general-purpose baseline on this task. The TF-IDF baselines plateau around 47–54% — character n-grams do best because they tolerate Filipino spelling variation — but they cannot reason about negation, code-switching, or several symptoms in one sentence. More strikingly, the large sentence-embedding models (BGE-M3, Qwen3, Jina-v3), despite hundreds of millions of parameters, land between 34% and 47% exact match and are roughly 7×–35× slower at the 95th-percentile latency. On a narrow, safety-critical task with a small label set and heavy multilingual noise, raw semantic similarity is simply too blunt: it retrieves text that is “about” the same topic without the precise, auditable control the kiosk needs.</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Pr>
          <w:highlight w:val="yellow"/>
        </w:rPr>
        <w:t>Scope of this comparison. This benchmark evaluates retrieval and embedding models, not fully fine-tuned sequence classifiers. A fine-tuned-transformer comparison (for example, mBERT or XLM-RoBERTa trained with cross-validation) is a fair further question, but it needs a substantially larger labeled corpus than we currently have; the per-fold data would be far too small for a 278M-parameter model to learn 13 overlapping labels. We therefore defer that comparison to Iteration 2, once the pharmacist-annotated consultation data makes such training meaningful, and we will commit the training code alongside the results.</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Pr>
          <w:highlight w:val="yellow"/>
        </w:rPr>
        <w:t>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would be a worthwhile next step.</w:t>
      </w:r>
    </w:p>
    <w:p w:rsidR="00000000" w:rsidDel="00000000" w:rsidP="00000000" w:rsidRDefault="00000000" w:rsidRPr="00000000" w14:paraId="0000029D">
      <w:pPr>
        <w:widowControl w:val="0"/>
        <w:spacing w:line="240" w:lineRule="auto"/>
        <w:jc w:val="both"/>
        <w:rPr/>
      </w:pPr>
      <w:r w:rsidDel="00000000" w:rsidR="00000000" w:rsidRPr="00000000">
        <w:rPr>
          <w:rtl w:val="0"/>
        </w:rPr>
      </w:r>
    </w:p>
    <w:p w:rsidR="00000000" w:rsidDel="00000000" w:rsidP="00000000" w:rsidRDefault="00000000" w:rsidRPr="00000000" w14:paraId="0000029E">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Pr>
          <w:highlight w:val="yellow"/>
        </w:rPr>
        <w:t>The problem is bounded, not open-ended.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pPr/>
      <w:r>
        <w:rPr>
          <w:highlight w:val="yellow"/>
        </w:rPr>
        <w:t>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5">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6">
      <w:pPr>
        <w:widowControl w:val="0"/>
        <w:spacing w:line="240" w:lineRule="auto"/>
        <w:jc w:val="both"/>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spacing w:after="160" w:line="240" w:lineRule="auto"/>
        <w:rPr>
          <w:b w:val="1"/>
          <w:bCs w:val="1"/>
        </w:rPr>
      </w:pPr>
      <w:r w:rsidDel="00000000" w:rsidR="00000000" w:rsidRPr="00000000">
        <w:rPr>
          <w:rtl w:val="0"/>
        </w:rPr>
      </w:r>
    </w:p>
    <w:p w:rsidR="00000000" w:rsidDel="00000000" w:rsidP="00000000" w:rsidRDefault="00000000" w:rsidRPr="00000000" w14:paraId="000002CC">
      <w:pPr>
        <w:spacing w:after="160" w:line="240" w:lineRule="auto"/>
        <w:rPr>
          <w:b w:val="1"/>
          <w:bCs w:val="1"/>
        </w:rPr>
      </w:pPr>
      <w:r w:rsidDel="00000000" w:rsidR="00000000" w:rsidRPr="00000000">
        <w:rPr>
          <w:rtl w:val="0"/>
        </w:rPr>
      </w:r>
    </w:p>
    <w:p w:rsidR="00000000" w:rsidDel="00000000" w:rsidP="00000000" w:rsidRDefault="00000000" w:rsidRPr="00000000" w14:paraId="000002CD">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CF">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D">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E">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DF">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C">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D">
            <w:pPr>
              <w:spacing w:line="240" w:lineRule="auto"/>
              <w:rPr>
                <w:b w:val="1"/>
                <w:bCs w:val="1"/>
              </w:rPr>
            </w:pPr>
            <w:r w:rsidDel="00000000" w:rsidR="00000000" w:rsidRPr="00000000">
              <w:rPr>
                <w:rtl w:val="0"/>
              </w:rPr>
            </w:r>
          </w:p>
        </w:tc>
        <w:tc>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A">
            <w:pPr>
              <w:spacing w:line="240" w:lineRule="auto"/>
              <w:rPr>
                <w:b w:val="1"/>
                <w:bCs w:val="1"/>
              </w:rPr>
            </w:pPr>
            <w:r w:rsidDel="00000000" w:rsidR="00000000" w:rsidRPr="00000000">
              <w:rPr>
                <w:rtl w:val="0"/>
              </w:rPr>
            </w:r>
          </w:p>
        </w:tc>
        <w:tc>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4">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5">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1">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8">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9">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5">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2">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C">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D">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9">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A">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p w:rsidR="00000000" w:rsidDel="00000000" w:rsidP="00000000" w:rsidRDefault="00000000" w:rsidRPr="00000000" w14:paraId="00000385">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6">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4">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1">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AE">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8">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5">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6">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F">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0">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D">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A">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7">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4">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1">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D">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A">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B">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r>
    </w:tbl>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9">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A">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B">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5C">
      <w:pPr>
        <w:spacing w:after="160" w:line="240" w:lineRule="auto"/>
        <w:rPr/>
      </w:pPr>
      <w:r w:rsidDel="00000000" w:rsidR="00000000" w:rsidRPr="00000000">
        <w:rPr>
          <w:rtl w:val="0"/>
        </w:rPr>
      </w:r>
    </w:p>
    <w:p w:rsidR="00000000" w:rsidDel="00000000" w:rsidP="00000000" w:rsidRDefault="00000000" w:rsidRPr="00000000" w14:paraId="0000045D">
      <w:pPr>
        <w:spacing w:after="160" w:line="240" w:lineRule="auto"/>
        <w:rPr/>
      </w:pPr>
      <w:r w:rsidDel="00000000" w:rsidR="00000000" w:rsidRPr="00000000">
        <w:rPr>
          <w:rtl w:val="0"/>
        </w:rPr>
      </w:r>
    </w:p>
    <w:p w:rsidR="00000000" w:rsidDel="00000000" w:rsidP="00000000" w:rsidRDefault="00000000" w:rsidRPr="00000000" w14:paraId="0000045E">
      <w:pPr>
        <w:spacing w:after="160" w:line="240" w:lineRule="auto"/>
        <w:rPr/>
      </w:pPr>
      <w:r w:rsidDel="00000000" w:rsidR="00000000" w:rsidRPr="00000000">
        <w:rPr>
          <w:rtl w:val="0"/>
        </w:rPr>
      </w:r>
    </w:p>
    <w:p w:rsidR="00000000" w:rsidDel="00000000" w:rsidP="00000000" w:rsidRDefault="00000000" w:rsidRPr="00000000" w14:paraId="0000045F">
      <w:pPr>
        <w:spacing w:after="160" w:line="240" w:lineRule="auto"/>
        <w:rPr/>
      </w:pPr>
      <w:r w:rsidDel="00000000" w:rsidR="00000000" w:rsidRPr="00000000">
        <w:rPr>
          <w:rtl w:val="0"/>
        </w:rPr>
      </w:r>
    </w:p>
    <w:p w:rsidR="00000000" w:rsidDel="00000000" w:rsidP="00000000" w:rsidRDefault="00000000" w:rsidRPr="00000000" w14:paraId="00000460">
      <w:pPr>
        <w:spacing w:after="160" w:line="240" w:lineRule="auto"/>
        <w:rPr/>
      </w:pPr>
      <w:r w:rsidDel="00000000" w:rsidR="00000000" w:rsidRPr="00000000">
        <w:rPr>
          <w:rtl w:val="0"/>
        </w:rPr>
      </w:r>
    </w:p>
    <w:p w:rsidR="00000000" w:rsidDel="00000000" w:rsidP="00000000" w:rsidRDefault="00000000" w:rsidRPr="00000000" w14:paraId="00000461">
      <w:pPr>
        <w:spacing w:after="160" w:line="240" w:lineRule="auto"/>
        <w:rPr/>
      </w:pPr>
      <w:r w:rsidDel="00000000" w:rsidR="00000000" w:rsidRPr="00000000">
        <w:rPr>
          <w:rtl w:val="0"/>
        </w:rPr>
      </w:r>
    </w:p>
    <w:p w:rsidR="00000000" w:rsidDel="00000000" w:rsidP="00000000" w:rsidRDefault="00000000" w:rsidRPr="00000000" w14:paraId="00000462">
      <w:pPr>
        <w:spacing w:after="160" w:line="240" w:lineRule="auto"/>
        <w:rPr/>
      </w:pPr>
      <w:r w:rsidDel="00000000" w:rsidR="00000000" w:rsidRPr="00000000">
        <w:rPr>
          <w:rtl w:val="0"/>
        </w:rPr>
      </w:r>
    </w:p>
    <w:p w:rsidR="00000000" w:rsidDel="00000000" w:rsidP="00000000" w:rsidRDefault="00000000" w:rsidRPr="00000000" w14:paraId="00000463">
      <w:pPr>
        <w:spacing w:after="160" w:line="240" w:lineRule="auto"/>
        <w:rPr/>
      </w:pPr>
      <w:r w:rsidDel="00000000" w:rsidR="00000000" w:rsidRPr="00000000">
        <w:rPr>
          <w:rtl w:val="0"/>
        </w:rPr>
      </w:r>
    </w:p>
    <w:p w:rsidR="00000000" w:rsidDel="00000000" w:rsidP="00000000" w:rsidRDefault="00000000" w:rsidRPr="00000000" w14:paraId="00000464">
      <w:pPr>
        <w:spacing w:after="160" w:line="240" w:lineRule="auto"/>
        <w:rPr/>
      </w:pPr>
      <w:r w:rsidDel="00000000" w:rsidR="00000000" w:rsidRPr="00000000">
        <w:rPr>
          <w:rtl w:val="0"/>
        </w:rPr>
      </w:r>
    </w:p>
    <w:p w:rsidR="00000000" w:rsidDel="00000000" w:rsidP="00000000" w:rsidRDefault="00000000" w:rsidRPr="00000000" w14:paraId="00000465">
      <w:pPr>
        <w:spacing w:after="160" w:line="240" w:lineRule="auto"/>
        <w:rPr/>
      </w:pPr>
      <w:r w:rsidDel="00000000" w:rsidR="00000000" w:rsidRPr="00000000">
        <w:rPr>
          <w:rtl w:val="0"/>
        </w:rPr>
      </w:r>
    </w:p>
    <w:p w:rsidR="00000000" w:rsidDel="00000000" w:rsidP="00000000" w:rsidRDefault="00000000" w:rsidRPr="00000000" w14:paraId="00000466">
      <w:pPr>
        <w:spacing w:after="160" w:line="240" w:lineRule="auto"/>
        <w:rPr/>
      </w:pPr>
      <w:r w:rsidDel="00000000" w:rsidR="00000000" w:rsidRPr="00000000">
        <w:rPr>
          <w:rtl w:val="0"/>
        </w:rPr>
      </w:r>
    </w:p>
    <w:p w:rsidR="00000000" w:rsidDel="00000000" w:rsidP="00000000" w:rsidRDefault="00000000" w:rsidRPr="00000000" w14:paraId="00000467">
      <w:pPr>
        <w:spacing w:after="160" w:line="240" w:lineRule="auto"/>
        <w:rPr/>
      </w:pPr>
      <w:r w:rsidDel="00000000" w:rsidR="00000000" w:rsidRPr="00000000">
        <w:rPr>
          <w:rtl w:val="0"/>
        </w:rPr>
      </w:r>
    </w:p>
    <w:p w:rsidR="00000000" w:rsidDel="00000000" w:rsidP="00000000" w:rsidRDefault="00000000" w:rsidRPr="00000000" w14:paraId="00000468">
      <w:pPr>
        <w:spacing w:after="160" w:line="240" w:lineRule="auto"/>
        <w:rPr/>
      </w:pPr>
      <w:r w:rsidDel="00000000" w:rsidR="00000000" w:rsidRPr="00000000">
        <w:rPr>
          <w:rtl w:val="0"/>
        </w:rPr>
      </w:r>
    </w:p>
    <w:p w:rsidR="00000000" w:rsidDel="00000000" w:rsidP="00000000" w:rsidRDefault="00000000" w:rsidRPr="00000000" w14:paraId="00000469">
      <w:pPr>
        <w:spacing w:after="160" w:line="240" w:lineRule="auto"/>
        <w:rPr/>
      </w:pPr>
      <w:r w:rsidDel="00000000" w:rsidR="00000000" w:rsidRPr="00000000">
        <w:rPr>
          <w:rtl w:val="0"/>
        </w:rPr>
      </w:r>
    </w:p>
    <w:p w:rsidR="00000000" w:rsidDel="00000000" w:rsidP="00000000" w:rsidRDefault="00000000" w:rsidRPr="00000000" w14:paraId="0000046A">
      <w:pPr>
        <w:spacing w:after="160" w:line="240" w:lineRule="auto"/>
        <w:rPr/>
      </w:pPr>
      <w:r w:rsidDel="00000000" w:rsidR="00000000" w:rsidRPr="00000000">
        <w:rPr>
          <w:rtl w:val="0"/>
        </w:rPr>
      </w:r>
    </w:p>
    <w:p w:rsidR="00000000" w:rsidDel="00000000" w:rsidP="00000000" w:rsidRDefault="00000000" w:rsidRPr="00000000" w14:paraId="0000046B">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6C">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D">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E">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F">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0">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1">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3">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9">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7">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6">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B">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C">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A">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B">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9">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A">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8">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7">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8">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right"/>
              <w:rPr/>
            </w:pPr>
            <w:r w:rsidDel="00000000" w:rsidR="00000000" w:rsidRPr="00000000">
              <w:rPr>
                <w:rtl w:val="0"/>
              </w:rPr>
              <w:t xml:space="preserve">400</w:t>
            </w:r>
          </w:p>
        </w:tc>
      </w:tr>
      <w:tr>
        <w:trPr>
          <w:cantSplit w:val="0"/>
          <w:trHeight w:val="380" w:hRule="atLeast"/>
          <w:tblHeader w:val="0"/>
        </w:trPr>
        <w:tc>
          <w:tcPr>
            <w:gridSpan w:val="5"/>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b w:val="1"/>
                <w:bCs w:val="1"/>
              </w:rPr>
            </w:pPr>
            <w:r w:rsidDel="00000000" w:rsidR="00000000" w:rsidRPr="00000000">
              <w:rPr>
                <w:b w:val="1"/>
                <w:bCs w:val="1"/>
                <w:rtl w:val="0"/>
              </w:rPr>
              <w:t xml:space="preserve">H. AI Coding Assistant Subscription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Claude Code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center"/>
              <w:rPr/>
            </w:pPr>
            <w:r w:rsidDel="00000000" w:rsidR="00000000" w:rsidRPr="00000000">
              <w:rPr>
                <w:rtl w:val="0"/>
              </w:rPr>
              <w:t xml:space="preserve">3 Researchers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1,160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right"/>
              <w:rPr/>
            </w:pPr>
            <w:r w:rsidDel="00000000" w:rsidR="00000000" w:rsidRPr="00000000">
              <w:rPr>
                <w:rtl w:val="0"/>
              </w:rPr>
              <w:t xml:space="preserve">3,480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6">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A">
            <w:pPr>
              <w:spacing w:line="240" w:lineRule="auto"/>
              <w:jc w:val="right"/>
              <w:rPr/>
            </w:pPr>
            <w:r w:rsidDel="00000000" w:rsidR="00000000" w:rsidRPr="00000000">
              <w:rPr>
                <w:b w:val="1"/>
                <w:bCs w:val="1"/>
                <w:rtl w:val="0"/>
              </w:rPr>
              <w:t xml:space="preserve">₱27,660</w:t>
            </w:r>
            <w:r w:rsidDel="00000000" w:rsidR="00000000" w:rsidRPr="00000000">
              <w:rPr>
                <w:rtl w:val="0"/>
              </w:rPr>
            </w:r>
          </w:p>
        </w:tc>
      </w:tr>
    </w:tbl>
    <w:p w:rsidR="00000000" w:rsidDel="00000000" w:rsidP="00000000" w:rsidRDefault="00000000" w:rsidRPr="00000000" w14:paraId="000004EB">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ED">
      <w:pPr>
        <w:widowControl w:val="0"/>
        <w:spacing w:line="240" w:lineRule="auto"/>
        <w:rPr>
          <w:b w:val="1"/>
          <w:bCs w:val="1"/>
        </w:rPr>
      </w:pPr>
      <w:r w:rsidDel="00000000" w:rsidR="00000000" w:rsidRPr="00000000">
        <w:rPr>
          <w:rtl w:val="0"/>
        </w:rPr>
      </w:r>
    </w:p>
    <w:p w:rsidR="00000000" w:rsidDel="00000000" w:rsidP="00000000" w:rsidRDefault="00000000" w:rsidRPr="00000000" w14:paraId="000004EE">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0">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EF">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1">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0">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2">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1">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3">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2">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4">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3">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5">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4">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6">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5">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7">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6">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8">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9">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0">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1">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2">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3">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4">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[16] Decoding OTC medicines in the Philippines. (2023, October 20). NIQ. </w:t>
      </w:r>
      <w:hyperlink r:id="rId75">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6">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7">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8">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9">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0">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1">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2">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3">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4">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5">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6">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7">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8">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9">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0">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1">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2">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3">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4">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5">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6">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7">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8">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1">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1F">
      <w:pPr>
        <w:widowControl w:val="0"/>
        <w:spacing w:after="200" w:line="240" w:lineRule="auto"/>
        <w:jc w:val="right"/>
        <w:rPr/>
      </w:pPr>
      <w:r w:rsidDel="00000000" w:rsidR="00000000" w:rsidRPr="00000000">
        <w:rPr>
          <w:rtl w:val="0"/>
        </w:rPr>
      </w:r>
    </w:p>
    <w:sectPr>
      <w:headerReference r:id="rId102"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2" Type="http://schemas.openxmlformats.org/officeDocument/2006/relationships/header" Target="header1.xml"/><Relationship Id="rId101" Type="http://schemas.openxmlformats.org/officeDocument/2006/relationships/hyperlink" Target="https://www.who.int/news-room/fact-sheets/detail/headache-disorders" TargetMode="External"/><Relationship Id="rId100" Type="http://schemas.openxmlformats.org/officeDocument/2006/relationships/hyperlink" Target="https://www.mayoclinic.org/diseases-conditions/chronic-daily-headaches/symptoms-causes/syc-2037089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3.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who.int/news-room/fact-sheets/detail/diarrhoeal-disease" TargetMode="External"/><Relationship Id="rId94" Type="http://schemas.openxmlformats.org/officeDocument/2006/relationships/hyperlink" Target="https://www.mayoclinic.org/diseases-conditions/diarrhea/symptoms-causes/syc-20352241" TargetMode="External"/><Relationship Id="rId97" Type="http://schemas.openxmlformats.org/officeDocument/2006/relationships/hyperlink" Target="https://www.who.int/news-room/fact-sheets/detail/tuberculosis" TargetMode="External"/><Relationship Id="rId96" Type="http://schemas.openxmlformats.org/officeDocument/2006/relationships/hyperlink" Target="https://www.mayoclinic.org/diseases-conditions/sore-throat/symptoms-causes/syc-20351635"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acute-sinusitis/symptoms-causes/syc-2035167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cdc.gov/tb/signs-symptoms/index.html"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nurseship.com" TargetMode="External"/><Relationship Id="rId90" Type="http://schemas.openxmlformats.org/officeDocument/2006/relationships/hyperlink" Target="https://nursed.ca/virtual-care/oldcarts-patient-assessment-tool/" TargetMode="External"/><Relationship Id="rId93" Type="http://schemas.openxmlformats.org/officeDocument/2006/relationships/hyperlink" Target="https://www.cdc.gov/dengue/signs-symptoms/index.html" TargetMode="External"/><Relationship Id="rId92" Type="http://schemas.openxmlformats.org/officeDocument/2006/relationships/hyperlink" Target="https://www.who.int/news-room/fact-sheets/detail/dengue-and-severe-dengue"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46632/cset/3/2/9" TargetMode="External"/><Relationship Id="rId83" Type="http://schemas.openxmlformats.org/officeDocument/2006/relationships/hyperlink" Target="https://doi.org/10.1093/database/baae087" TargetMode="External"/><Relationship Id="rId86" Type="http://schemas.openxmlformats.org/officeDocument/2006/relationships/hyperlink" Target="https://ijrcait.com/index.php/home/article/view/IJRCAIT_07_02_036" TargetMode="External"/><Relationship Id="rId85" Type="http://schemas.openxmlformats.org/officeDocument/2006/relationships/hyperlink" Target="https://www.ijsdr.org/papers/IJSDR2508203.pdf" TargetMode="External"/><Relationship Id="rId88" Type="http://schemas.openxmlformats.org/officeDocument/2006/relationships/hyperlink" Target="https://doi.org/10.22214/ijraset.2024.65843" TargetMode="External"/><Relationship Id="rId87" Type="http://schemas.openxmlformats.org/officeDocument/2006/relationships/hyperlink" Target="https://ijsrem.com/download/enhancing-medical-prescriptions-with-machine-learning-a-symptoms-based-drug-recommendation-system/" TargetMode="External"/><Relationship Id="rId89" Type="http://schemas.openxmlformats.org/officeDocument/2006/relationships/hyperlink" Target="https://doi.org/10.48550/arXiv.2301.00280" TargetMode="External"/><Relationship Id="rId80" Type="http://schemas.openxmlformats.org/officeDocument/2006/relationships/hyperlink" Target="https://doi.org/10.1007/s13748-026-00437-9" TargetMode="External"/><Relationship Id="rId82" Type="http://schemas.openxmlformats.org/officeDocument/2006/relationships/hyperlink" Target="https://doi.org/10.1609/aaai.v37i6.25861" TargetMode="External"/><Relationship Id="rId81" Type="http://schemas.openxmlformats.org/officeDocument/2006/relationships/hyperlink" Target="https://doi.org/10.3390/electronics14040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08/ijhg-01-2023-0008" TargetMode="External"/><Relationship Id="rId72" Type="http://schemas.openxmlformats.org/officeDocument/2006/relationships/hyperlink" Target="https://doi.org/10.3389/fpubh.2025.1560299" TargetMode="External"/><Relationship Id="rId75" Type="http://schemas.openxmlformats.org/officeDocument/2006/relationships/hyperlink" Target="https://nielseniq.com/global/en/insights/analysis/2023/decoding-otc-medicines-in-the-philippines/" TargetMode="External"/><Relationship Id="rId74" Type="http://schemas.openxmlformats.org/officeDocument/2006/relationships/hyperlink" Target="https://manilastandard.net/?p=314203452" TargetMode="External"/><Relationship Id="rId77" Type="http://schemas.openxmlformats.org/officeDocument/2006/relationships/hyperlink" Target="https://thesai.org/Downloads/Volume16No5/Paper_41-Disease_Prediction_from_Symptom_Descriptions.pdf" TargetMode="External"/><Relationship Id="rId76" Type="http://schemas.openxmlformats.org/officeDocument/2006/relationships/hyperlink" Target="https://www.sunstar.com.ph/davao/over-1m-dabawenyos-receive-free-meds-from-citys-botika-ng-bayan" TargetMode="External"/><Relationship Id="rId79" Type="http://schemas.openxmlformats.org/officeDocument/2006/relationships/hyperlink" Target="https://www.simbo.ai/blog/exploring-the-functionality-of-ai-symptom-checkers-how-natural-language-processing-transforms-patient-symptom-assessment-965754/" TargetMode="External"/><Relationship Id="rId78" Type="http://schemas.openxmlformats.org/officeDocument/2006/relationships/hyperlink" Target="https://www.iosrjournals.org/manuscript_paper/116690.pdf" TargetMode="External"/><Relationship Id="rId71" Type="http://schemas.openxmlformats.org/officeDocument/2006/relationships/hyperlink" Target="https://www.amhsr.org/articles/a-systematic-review-of-the-literature-to-assess-selfmedication-practices-3711.html" TargetMode="External"/><Relationship Id="rId70" Type="http://schemas.openxmlformats.org/officeDocument/2006/relationships/hyperlink" Target="https://doi.org/10.1057/s41599-024-02894-w" TargetMode="External"/><Relationship Id="rId62" Type="http://schemas.openxmlformats.org/officeDocument/2006/relationships/hyperlink" Target="https://doi.org/10.2196/63733" TargetMode="External"/><Relationship Id="rId61" Type="http://schemas.openxmlformats.org/officeDocument/2006/relationships/hyperlink" Target="https://doi.org/10.1145/3627673.3679529" TargetMode="External"/><Relationship Id="rId64" Type="http://schemas.openxmlformats.org/officeDocument/2006/relationships/hyperlink" Target="https://doi.org/10.1016/j.ijmedinf.2025.106049" TargetMode="External"/><Relationship Id="rId63" Type="http://schemas.openxmlformats.org/officeDocument/2006/relationships/hyperlink" Target="https://doi.org/10.1186/s12911-024-02739-1" TargetMode="External"/><Relationship Id="rId66" Type="http://schemas.openxmlformats.org/officeDocument/2006/relationships/hyperlink" Target="https://doi.org/10.18653/v1/2023.findings-acl.439" TargetMode="External"/><Relationship Id="rId65" Type="http://schemas.openxmlformats.org/officeDocument/2006/relationships/hyperlink" Target="https://doi.org/10.1038/s41746-025-01662-7" TargetMode="External"/><Relationship Id="rId68" Type="http://schemas.openxmlformats.org/officeDocument/2006/relationships/hyperlink" Target="https://doi.org/10.2196/54737" TargetMode="External"/><Relationship Id="rId67" Type="http://schemas.openxmlformats.org/officeDocument/2006/relationships/hyperlink" Target="https://doi.org/10.18653/v1/2024.findings-emnlp.436" TargetMode="External"/><Relationship Id="rId60" Type="http://schemas.openxmlformats.org/officeDocument/2006/relationships/hyperlink" Target="https://doi.org/10.2196/55315" TargetMode="External"/><Relationship Id="rId69" Type="http://schemas.openxmlformats.org/officeDocument/2006/relationships/hyperlink" Target="https://doi.org/10.1016/j.chest.2024.04.014" TargetMode="External"/><Relationship Id="rId51" Type="http://schemas.openxmlformats.org/officeDocument/2006/relationships/hyperlink" Target="https://doi.org/10.2196/55315" TargetMode="External"/><Relationship Id="rId50" Type="http://schemas.openxmlformats.org/officeDocument/2006/relationships/image" Target="media/image2.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4.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