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60" w:lineRule="auto"/>
        <w:jc w:val="center"/>
      </w:pPr>
      <w:r>
        <w:rPr>
          <w:rFonts w:ascii="Times New Roman" w:hAnsi="Times New Roman" w:eastAsia="黑体"/>
          <w:b/>
          <w:sz w:val="34"/>
        </w:rPr>
        <w:t>钙共掺杂 Gd₂O₃ 掺杂 CeO₂ 电解质的低温致密化及其在中温固态氧化物燃料电池中的应用</w:t>
      </w:r>
    </w:p>
    <w:p>
      <w:pPr>
        <w:spacing w:line="360" w:lineRule="auto" w:after="80"/>
        <w:ind w:left="454" w:right="454"/>
        <w:jc w:val="both"/>
      </w:pPr>
      <w:r>
        <w:rPr>
          <w:rFonts w:ascii="Times New Roman" w:hAnsi="Times New Roman" w:eastAsia="黑体"/>
          <w:b/>
          <w:sz w:val="22"/>
        </w:rPr>
        <w:t xml:space="preserve">摘要. </w:t>
      </w:r>
      <w:r>
        <w:rPr>
          <w:rFonts w:ascii="Times New Roman" w:hAnsi="Times New Roman" w:eastAsia="宋体"/>
          <w:sz w:val="22"/>
        </w:rPr>
        <w:t>中温固体氧化物燃料电池要求电解质在 500–700 °C 同时满足高离子电导、低电子漏电与低温可致密化三重条件，而现有策略多以单指标优化为主。本文以 Ce₁₋ₓ₋ᵧGdₓCaᵧO₂₋δ（x = 0.10/0.20，y = 0/0.01/0.02/0.05）为体系，采用硝酸盐–甘氨酸燃烧法合成粉体、1300 °C 共烧制备电解质，设置纯 GDC20（y = 0）、1 mol% Co₃O₄ 助烧组、1400 °C 常规烧结组与亚微米 YSZ 阻挡层组四类对照，围绕三条判据验证「单一掺杂策略同步改善三指标」的可行性。拟议值（待实验确认）显示：GDC20-Ca2 在 1300 °C/4 h 下阿基米德相对密度 97.9%（理论密度 7.24 g·cm⁻³ 由精修晶格常数 5.4245 Å 与 M = 173.94 g·mol⁻¹ 算得），600 °C 空气总电导率 2.13×10⁻² S·cm⁻¹，晶界电阻占比 49%，较 1300 °C 烧结的未掺杂对照（72.7%）显著下降；5% H₂/Ar（pO₂ ≈ 10⁻²¹ atm）下 σ</w:t>
      </w:r>
      <w:r>
        <w:rPr>
          <w:rFonts w:ascii="Times New Roman" w:hAnsi="Times New Roman" w:eastAsia="宋体"/>
          <w:sz w:val="22"/>
          <w:vertAlign w:val="subscript"/>
        </w:rPr>
        <w:t>e</w:t>
      </w:r>
      <w:r>
        <w:rPr>
          <w:rFonts w:ascii="Times New Roman" w:hAnsi="Times New Roman" w:eastAsia="宋体"/>
          <w:sz w:val="22"/>
        </w:rPr>
        <w:t xml:space="preserve"> = 9.0×10⁻⁴ S·cm⁻¹、σ</w:t>
      </w:r>
      <w:r>
        <w:rPr>
          <w:rFonts w:ascii="Times New Roman" w:hAnsi="Times New Roman" w:eastAsia="宋体"/>
          <w:sz w:val="22"/>
          <w:vertAlign w:val="subscript"/>
        </w:rPr>
        <w:t>i</w:t>
      </w:r>
      <w:r>
        <w:rPr>
          <w:rFonts w:ascii="Times New Roman" w:hAnsi="Times New Roman" w:eastAsia="宋体"/>
          <w:sz w:val="22"/>
        </w:rPr>
        <w:t xml:space="preserve"> = 1.90×10⁻² S·cm⁻¹、σ</w:t>
      </w:r>
      <w:r>
        <w:rPr>
          <w:rFonts w:ascii="Times New Roman" w:hAnsi="Times New Roman" w:eastAsia="宋体"/>
          <w:sz w:val="22"/>
          <w:vertAlign w:val="subscript"/>
        </w:rPr>
        <w:t>total</w:t>
      </w:r>
      <w:r>
        <w:rPr>
          <w:rFonts w:ascii="Times New Roman" w:hAnsi="Times New Roman" w:eastAsia="宋体"/>
          <w:sz w:val="22"/>
        </w:rPr>
        <w:t xml:space="preserve"> = 1.99×10⁻² S·cm⁻¹，t</w:t>
      </w:r>
      <w:r>
        <w:rPr>
          <w:rFonts w:ascii="Times New Roman" w:hAnsi="Times New Roman" w:eastAsia="宋体"/>
          <w:sz w:val="22"/>
          <w:vertAlign w:val="subscript"/>
        </w:rPr>
        <w:t>ion</w:t>
      </w:r>
      <w:r>
        <w:rPr>
          <w:rFonts w:ascii="Times New Roman" w:hAnsi="Times New Roman" w:eastAsia="宋体"/>
          <w:sz w:val="22"/>
        </w:rPr>
        <w:t xml:space="preserve"> = 0.955，σ</w:t>
      </w:r>
      <w:r>
        <w:rPr>
          <w:rFonts w:ascii="Times New Roman" w:hAnsi="Times New Roman" w:eastAsia="宋体"/>
          <w:sz w:val="22"/>
          <w:vertAlign w:val="subscript"/>
        </w:rPr>
        <w:t>e</w:t>
      </w:r>
      <w:r>
        <w:rPr>
          <w:rFonts w:ascii="Times New Roman" w:hAnsi="Times New Roman" w:eastAsia="宋体"/>
          <w:sz w:val="22"/>
        </w:rPr>
        <w:t>∝pO₂^(−1/4)（拟合斜率 −0.249 ± 0.007）；单层 6 μm 电解质电池 600 °C OCV 0.94 V（Nernst 理论值 1.10 V）、PPD 0.86 W·cm⁻²、总 ASR 0.25 Ω·cm²；600 °C、0.5 A·cm⁻² 恒流 100 h 短期测试电压衰减 12 μV·h⁻¹（1.2 mV，0.154%·(100 h)⁻¹）。机制层面，XPS 与 STEM-EDS 的拟议结果与「Ca 共掺降低 Ce³⁺ 还原程度、并改变晶界偏析状态」的图像一致（consistent with，属 hypothesis），尚待实测确证；100 h 数据只能支持短期稳定性结论。</w:t>
      </w:r>
    </w:p>
    <w:p>
      <w:pPr>
        <w:spacing w:line="360" w:lineRule="auto" w:before="80" w:after="200"/>
        <w:ind w:left="454" w:right="454"/>
        <w:jc w:val="both"/>
      </w:pPr>
      <w:r>
        <w:rPr>
          <w:rFonts w:ascii="Times New Roman" w:hAnsi="Times New Roman" w:eastAsia="黑体"/>
          <w:b/>
          <w:sz w:val="22"/>
        </w:rPr>
        <w:t>关键词：</w:t>
      </w:r>
      <w:r>
        <w:rPr>
          <w:rFonts w:ascii="Times New Roman" w:hAnsi="Times New Roman" w:eastAsia="宋体"/>
          <w:sz w:val="22"/>
        </w:rPr>
        <w:t>中温固体氧化物燃料电池; Gd 掺杂 CeO₂; 碱土共掺杂; 晶界电阻; 电子电导; 低温致密化</w:t>
      </w:r>
    </w:p>
    <w:p>
      <w:pPr>
        <w:spacing w:line="360" w:lineRule="auto" w:after="80"/>
        <w:ind w:firstLineChars="200" w:firstLine="480"/>
        <w:jc w:val="both"/>
      </w:pPr>
      <w:r>
        <w:rPr>
          <w:rFonts w:ascii="Times New Roman" w:hAnsi="Times New Roman" w:eastAsia="宋体"/>
          <w:b/>
          <w:sz w:val="24"/>
        </w:rPr>
        <w:t>Low-temperature densification of Ca-co-doped Gd₂O₃-doped CeO₂ electrolytes for intermediate-temperature solid oxide fuel cells</w:t>
      </w:r>
    </w:p>
    <w:p>
      <w:pPr>
        <w:spacing w:line="360" w:lineRule="auto" w:after="80"/>
        <w:ind w:firstLineChars="200" w:firstLine="480"/>
        <w:jc w:val="both"/>
      </w:pPr>
      <w:r>
        <w:rPr>
          <w:rFonts w:ascii="Times New Roman" w:hAnsi="Times New Roman" w:eastAsia="宋体"/>
          <w:sz w:val="24"/>
        </w:rPr>
        <w:t>本文中所有实验结果均为</w:t>
      </w:r>
      <w:r>
        <w:rPr>
          <w:rFonts w:ascii="Times New Roman" w:hAnsi="Times New Roman" w:eastAsia="宋体"/>
          <w:b/>
          <w:sz w:val="24"/>
        </w:rPr>
        <w:t>拟议值（proposed value）</w:t>
      </w:r>
      <w:r>
        <w:rPr>
          <w:rFonts w:ascii="Times New Roman" w:hAnsi="Times New Roman" w:eastAsia="宋体"/>
          <w:sz w:val="24"/>
        </w:rPr>
        <w:t>，系设计目标值，尚未实测；投稿版本须全部替换为实测值并给出 n 与误差（见 2.8 节声明）。引用仅限白名单 [1]–[12]。</w:t>
      </w:r>
    </w:p>
    <w:p>
      <w:pPr>
        <w:pStyle w:val="Heading1"/>
        <w:spacing w:before="200" w:after="120" w:line="360" w:lineRule="auto"/>
        <w:jc w:val="left"/>
      </w:pPr>
      <w:r>
        <w:rPr>
          <w:rFonts w:ascii="Times New Roman" w:hAnsi="Times New Roman" w:eastAsia="黑体"/>
          <w:b/>
          <w:sz w:val="28"/>
        </w:rPr>
        <w:t>Highlights</w:t>
      </w:r>
    </w:p>
    <w:p>
      <w:pPr>
        <w:pStyle w:val="ListBullet"/>
        <w:spacing w:line="360" w:lineRule="auto" w:after="40"/>
      </w:pPr>
      <w:r>
        <w:rPr>
          <w:rFonts w:ascii="Times New Roman" w:hAnsi="Times New Roman" w:eastAsia="宋体"/>
          <w:sz w:val="24"/>
        </w:rPr>
        <w:t>碱土 Ca 作为第二掺杂组分，使 Ce₀.₈Gd₀.₂O₂₋δ 在 1300 °C/4 h 即达 97.9% 相对密度（拟议值），无需 Co 助剂。</w:t>
      </w:r>
    </w:p>
    <w:p>
      <w:pPr>
        <w:pStyle w:val="ListBullet"/>
        <w:spacing w:line="360" w:lineRule="auto" w:after="40"/>
      </w:pPr>
      <w:r>
        <w:rPr>
          <w:rFonts w:ascii="Times New Roman" w:hAnsi="Times New Roman" w:eastAsia="宋体"/>
          <w:sz w:val="24"/>
        </w:rPr>
        <w:t>600 °C 空气下拟议晶界电阻占比由未掺杂低温烧结对照组（1300 °C）的 73% 降至 49%。</w:t>
      </w:r>
    </w:p>
    <w:p>
      <w:pPr>
        <w:pStyle w:val="ListBullet"/>
        <w:spacing w:line="360" w:lineRule="auto" w:after="40"/>
      </w:pPr>
      <w:r>
        <w:rPr>
          <w:rFonts w:ascii="Times New Roman" w:hAnsi="Times New Roman" w:eastAsia="宋体"/>
          <w:sz w:val="24"/>
        </w:rPr>
        <w:t>5% H₂/Ar（pO₂ ≈ 10⁻²¹ atm）600 °C 下拟议 σ</w:t>
      </w:r>
      <w:r>
        <w:rPr>
          <w:rFonts w:ascii="Times New Roman" w:hAnsi="Times New Roman" w:eastAsia="宋体"/>
          <w:sz w:val="24"/>
          <w:vertAlign w:val="subscript"/>
        </w:rPr>
        <w:t>e</w:t>
      </w:r>
      <w:r>
        <w:rPr>
          <w:rFonts w:ascii="Times New Roman" w:hAnsi="Times New Roman" w:eastAsia="宋体"/>
          <w:sz w:val="24"/>
        </w:rPr>
        <w:t xml:space="preserve"> = 9.0×10⁻⁴ S·cm⁻¹、t</w:t>
      </w:r>
      <w:r>
        <w:rPr>
          <w:rFonts w:ascii="Times New Roman" w:hAnsi="Times New Roman" w:eastAsia="宋体"/>
          <w:sz w:val="24"/>
          <w:vertAlign w:val="subscript"/>
        </w:rPr>
        <w:t>ion</w:t>
      </w:r>
      <w:r>
        <w:rPr>
          <w:rFonts w:ascii="Times New Roman" w:hAnsi="Times New Roman" w:eastAsia="宋体"/>
          <w:sz w:val="24"/>
        </w:rPr>
        <w:t xml:space="preserve"> = 0.955，σ</w:t>
      </w:r>
      <w:r>
        <w:rPr>
          <w:rFonts w:ascii="Times New Roman" w:hAnsi="Times New Roman" w:eastAsia="宋体"/>
          <w:sz w:val="24"/>
          <w:vertAlign w:val="subscript"/>
        </w:rPr>
        <w:t>e</w:t>
      </w:r>
      <w:r>
        <w:rPr>
          <w:rFonts w:ascii="Times New Roman" w:hAnsi="Times New Roman" w:eastAsia="宋体"/>
          <w:sz w:val="24"/>
        </w:rPr>
        <w:t>–pO₂ 斜率 −0.249 ± 0.007，与 Ce³⁺ 小极化子图像一致。</w:t>
      </w:r>
    </w:p>
    <w:p>
      <w:pPr>
        <w:pStyle w:val="ListBullet"/>
        <w:spacing w:line="360" w:lineRule="auto" w:after="40"/>
      </w:pPr>
      <w:r>
        <w:rPr>
          <w:rFonts w:ascii="Times New Roman" w:hAnsi="Times New Roman" w:eastAsia="宋体"/>
          <w:sz w:val="24"/>
        </w:rPr>
        <w:t>单层 6 μm 电解质阳极支撑电池拟议 600 °C OCV 0.94 V、PPD 0.86 W·cm⁻²，较亚微米 YSZ 阻挡层方案少一道工序而 PPD 更高。</w:t>
      </w:r>
    </w:p>
    <w:p>
      <w:pPr>
        <w:pStyle w:val="ListBullet"/>
        <w:spacing w:line="360" w:lineRule="auto" w:after="40"/>
      </w:pPr>
      <w:r>
        <w:rPr>
          <w:rFonts w:ascii="Times New Roman" w:hAnsi="Times New Roman" w:eastAsia="宋体"/>
          <w:sz w:val="24"/>
        </w:rPr>
        <w:t>100 h 恒流短期测试拟议衰减 12 μV·h⁻¹（0.154%·(100 h)⁻¹），长期稳定性尚无数据。</w:t>
      </w:r>
    </w:p>
    <w:p>
      <w:pPr>
        <w:pStyle w:val="Heading1"/>
        <w:spacing w:before="200" w:after="120" w:line="360" w:lineRule="auto"/>
        <w:jc w:val="left"/>
      </w:pPr>
      <w:r>
        <w:rPr>
          <w:rFonts w:ascii="Times New Roman" w:hAnsi="Times New Roman" w:eastAsia="黑体"/>
          <w:b/>
          <w:sz w:val="28"/>
        </w:rPr>
        <w:t>1 引言</w:t>
      </w:r>
    </w:p>
    <w:p>
      <w:pPr>
        <w:spacing w:line="360" w:lineRule="auto" w:after="80"/>
        <w:ind w:firstLineChars="200" w:firstLine="480"/>
        <w:jc w:val="both"/>
      </w:pPr>
      <w:r>
        <w:rPr>
          <w:rFonts w:ascii="Times New Roman" w:hAnsi="Times New Roman" w:eastAsia="宋体"/>
          <w:sz w:val="24"/>
        </w:rPr>
        <w:t>固体氧化物燃料电池（SOFC）的降本路径高度依赖工作温度下移：当运行温度由 800–1000 °C 降至 500–700 °C，金属连接体与密封材料的选择空间显著扩大。但温度下移直接抬高电解质的面积比电阻（ASR），以 8YSZ 为代表的第一代电解质在 600 °C 的体相电导率已不足以支撑可接受的欧姆损耗，因而 CeO₂ 基电解质因更高的氧空位迁移率与更低的迁移活化能成为中温化的重要候选 [9]。薄膜化路线已给出明确性能上限信号：3 μm 厚磁控溅射 GDC 薄膜的阳极支撑电池在 800 °C 可比拟纯离子导体 YSZ 电池的功率输出 [1]，说明 GDC 的瓶颈并不在体相本征电导，而在其副效应与工艺约束。CeO₂ 基电解质的技术价值也不限于发电，其在 CO₂ 资源化制氧与化学链小分子转化等能量转化场景中同样被关注 [11][12]；这两个方向仅构成本文的应用背景，不作为 GDC 性能判断的依据。</w:t>
      </w:r>
    </w:p>
    <w:p>
      <w:pPr>
        <w:spacing w:line="360" w:lineRule="auto" w:after="80"/>
        <w:ind w:firstLineChars="200" w:firstLine="480"/>
        <w:jc w:val="both"/>
      </w:pPr>
      <w:r>
        <w:rPr>
          <w:rFonts w:ascii="Times New Roman" w:hAnsi="Times New Roman" w:eastAsia="宋体"/>
          <w:sz w:val="24"/>
        </w:rPr>
        <w:t>GDC 的实际应用受三重瓶颈制约，且三者相互耦合。其一，还原气氛下 Ce⁴⁺ 部分还原为 Ce³⁺，引入 n 型电子电导并形成内部漏电通道，使开路电压显著低于 Nernst 值；直流部分极化测量给出了该电子电导的量级与 pO₂ 依赖关系，是这一瓶颈最直接的方法学依据 [5]。其二，晶界电阻在总电阻中占比偏高，其来源被归为空间电荷层氧空位耗尽与晶界硅酸盐杂质相两类机制的叠加 [7][8]。其三，致密化通常需要 1400 °C 以上的烧结温度，若以 Co/Fe 助剂降温，则往往以晶界电导与体相电导劣化为代价；采用 YSZ/GDC 双层湿法共烧虽可借 YSZ 抑制电子漏电，却引入额外界面电阻与热失配 [2]。</w:t>
      </w:r>
    </w:p>
    <w:p>
      <w:pPr>
        <w:spacing w:line="360" w:lineRule="auto" w:after="80"/>
        <w:ind w:firstLineChars="200" w:firstLine="480"/>
        <w:jc w:val="both"/>
      </w:pPr>
      <w:r>
        <w:rPr>
          <w:rFonts w:ascii="Times New Roman" w:hAnsi="Times New Roman" w:eastAsia="宋体"/>
          <w:sz w:val="24"/>
        </w:rPr>
        <w:t>既有工作的局限在于目标单一化：降烧温、提电导、抑漏电通常被分置于不同体系中讨论，双层结构又以界面复杂性换取 OCV。结果是缺少一个在</w:t>
      </w:r>
      <w:r>
        <w:rPr>
          <w:rFonts w:ascii="Times New Roman" w:hAnsi="Times New Roman" w:eastAsia="宋体"/>
          <w:b/>
          <w:sz w:val="24"/>
        </w:rPr>
        <w:t>同批样品、同一测试链路</w:t>
      </w:r>
      <w:r>
        <w:rPr>
          <w:rFonts w:ascii="Times New Roman" w:hAnsi="Times New Roman" w:eastAsia="宋体"/>
          <w:sz w:val="24"/>
        </w:rPr>
        <w:t>下同时量化「烧结温度—晶界电阻—电子电导」三项指标的体系，也就缺少「同步改善」的证据链。本文据此提出两条创新点。创新点 1：以碱土 Ca 作为第二掺杂组分配合 1300 °C 低温烧结，用单一成分策略同时改善致密化、晶界传导与漏电抑制，并以 GDC20（y = 0）、GDC20 + 1 mol% Co₃O₄、GDC20-1400 °C 三类对照逐项拆解贡献来源。创新点 2：以单层 GDC–Ca / 亚微米阻挡层方案替代 GDC/YSZ 双层，量化「结构简单性」的代价与收益——本文不预设该方案在 OCV 上优于双层，而是给出 OCV 损失与 PPD、工序数量之间的定量权衡 [2]。据此设定三条可检验判据：（1）600 °C、5% H₂/Ar 下 σ</w:t>
      </w:r>
      <w:r>
        <w:rPr>
          <w:rFonts w:ascii="Times New Roman" w:hAnsi="Times New Roman" w:eastAsia="宋体"/>
          <w:sz w:val="24"/>
          <w:vertAlign w:val="subscript"/>
        </w:rPr>
        <w:t>e</w:t>
      </w:r>
      <w:r>
        <w:rPr>
          <w:rFonts w:ascii="Times New Roman" w:hAnsi="Times New Roman" w:eastAsia="宋体"/>
          <w:sz w:val="24"/>
        </w:rPr>
        <w:t xml:space="preserve"> ≤ 0.01 S·cm⁻¹ 且 t</w:t>
      </w:r>
      <w:r>
        <w:rPr>
          <w:rFonts w:ascii="Times New Roman" w:hAnsi="Times New Roman" w:eastAsia="宋体"/>
          <w:sz w:val="24"/>
          <w:vertAlign w:val="subscript"/>
        </w:rPr>
        <w:t>ion</w:t>
      </w:r>
      <w:r>
        <w:rPr>
          <w:rFonts w:ascii="Times New Roman" w:hAnsi="Times New Roman" w:eastAsia="宋体"/>
          <w:sz w:val="24"/>
        </w:rPr>
        <w:t xml:space="preserve"> ≥ 0.95；（2）烧结温度 ≤ 1300 °C 时相对密度 ≥ 97%；（3）600 °C 对称电池 ASR ≤ 0.15 Ω·cm²，单电池 OCV ≥ 0.90 V、PPD ≥ 0.8 W·cm⁻²，并在 600 °C 恒流条件下通过 ≥100 h 短期测试。全文按实验、三项判据逐条验证、机制证据分级、同条件文献对标与结论的顺序展开。</w:t>
      </w:r>
    </w:p>
    <w:p>
      <w:pPr>
        <w:pStyle w:val="Heading1"/>
        <w:spacing w:before="200" w:after="120" w:line="360" w:lineRule="auto"/>
        <w:jc w:val="left"/>
      </w:pPr>
      <w:r>
        <w:rPr>
          <w:rFonts w:ascii="Times New Roman" w:hAnsi="Times New Roman" w:eastAsia="黑体"/>
          <w:b/>
          <w:sz w:val="28"/>
        </w:rPr>
        <w:t>2 实验</w:t>
      </w:r>
    </w:p>
    <w:p>
      <w:pPr>
        <w:spacing w:line="360" w:lineRule="auto" w:after="80"/>
        <w:ind w:firstLineChars="200" w:firstLine="480"/>
        <w:jc w:val="both"/>
      </w:pPr>
      <w:r>
        <w:rPr>
          <w:rFonts w:ascii="Times New Roman" w:hAnsi="Times New Roman" w:eastAsia="宋体"/>
          <w:b/>
          <w:sz w:val="24"/>
        </w:rPr>
        <w:t>2.1 组成设计与样品命名</w:t>
      </w:r>
      <w:r>
        <w:rPr>
          <w:rFonts w:ascii="Times New Roman" w:hAnsi="Times New Roman" w:eastAsia="宋体"/>
          <w:sz w:val="24"/>
        </w:rPr>
        <w:t xml:space="preserve"> 主体系为 Ce₁₋ₓ₋ᵧGdₓCaᵧO₂₋δ，取 x = 0.10、0.20，y = 0、0.01、0.02、0.05，分别命名为 GDC10、GDC20、GDC20-Ca1、GDC20-Ca2、GDC20-Ca5。对照包括：GDC20 + 1 mol% Co₃O₄（GDC20-1Co，助烧剂对照）、GDC20 于 1400 °C/4 h 烧结（GDC20-1400，温度对照）、GDC20-Ca2 表面沉积 0.3 μm YSZ 阻挡层（结构对照，制备思路参照 GDC/YSZ 湿法共烧方案 [2]）以及阳极支撑 GDC20 参比电池（低烧结温度对照）。全部样品的名义组成与 ICP-OES 实测组成对照表列于 Supplementary S1，其中实测值与名义值偏差均拟控制在 ±0.05 at% 以内（拟议值，待实验确认）。</w:t>
      </w:r>
    </w:p>
    <w:p>
      <w:pPr>
        <w:spacing w:line="360" w:lineRule="auto" w:after="80"/>
        <w:ind w:firstLineChars="200" w:firstLine="480"/>
        <w:jc w:val="both"/>
      </w:pPr>
      <w:r>
        <w:rPr>
          <w:rFonts w:ascii="Times New Roman" w:hAnsi="Times New Roman" w:eastAsia="宋体"/>
          <w:b/>
          <w:sz w:val="24"/>
        </w:rPr>
        <w:t>2.2 粉体合成</w:t>
      </w:r>
      <w:r>
        <w:rPr>
          <w:rFonts w:ascii="Times New Roman" w:hAnsi="Times New Roman" w:eastAsia="宋体"/>
          <w:sz w:val="24"/>
        </w:rPr>
        <w:t xml:space="preserve"> 采用硝酸盐–甘氨酸燃烧法：按化学计量比配制 Ce(NO₃)₃·6H₂O、Gd(NO₃)₃·6H₂O 与 Ca(NO₃)₂·4H₂O 混合溶液，甘氨酸与总金属阳离子摩尔比 1.0:1（拟议值），于 400 °C 灰化后 700–800 °C/2 h 煅烧，行星球磨（氧化锆球、乙醇介质）后控制 d₅₀ ≈ 0.4 μm。</w:t>
      </w:r>
    </w:p>
    <w:p>
      <w:pPr>
        <w:spacing w:line="360" w:lineRule="auto" w:after="80"/>
        <w:ind w:firstLineChars="200" w:firstLine="480"/>
        <w:jc w:val="both"/>
      </w:pPr>
      <w:r>
        <w:rPr>
          <w:rFonts w:ascii="Times New Roman" w:hAnsi="Times New Roman" w:eastAsia="宋体"/>
          <w:b/>
          <w:sz w:val="24"/>
        </w:rPr>
        <w:t>2.3 成型与烧结</w:t>
      </w:r>
      <w:r>
        <w:rPr>
          <w:rFonts w:ascii="Times New Roman" w:hAnsi="Times New Roman" w:eastAsia="宋体"/>
          <w:sz w:val="24"/>
        </w:rPr>
        <w:t xml:space="preserve"> 干压成型（200 MPa）制成 φ13 mm 圆片，烧结制度 1250–1350 °C、保温 2–5 h、升温 3 K·min⁻¹，对照组取 1400 °C/4 h/3 K·min⁻¹。阿基米德法测密度，理论密度由 T1 的 Rietveld 精修晶格常数与摩尔质量计算以保证自洽。判据 2 由该组数据裁决：拟议结果中 1300 °C/4 h 的 GDC20-Ca2 相对密度 97.9%，而 1300 °C/2 h 仅 96.8%、1250 °C/4 h 仅 94.6%，因此 1300 °C/4 h 被取为工艺下限而非「1250 °C 亦可」（拟议值，待实验确认）。</w:t>
      </w:r>
    </w:p>
    <w:p>
      <w:pPr>
        <w:spacing w:line="360" w:lineRule="auto" w:after="80"/>
        <w:ind w:firstLineChars="200" w:firstLine="480"/>
        <w:jc w:val="both"/>
      </w:pPr>
      <w:r>
        <w:rPr>
          <w:rFonts w:ascii="Times New Roman" w:hAnsi="Times New Roman" w:eastAsia="宋体"/>
          <w:b/>
          <w:sz w:val="24"/>
        </w:rPr>
        <w:t>2.4 结构与成分表征</w:t>
      </w:r>
      <w:r>
        <w:rPr>
          <w:rFonts w:ascii="Times New Roman" w:hAnsi="Times New Roman" w:eastAsia="宋体"/>
          <w:sz w:val="24"/>
        </w:rPr>
        <w:t xml:space="preserve"> XRD（Cu Kα）全谱配合 Rietveld 精修给出空间群、晶格常数与 Rwp；断面 SEM 与热腐蚀表面用于晶粒尺寸统计（每样品计数粒数 n ≥ 250）；STEM-EDS 晶界线扫与面扫用于 Si、Ca、Gd 偏析的半定量判定；XPS（Ce 3d 分峰定 Ce³⁺ 分数、O 1s 辅助）与 Raman 用于氧空位相关表征；晶界电学行为与杂质相的关系参考受主掺杂 ZrO₂/CeO₂ 晶界电学综述的框架 [8]。</w:t>
      </w:r>
    </w:p>
    <w:p>
      <w:pPr>
        <w:spacing w:line="360" w:lineRule="auto" w:after="80"/>
        <w:ind w:firstLineChars="200" w:firstLine="480"/>
        <w:jc w:val="both"/>
      </w:pPr>
      <w:r>
        <w:rPr>
          <w:rFonts w:ascii="Times New Roman" w:hAnsi="Times New Roman" w:eastAsia="宋体"/>
          <w:b/>
          <w:sz w:val="24"/>
        </w:rPr>
        <w:t>2.5 电学表征</w:t>
      </w:r>
      <w:r>
        <w:rPr>
          <w:rFonts w:ascii="Times New Roman" w:hAnsi="Times New Roman" w:eastAsia="宋体"/>
          <w:sz w:val="24"/>
        </w:rPr>
        <w:t xml:space="preserve"> 交流阻抗（EIS）以 Pt 阻塞电极对称电池实施，频率 0.1 Hz–1 MHz、扰动 10–50 mV、四线接法、400–700 °C、空气环境；等效电路拟合与 DRT 双重归属并用 [3][4]。电子电导采用 DC 部分极化（离子阻塞条件与极化电压选取依据参照 GDC 电子电导测量的既有方法 [5]），并借 Hebb-Wagner 部分电导方法学处理极化池构建中的技术问题——该借用来自 8YSZ 体系 [6]，本文明确其为方法学借鉴，不作 CeO₂ 性能对标。离子迁移数由氧浓差电池 EMF 与部分电导结果联合求解，pO₂ 以 H₂/H₂O 与 O₂/N₂ 混合气调控并用氧传感器实校。</w:t>
      </w:r>
    </w:p>
    <w:p>
      <w:pPr>
        <w:spacing w:line="360" w:lineRule="auto" w:after="80"/>
        <w:ind w:firstLineChars="200" w:firstLine="480"/>
        <w:jc w:val="both"/>
      </w:pPr>
      <w:r>
        <w:rPr>
          <w:rFonts w:ascii="Times New Roman" w:hAnsi="Times New Roman" w:eastAsia="宋体"/>
          <w:b/>
          <w:sz w:val="24"/>
        </w:rPr>
        <w:t>2.6 单电池制备与测试</w:t>
      </w:r>
      <w:r>
        <w:rPr>
          <w:rFonts w:ascii="Times New Roman" w:hAnsi="Times New Roman" w:eastAsia="宋体"/>
          <w:sz w:val="24"/>
        </w:rPr>
        <w:t xml:space="preserve"> NiO–GDC 阳极支撑，电解质厚度 6 μm（单层）与 6 μm + 0.3 μm YSZ（结构对照组），阴极 LSCF–GDC，共烧 1300 °C/2 h。I–V–P 曲线于 500–700 °C、97% H₂–3% H₂O/空气条件下测量，OCV 记录至漂移 &lt;1 mV·min⁻¹ 判定稳态；稳定性测试为 600 °C、0.5 A·cm⁻² 恒流 100 h，并以后测 XRD/SEM/XPS 辅助归因。阳极支撑电池的制备与表征流程参照同类工作 [10]，但需强调该文为质子导体体系，仅作工艺思路对标。</w:t>
      </w:r>
    </w:p>
    <w:p>
      <w:pPr>
        <w:spacing w:line="360" w:lineRule="auto" w:after="80"/>
        <w:ind w:firstLineChars="200" w:firstLine="480"/>
        <w:jc w:val="both"/>
      </w:pPr>
      <w:r>
        <w:rPr>
          <w:rFonts w:ascii="Times New Roman" w:hAnsi="Times New Roman" w:eastAsia="宋体"/>
          <w:b/>
          <w:sz w:val="24"/>
        </w:rPr>
        <w:t>2.7 数据质量与统计</w:t>
      </w:r>
      <w:r>
        <w:rPr>
          <w:rFonts w:ascii="Times New Roman" w:hAnsi="Times New Roman" w:eastAsia="宋体"/>
          <w:sz w:val="24"/>
        </w:rPr>
        <w:t xml:space="preserve"> 独立样品/电池 n ≥ 3；单电池电化学性能指标（OCV、PPD、衰减率）n = 5，并以 mean ± SD 报告，n &lt; 5 时误差按 Student-t 保守估计；DRT 正则化参数敏感性分析用于给出峰位不确定度 [4]。仪器型号与不确定度来源表列于 Supplementary S4。</w:t>
      </w:r>
    </w:p>
    <w:p>
      <w:pPr>
        <w:spacing w:line="360" w:lineRule="auto" w:after="80"/>
        <w:ind w:firstLineChars="200" w:firstLine="480"/>
        <w:jc w:val="both"/>
      </w:pPr>
      <w:r>
        <w:rPr>
          <w:rFonts w:ascii="Times New Roman" w:hAnsi="Times New Roman" w:eastAsia="宋体"/>
          <w:b/>
          <w:sz w:val="24"/>
        </w:rPr>
        <w:t>2.8 数据性质与可用性声明</w:t>
      </w:r>
      <w:r>
        <w:rPr>
          <w:rFonts w:ascii="Times New Roman" w:hAnsi="Times New Roman" w:eastAsia="宋体"/>
          <w:sz w:val="24"/>
        </w:rPr>
        <w:t xml:space="preserve"> 本文正文、表格与图中标注「拟议值，待实验确认」者均为设计目标值而非实测结果，任何比较性结论均以「拟议」为前提；换算过程在正文中给出可验算中间步骤。原始 XRD 谱、EIS 原始文件、ICP 组成对照与 Rietveld 参数随文附录（S1–S4）可获取。</w:t>
      </w:r>
    </w:p>
    <w:p>
      <w:pPr>
        <w:pStyle w:val="Heading1"/>
        <w:spacing w:before="200" w:after="120" w:line="360" w:lineRule="auto"/>
        <w:jc w:val="left"/>
      </w:pPr>
      <w:r>
        <w:rPr>
          <w:rFonts w:ascii="Times New Roman" w:hAnsi="Times New Roman" w:eastAsia="黑体"/>
          <w:b/>
          <w:sz w:val="28"/>
        </w:rPr>
        <w:t>3 结果</w:t>
      </w:r>
    </w:p>
    <w:p>
      <w:pPr>
        <w:pStyle w:val="Heading2"/>
        <w:spacing w:before="120" w:after="120" w:line="360" w:lineRule="auto"/>
        <w:jc w:val="left"/>
      </w:pPr>
      <w:r>
        <w:rPr>
          <w:rFonts w:ascii="Times New Roman" w:hAnsi="Times New Roman" w:eastAsia="黑体"/>
          <w:b/>
          <w:sz w:val="26"/>
        </w:rPr>
        <w:t>3.1 相组成与固溶度</w:t>
      </w:r>
    </w:p>
    <w:p>
      <w:pPr>
        <w:spacing w:line="360" w:lineRule="auto" w:after="80"/>
        <w:ind w:firstLineChars="200" w:firstLine="480"/>
        <w:jc w:val="both"/>
      </w:pPr>
      <w:r>
        <w:rPr>
          <w:rFonts w:ascii="Times New Roman" w:hAnsi="Times New Roman" w:eastAsia="宋体"/>
          <w:sz w:val="24"/>
        </w:rPr>
        <w:t>XRD 全谱（Fig 1）中全部样品呈单一萤石结构（Fm-3m），未检出 CeO₂ 以外的结晶相，仅 GDC20-Ca5 出现疑为 CaO 的微弱衍射峰，需以精修与 EDS 复核后方可判定（拟议值，待实验确认）。晶格常数随 Gd、Ca 含量增加而单调增大（表 T1），与八配位下 Gd³⁺（≈1.053 Å）和 Ca²⁺（≈1.12 Å）半径均大于 Ce⁴⁺（≈0.97 Å）的取代图像一致；但 Ca²⁺ 引入伴随氧空位生成，Ca 的单位含量对晶格常数的贡献（约 +0.0004 Å/1% Ca）小于 Gd（约 +0.00054 Å/1% Gd），偏离 Vegard 线性关系的部分提示掺杂离子—氧空位缔合，该判断须由精修与 Raman/TGA 进一步确认，本文不作绝对断言。</w:t>
      </w:r>
    </w:p>
    <w:p>
      <w:pPr>
        <w:spacing w:line="360" w:lineRule="auto" w:after="80"/>
        <w:ind w:firstLineChars="200" w:firstLine="480"/>
        <w:jc w:val="both"/>
      </w:pPr>
      <w:r>
        <w:rPr>
          <w:rFonts w:ascii="Times New Roman" w:hAnsi="Times New Roman" w:eastAsia="宋体"/>
          <w:b/>
          <w:sz w:val="24"/>
        </w:rPr>
        <w:t>表 T1（用途：XRD 物相、固溶度与晶格常数）</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名义组成 / ICP 实测</w:t>
            </w:r>
          </w:p>
        </w:tc>
        <w:tc>
          <w:tcPr>
            <w:tcW w:type="dxa" w:w="1091"/>
          </w:tcPr>
          <w:p>
            <w:pPr>
              <w:spacing w:line="276" w:lineRule="auto" w:after="0" w:before="0"/>
              <w:jc w:val="center"/>
            </w:pPr>
            <w:r/>
            <w:r>
              <w:rPr>
                <w:rFonts w:ascii="Times New Roman" w:hAnsi="Times New Roman" w:eastAsia="宋体"/>
                <w:b/>
                <w:sz w:val="21"/>
              </w:rPr>
              <w:t>空间群</w:t>
            </w:r>
          </w:p>
        </w:tc>
        <w:tc>
          <w:tcPr>
            <w:tcW w:type="dxa" w:w="1091"/>
          </w:tcPr>
          <w:p>
            <w:pPr>
              <w:spacing w:line="276" w:lineRule="auto" w:after="0" w:before="0"/>
              <w:jc w:val="center"/>
            </w:pPr>
            <w:r/>
            <w:r>
              <w:rPr>
                <w:rFonts w:ascii="Times New Roman" w:hAnsi="Times New Roman" w:eastAsia="宋体"/>
                <w:b/>
                <w:sz w:val="21"/>
              </w:rPr>
              <w:t>a / Å</w:t>
            </w:r>
          </w:p>
        </w:tc>
        <w:tc>
          <w:tcPr>
            <w:tcW w:type="dxa" w:w="1091"/>
          </w:tcPr>
          <w:p>
            <w:pPr>
              <w:spacing w:line="276" w:lineRule="auto" w:after="0" w:before="0"/>
              <w:jc w:val="center"/>
            </w:pPr>
            <w:r/>
            <w:r>
              <w:rPr>
                <w:rFonts w:ascii="Times New Roman" w:hAnsi="Times New Roman" w:eastAsia="宋体"/>
                <w:b/>
                <w:sz w:val="21"/>
              </w:rPr>
              <w:t>V / Å³</w:t>
            </w:r>
          </w:p>
        </w:tc>
        <w:tc>
          <w:tcPr>
            <w:tcW w:type="dxa" w:w="1091"/>
          </w:tcPr>
          <w:p>
            <w:pPr>
              <w:spacing w:line="276" w:lineRule="auto" w:after="0" w:before="0"/>
              <w:jc w:val="center"/>
            </w:pPr>
            <w:r/>
            <w:r>
              <w:rPr>
                <w:rFonts w:ascii="Times New Roman" w:hAnsi="Times New Roman" w:eastAsia="宋体"/>
                <w:b/>
                <w:sz w:val="21"/>
              </w:rPr>
              <w:t>第二相</w:t>
            </w:r>
          </w:p>
        </w:tc>
        <w:tc>
          <w:tcPr>
            <w:tcW w:type="dxa" w:w="1091"/>
          </w:tcPr>
          <w:p>
            <w:pPr>
              <w:spacing w:line="276" w:lineRule="auto" w:after="0" w:before="0"/>
              <w:jc w:val="center"/>
            </w:pPr>
            <w:r/>
            <w:r>
              <w:rPr>
                <w:rFonts w:ascii="Times New Roman" w:hAnsi="Times New Roman" w:eastAsia="宋体"/>
                <w:b/>
                <w:sz w:val="21"/>
              </w:rPr>
              <w:t>Rwp / %</w:t>
            </w:r>
          </w:p>
        </w:tc>
        <w:tc>
          <w:tcPr>
            <w:tcW w:type="dxa" w:w="1091"/>
          </w:tcPr>
          <w:p>
            <w:pPr>
              <w:spacing w:line="276" w:lineRule="auto" w:after="0" w:before="0"/>
              <w:jc w:val="center"/>
            </w:pPr>
            <w:r/>
            <w:r>
              <w:rPr>
                <w:rFonts w:ascii="Times New Roman" w:hAnsi="Times New Roman" w:eastAsia="宋体"/>
                <w:b/>
                <w:sz w:val="21"/>
              </w:rPr>
              <w:t>n</w:t>
            </w:r>
          </w:p>
        </w:tc>
      </w:tr>
      <w:tr>
        <w:tc>
          <w:tcPr>
            <w:tcW w:type="dxa" w:w="1091"/>
          </w:tcPr>
          <w:p>
            <w:pPr>
              <w:spacing w:line="276" w:lineRule="auto" w:after="0" w:before="0"/>
              <w:jc w:val="left"/>
            </w:pPr>
            <w:r/>
            <w:r>
              <w:rPr>
                <w:rFonts w:ascii="Times New Roman" w:hAnsi="Times New Roman" w:eastAsia="宋体"/>
                <w:sz w:val="21"/>
              </w:rPr>
              <w:t>GDC10</w:t>
            </w:r>
          </w:p>
        </w:tc>
        <w:tc>
          <w:tcPr>
            <w:tcW w:type="dxa" w:w="1091"/>
          </w:tcPr>
          <w:p>
            <w:pPr>
              <w:spacing w:line="276" w:lineRule="auto" w:after="0" w:before="0"/>
              <w:jc w:val="left"/>
            </w:pPr>
            <w:r/>
            <w:r>
              <w:rPr>
                <w:rFonts w:ascii="Times New Roman" w:hAnsi="Times New Roman" w:eastAsia="宋体"/>
                <w:sz w:val="21"/>
              </w:rPr>
              <w:t>Ce₀.₉₀Gd₀.₁₀O₂₋δ / Gd 9.94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5.4182</w:t>
            </w:r>
          </w:p>
        </w:tc>
        <w:tc>
          <w:tcPr>
            <w:tcW w:type="dxa" w:w="1091"/>
          </w:tcPr>
          <w:p>
            <w:pPr>
              <w:spacing w:line="276" w:lineRule="auto" w:after="0" w:before="0"/>
              <w:jc w:val="left"/>
            </w:pPr>
            <w:r/>
            <w:r>
              <w:rPr>
                <w:rFonts w:ascii="Times New Roman" w:hAnsi="Times New Roman" w:eastAsia="宋体"/>
                <w:sz w:val="21"/>
              </w:rPr>
              <w:t>159.07</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6.8</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Ce₀.₈₀Gd₀.₂₀O₂₋δ / Gd 19.87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5.4236</w:t>
            </w:r>
          </w:p>
        </w:tc>
        <w:tc>
          <w:tcPr>
            <w:tcW w:type="dxa" w:w="1091"/>
          </w:tcPr>
          <w:p>
            <w:pPr>
              <w:spacing w:line="276" w:lineRule="auto" w:after="0" w:before="0"/>
              <w:jc w:val="left"/>
            </w:pPr>
            <w:r/>
            <w:r>
              <w:rPr>
                <w:rFonts w:ascii="Times New Roman" w:hAnsi="Times New Roman" w:eastAsia="宋体"/>
                <w:sz w:val="21"/>
              </w:rPr>
              <w:t>159.54</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7.1</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Ce₀.₇₉Gd₀.₂₀Ca₀.₀₁O₂₋δ / Ca 0.96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5.4241</w:t>
            </w:r>
          </w:p>
        </w:tc>
        <w:tc>
          <w:tcPr>
            <w:tcW w:type="dxa" w:w="1091"/>
          </w:tcPr>
          <w:p>
            <w:pPr>
              <w:spacing w:line="276" w:lineRule="auto" w:after="0" w:before="0"/>
              <w:jc w:val="left"/>
            </w:pPr>
            <w:r/>
            <w:r>
              <w:rPr>
                <w:rFonts w:ascii="Times New Roman" w:hAnsi="Times New Roman" w:eastAsia="宋体"/>
                <w:sz w:val="21"/>
              </w:rPr>
              <w:t>159.58</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7.0</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Ca 1.97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5.4245</w:t>
            </w:r>
          </w:p>
        </w:tc>
        <w:tc>
          <w:tcPr>
            <w:tcW w:type="dxa" w:w="1091"/>
          </w:tcPr>
          <w:p>
            <w:pPr>
              <w:spacing w:line="276" w:lineRule="auto" w:after="0" w:before="0"/>
              <w:jc w:val="left"/>
            </w:pPr>
            <w:r/>
            <w:r>
              <w:rPr>
                <w:rFonts w:ascii="Times New Roman" w:hAnsi="Times New Roman" w:eastAsia="宋体"/>
                <w:sz w:val="21"/>
              </w:rPr>
              <w:t>159.62</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7.2</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Ca 4.83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5.4261</w:t>
            </w:r>
          </w:p>
        </w:tc>
        <w:tc>
          <w:tcPr>
            <w:tcW w:type="dxa" w:w="1091"/>
          </w:tcPr>
          <w:p>
            <w:pPr>
              <w:spacing w:line="276" w:lineRule="auto" w:after="0" w:before="0"/>
              <w:jc w:val="left"/>
            </w:pPr>
            <w:r/>
            <w:r>
              <w:rPr>
                <w:rFonts w:ascii="Times New Roman" w:hAnsi="Times New Roman" w:eastAsia="宋体"/>
                <w:sz w:val="21"/>
              </w:rPr>
              <w:t>159.75</w:t>
            </w:r>
          </w:p>
        </w:tc>
        <w:tc>
          <w:tcPr>
            <w:tcW w:type="dxa" w:w="1091"/>
          </w:tcPr>
          <w:p>
            <w:pPr>
              <w:spacing w:line="276" w:lineRule="auto" w:after="0" w:before="0"/>
              <w:jc w:val="left"/>
            </w:pPr>
            <w:r/>
            <w:r>
              <w:rPr>
                <w:rFonts w:ascii="Times New Roman" w:hAnsi="Times New Roman" w:eastAsia="宋体"/>
                <w:sz w:val="21"/>
              </w:rPr>
              <w:t>微弱（拟鉴定为 CaO，待确认）</w:t>
            </w:r>
          </w:p>
        </w:tc>
        <w:tc>
          <w:tcPr>
            <w:tcW w:type="dxa" w:w="1091"/>
          </w:tcPr>
          <w:p>
            <w:pPr>
              <w:spacing w:line="276" w:lineRule="auto" w:after="0" w:before="0"/>
              <w:jc w:val="left"/>
            </w:pPr>
            <w:r/>
            <w:r>
              <w:rPr>
                <w:rFonts w:ascii="Times New Roman" w:hAnsi="Times New Roman" w:eastAsia="宋体"/>
                <w:sz w:val="21"/>
              </w:rPr>
              <w:t>7.9</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Gd 19.86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5.4234</w:t>
            </w:r>
          </w:p>
        </w:tc>
        <w:tc>
          <w:tcPr>
            <w:tcW w:type="dxa" w:w="1091"/>
          </w:tcPr>
          <w:p>
            <w:pPr>
              <w:spacing w:line="276" w:lineRule="auto" w:after="0" w:before="0"/>
              <w:jc w:val="left"/>
            </w:pPr>
            <w:r/>
            <w:r>
              <w:rPr>
                <w:rFonts w:ascii="Times New Roman" w:hAnsi="Times New Roman" w:eastAsia="宋体"/>
                <w:sz w:val="21"/>
              </w:rPr>
              <w:t>159.53</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6.9</w:t>
            </w:r>
          </w:p>
        </w:tc>
        <w:tc>
          <w:tcPr>
            <w:tcW w:type="dxa" w:w="1091"/>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注：a、V 为拟议精修值，晶胞体积按 a³ 计算（如 5.4245³ = 159.62 Å³）；实测组成与精修参数见 S1、S2。</w:t>
      </w:r>
    </w:p>
    <w:p>
      <w:pPr>
        <w:pStyle w:val="Heading2"/>
        <w:spacing w:before="120" w:after="120" w:line="360" w:lineRule="auto"/>
        <w:jc w:val="left"/>
      </w:pPr>
      <w:r>
        <w:rPr>
          <w:rFonts w:ascii="Times New Roman" w:hAnsi="Times New Roman" w:eastAsia="黑体"/>
          <w:b/>
          <w:sz w:val="26"/>
        </w:rPr>
        <w:t>3.2 低温致密化与微观结构</w:t>
      </w:r>
    </w:p>
    <w:p>
      <w:pPr>
        <w:spacing w:line="360" w:lineRule="auto" w:after="80"/>
        <w:ind w:firstLineChars="200" w:firstLine="480"/>
        <w:jc w:val="both"/>
      </w:pPr>
      <w:r>
        <w:rPr>
          <w:rFonts w:ascii="Times New Roman" w:hAnsi="Times New Roman" w:eastAsia="宋体"/>
          <w:b/>
          <w:sz w:val="24"/>
        </w:rPr>
        <w:t>表 T2（用途：烧结行为、密度与晶粒尺寸权衡）</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烧结温度 / °C</w:t>
            </w:r>
          </w:p>
        </w:tc>
        <w:tc>
          <w:tcPr>
            <w:tcW w:type="dxa" w:w="1091"/>
          </w:tcPr>
          <w:p>
            <w:pPr>
              <w:spacing w:line="276" w:lineRule="auto" w:after="0" w:before="0"/>
              <w:jc w:val="center"/>
            </w:pPr>
            <w:r/>
            <w:r>
              <w:rPr>
                <w:rFonts w:ascii="Times New Roman" w:hAnsi="Times New Roman" w:eastAsia="宋体"/>
                <w:b/>
                <w:sz w:val="21"/>
              </w:rPr>
              <w:t>保温 / h</w:t>
            </w:r>
          </w:p>
        </w:tc>
        <w:tc>
          <w:tcPr>
            <w:tcW w:type="dxa" w:w="1091"/>
          </w:tcPr>
          <w:p>
            <w:pPr>
              <w:spacing w:line="276" w:lineRule="auto" w:after="0" w:before="0"/>
              <w:jc w:val="center"/>
            </w:pPr>
            <w:r/>
            <w:r>
              <w:rPr>
                <w:rFonts w:ascii="Times New Roman" w:hAnsi="Times New Roman" w:eastAsia="宋体"/>
                <w:b/>
                <w:sz w:val="21"/>
              </w:rPr>
              <w:t>密度 / g·cm⁻³</w:t>
            </w:r>
          </w:p>
        </w:tc>
        <w:tc>
          <w:tcPr>
            <w:tcW w:type="dxa" w:w="1091"/>
          </w:tcPr>
          <w:p>
            <w:pPr>
              <w:spacing w:line="276" w:lineRule="auto" w:after="0" w:before="0"/>
              <w:jc w:val="center"/>
            </w:pPr>
            <w:r/>
            <w:r>
              <w:rPr>
                <w:rFonts w:ascii="Times New Roman" w:hAnsi="Times New Roman" w:eastAsia="宋体"/>
                <w:b/>
                <w:sz w:val="21"/>
              </w:rPr>
              <w:t>相对密度*/ %</w:t>
            </w:r>
          </w:p>
        </w:tc>
        <w:tc>
          <w:tcPr>
            <w:tcW w:type="dxa" w:w="1091"/>
          </w:tcPr>
          <w:p>
            <w:pPr>
              <w:spacing w:line="276" w:lineRule="auto" w:after="0" w:before="0"/>
              <w:jc w:val="center"/>
            </w:pPr>
            <w:r/>
            <w:r>
              <w:rPr>
                <w:rFonts w:ascii="Times New Roman" w:hAnsi="Times New Roman" w:eastAsia="宋体"/>
                <w:b/>
                <w:sz w:val="21"/>
              </w:rPr>
              <w:t>晶粒尺寸 / nm（计数粒数）</w:t>
            </w:r>
          </w:p>
        </w:tc>
        <w:tc>
          <w:tcPr>
            <w:tcW w:type="dxa" w:w="1091"/>
          </w:tcPr>
          <w:p>
            <w:pPr>
              <w:spacing w:line="276" w:lineRule="auto" w:after="0" w:before="0"/>
              <w:jc w:val="center"/>
            </w:pPr>
            <w:r/>
            <w:r>
              <w:rPr>
                <w:rFonts w:ascii="Times New Roman" w:hAnsi="Times New Roman" w:eastAsia="宋体"/>
                <w:b/>
                <w:sz w:val="21"/>
              </w:rPr>
              <w:t>孔隙率 / %</w:t>
            </w:r>
          </w:p>
        </w:tc>
        <w:tc>
          <w:tcPr>
            <w:tcW w:type="dxa" w:w="1091"/>
          </w:tcPr>
          <w:p>
            <w:pPr>
              <w:spacing w:line="276" w:lineRule="auto" w:after="0" w:before="0"/>
              <w:jc w:val="center"/>
            </w:pPr>
            <w:r/>
            <w:r>
              <w:rPr>
                <w:rFonts w:ascii="Times New Roman" w:hAnsi="Times New Roman" w:eastAsia="宋体"/>
                <w:b/>
                <w:sz w:val="21"/>
              </w:rPr>
              <w:t>n</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1250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6.85</w:t>
            </w:r>
          </w:p>
        </w:tc>
        <w:tc>
          <w:tcPr>
            <w:tcW w:type="dxa" w:w="1091"/>
          </w:tcPr>
          <w:p>
            <w:pPr>
              <w:spacing w:line="276" w:lineRule="auto" w:after="0" w:before="0"/>
              <w:jc w:val="left"/>
            </w:pPr>
            <w:r/>
            <w:r>
              <w:rPr>
                <w:rFonts w:ascii="Times New Roman" w:hAnsi="Times New Roman" w:eastAsia="宋体"/>
                <w:sz w:val="21"/>
              </w:rPr>
              <w:t>94.6</w:t>
            </w:r>
          </w:p>
        </w:tc>
        <w:tc>
          <w:tcPr>
            <w:tcW w:type="dxa" w:w="1091"/>
          </w:tcPr>
          <w:p>
            <w:pPr>
              <w:spacing w:line="276" w:lineRule="auto" w:after="0" w:before="0"/>
              <w:jc w:val="left"/>
            </w:pPr>
            <w:r/>
            <w:r>
              <w:rPr>
                <w:rFonts w:ascii="Times New Roman" w:hAnsi="Times New Roman" w:eastAsia="宋体"/>
                <w:sz w:val="21"/>
              </w:rPr>
              <w:t>150 ± 20（n = 250）</w:t>
            </w:r>
          </w:p>
        </w:tc>
        <w:tc>
          <w:tcPr>
            <w:tcW w:type="dxa" w:w="1091"/>
          </w:tcPr>
          <w:p>
            <w:pPr>
              <w:spacing w:line="276" w:lineRule="auto" w:after="0" w:before="0"/>
              <w:jc w:val="left"/>
            </w:pPr>
            <w:r/>
            <w:r>
              <w:rPr>
                <w:rFonts w:ascii="Times New Roman" w:hAnsi="Times New Roman" w:eastAsia="宋体"/>
                <w:sz w:val="21"/>
              </w:rPr>
              <w:t>5.4</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7.07</w:t>
            </w:r>
          </w:p>
        </w:tc>
        <w:tc>
          <w:tcPr>
            <w:tcW w:type="dxa" w:w="1091"/>
          </w:tcPr>
          <w:p>
            <w:pPr>
              <w:spacing w:line="276" w:lineRule="auto" w:after="0" w:before="0"/>
              <w:jc w:val="left"/>
            </w:pPr>
            <w:r/>
            <w:r>
              <w:rPr>
                <w:rFonts w:ascii="Times New Roman" w:hAnsi="Times New Roman" w:eastAsia="宋体"/>
                <w:sz w:val="21"/>
              </w:rPr>
              <w:t>97.6</w:t>
            </w:r>
          </w:p>
        </w:tc>
        <w:tc>
          <w:tcPr>
            <w:tcW w:type="dxa" w:w="1091"/>
          </w:tcPr>
          <w:p>
            <w:pPr>
              <w:spacing w:line="276" w:lineRule="auto" w:after="0" w:before="0"/>
              <w:jc w:val="left"/>
            </w:pPr>
            <w:r/>
            <w:r>
              <w:rPr>
                <w:rFonts w:ascii="Times New Roman" w:hAnsi="Times New Roman" w:eastAsia="宋体"/>
                <w:sz w:val="21"/>
              </w:rPr>
              <w:t>250 ± 35（n = 280）</w:t>
            </w:r>
          </w:p>
        </w:tc>
        <w:tc>
          <w:tcPr>
            <w:tcW w:type="dxa" w:w="1091"/>
          </w:tcPr>
          <w:p>
            <w:pPr>
              <w:spacing w:line="276" w:lineRule="auto" w:after="0" w:before="0"/>
              <w:jc w:val="left"/>
            </w:pPr>
            <w:r/>
            <w:r>
              <w:rPr>
                <w:rFonts w:ascii="Times New Roman" w:hAnsi="Times New Roman" w:eastAsia="宋体"/>
                <w:sz w:val="21"/>
              </w:rPr>
              <w:t>2.4</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7.05</w:t>
            </w:r>
          </w:p>
        </w:tc>
        <w:tc>
          <w:tcPr>
            <w:tcW w:type="dxa" w:w="1091"/>
          </w:tcPr>
          <w:p>
            <w:pPr>
              <w:spacing w:line="276" w:lineRule="auto" w:after="0" w:before="0"/>
              <w:jc w:val="left"/>
            </w:pPr>
            <w:r/>
            <w:r>
              <w:rPr>
                <w:rFonts w:ascii="Times New Roman" w:hAnsi="Times New Roman" w:eastAsia="宋体"/>
                <w:sz w:val="21"/>
              </w:rPr>
              <w:t>97.4</w:t>
            </w:r>
          </w:p>
        </w:tc>
        <w:tc>
          <w:tcPr>
            <w:tcW w:type="dxa" w:w="1091"/>
          </w:tcPr>
          <w:p>
            <w:pPr>
              <w:spacing w:line="276" w:lineRule="auto" w:after="0" w:before="0"/>
              <w:jc w:val="left"/>
            </w:pPr>
            <w:r/>
            <w:r>
              <w:rPr>
                <w:rFonts w:ascii="Times New Roman" w:hAnsi="Times New Roman" w:eastAsia="宋体"/>
                <w:sz w:val="21"/>
              </w:rPr>
              <w:t>235 ± 30（n = 260）</w:t>
            </w:r>
          </w:p>
        </w:tc>
        <w:tc>
          <w:tcPr>
            <w:tcW w:type="dxa" w:w="1091"/>
          </w:tcPr>
          <w:p>
            <w:pPr>
              <w:spacing w:line="276" w:lineRule="auto" w:after="0" w:before="0"/>
              <w:jc w:val="left"/>
            </w:pPr>
            <w:r/>
            <w:r>
              <w:rPr>
                <w:rFonts w:ascii="Times New Roman" w:hAnsi="Times New Roman" w:eastAsia="宋体"/>
                <w:sz w:val="21"/>
              </w:rPr>
              <w:t>2.6</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2</w:t>
            </w:r>
          </w:p>
        </w:tc>
        <w:tc>
          <w:tcPr>
            <w:tcW w:type="dxa" w:w="1091"/>
          </w:tcPr>
          <w:p>
            <w:pPr>
              <w:spacing w:line="276" w:lineRule="auto" w:after="0" w:before="0"/>
              <w:jc w:val="left"/>
            </w:pPr>
            <w:r/>
            <w:r>
              <w:rPr>
                <w:rFonts w:ascii="Times New Roman" w:hAnsi="Times New Roman" w:eastAsia="宋体"/>
                <w:sz w:val="21"/>
              </w:rPr>
              <w:t>7.01</w:t>
            </w:r>
          </w:p>
        </w:tc>
        <w:tc>
          <w:tcPr>
            <w:tcW w:type="dxa" w:w="1091"/>
          </w:tcPr>
          <w:p>
            <w:pPr>
              <w:spacing w:line="276" w:lineRule="auto" w:after="0" w:before="0"/>
              <w:jc w:val="left"/>
            </w:pPr>
            <w:r/>
            <w:r>
              <w:rPr>
                <w:rFonts w:ascii="Times New Roman" w:hAnsi="Times New Roman" w:eastAsia="宋体"/>
                <w:sz w:val="21"/>
              </w:rPr>
              <w:t>96.8</w:t>
            </w:r>
          </w:p>
        </w:tc>
        <w:tc>
          <w:tcPr>
            <w:tcW w:type="dxa" w:w="1091"/>
          </w:tcPr>
          <w:p>
            <w:pPr>
              <w:spacing w:line="276" w:lineRule="auto" w:after="0" w:before="0"/>
              <w:jc w:val="left"/>
            </w:pPr>
            <w:r/>
            <w:r>
              <w:rPr>
                <w:rFonts w:ascii="Times New Roman" w:hAnsi="Times New Roman" w:eastAsia="宋体"/>
                <w:sz w:val="21"/>
              </w:rPr>
              <w:t>215 ± 28（n = 240）</w:t>
            </w:r>
          </w:p>
        </w:tc>
        <w:tc>
          <w:tcPr>
            <w:tcW w:type="dxa" w:w="1091"/>
          </w:tcPr>
          <w:p>
            <w:pPr>
              <w:spacing w:line="276" w:lineRule="auto" w:after="0" w:before="0"/>
              <w:jc w:val="left"/>
            </w:pPr>
            <w:r/>
            <w:r>
              <w:rPr>
                <w:rFonts w:ascii="Times New Roman" w:hAnsi="Times New Roman" w:eastAsia="宋体"/>
                <w:sz w:val="21"/>
              </w:rPr>
              <w:t>3.2</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7.09</w:t>
            </w:r>
          </w:p>
        </w:tc>
        <w:tc>
          <w:tcPr>
            <w:tcW w:type="dxa" w:w="1091"/>
          </w:tcPr>
          <w:p>
            <w:pPr>
              <w:spacing w:line="276" w:lineRule="auto" w:after="0" w:before="0"/>
              <w:jc w:val="left"/>
            </w:pPr>
            <w:r/>
            <w:r>
              <w:rPr>
                <w:rFonts w:ascii="Times New Roman" w:hAnsi="Times New Roman" w:eastAsia="宋体"/>
                <w:sz w:val="21"/>
              </w:rPr>
              <w:t>97.9</w:t>
            </w:r>
          </w:p>
        </w:tc>
        <w:tc>
          <w:tcPr>
            <w:tcW w:type="dxa" w:w="1091"/>
          </w:tcPr>
          <w:p>
            <w:pPr>
              <w:spacing w:line="276" w:lineRule="auto" w:after="0" w:before="0"/>
              <w:jc w:val="left"/>
            </w:pPr>
            <w:r/>
            <w:r>
              <w:rPr>
                <w:rFonts w:ascii="Times New Roman" w:hAnsi="Times New Roman" w:eastAsia="宋体"/>
                <w:sz w:val="21"/>
              </w:rPr>
              <w:t>280 ± 40（n = 300）</w:t>
            </w:r>
          </w:p>
        </w:tc>
        <w:tc>
          <w:tcPr>
            <w:tcW w:type="dxa" w:w="1091"/>
          </w:tcPr>
          <w:p>
            <w:pPr>
              <w:spacing w:line="276" w:lineRule="auto" w:after="0" w:before="0"/>
              <w:jc w:val="left"/>
            </w:pPr>
            <w:r/>
            <w:r>
              <w:rPr>
                <w:rFonts w:ascii="Times New Roman" w:hAnsi="Times New Roman" w:eastAsia="宋体"/>
                <w:sz w:val="21"/>
              </w:rPr>
              <w:t>2.1</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1350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7.12</w:t>
            </w:r>
          </w:p>
        </w:tc>
        <w:tc>
          <w:tcPr>
            <w:tcW w:type="dxa" w:w="1091"/>
          </w:tcPr>
          <w:p>
            <w:pPr>
              <w:spacing w:line="276" w:lineRule="auto" w:after="0" w:before="0"/>
              <w:jc w:val="left"/>
            </w:pPr>
            <w:r/>
            <w:r>
              <w:rPr>
                <w:rFonts w:ascii="Times New Roman" w:hAnsi="Times New Roman" w:eastAsia="宋体"/>
                <w:sz w:val="21"/>
              </w:rPr>
              <w:t>98.3</w:t>
            </w:r>
          </w:p>
        </w:tc>
        <w:tc>
          <w:tcPr>
            <w:tcW w:type="dxa" w:w="1091"/>
          </w:tcPr>
          <w:p>
            <w:pPr>
              <w:spacing w:line="276" w:lineRule="auto" w:after="0" w:before="0"/>
              <w:jc w:val="left"/>
            </w:pPr>
            <w:r/>
            <w:r>
              <w:rPr>
                <w:rFonts w:ascii="Times New Roman" w:hAnsi="Times New Roman" w:eastAsia="宋体"/>
                <w:sz w:val="21"/>
              </w:rPr>
              <w:t>390 ± 55（n = 260）</w:t>
            </w:r>
          </w:p>
        </w:tc>
        <w:tc>
          <w:tcPr>
            <w:tcW w:type="dxa" w:w="1091"/>
          </w:tcPr>
          <w:p>
            <w:pPr>
              <w:spacing w:line="276" w:lineRule="auto" w:after="0" w:before="0"/>
              <w:jc w:val="left"/>
            </w:pPr>
            <w:r/>
            <w:r>
              <w:rPr>
                <w:rFonts w:ascii="Times New Roman" w:hAnsi="Times New Roman" w:eastAsia="宋体"/>
                <w:sz w:val="21"/>
              </w:rPr>
              <w:t>1.7</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7.11</w:t>
            </w:r>
          </w:p>
        </w:tc>
        <w:tc>
          <w:tcPr>
            <w:tcW w:type="dxa" w:w="1091"/>
          </w:tcPr>
          <w:p>
            <w:pPr>
              <w:spacing w:line="276" w:lineRule="auto" w:after="0" w:before="0"/>
              <w:jc w:val="left"/>
            </w:pPr>
            <w:r/>
            <w:r>
              <w:rPr>
                <w:rFonts w:ascii="Times New Roman" w:hAnsi="Times New Roman" w:eastAsia="宋体"/>
                <w:sz w:val="21"/>
              </w:rPr>
              <w:t>98.2</w:t>
            </w:r>
          </w:p>
        </w:tc>
        <w:tc>
          <w:tcPr>
            <w:tcW w:type="dxa" w:w="1091"/>
          </w:tcPr>
          <w:p>
            <w:pPr>
              <w:spacing w:line="276" w:lineRule="auto" w:after="0" w:before="0"/>
              <w:jc w:val="left"/>
            </w:pPr>
            <w:r/>
            <w:r>
              <w:rPr>
                <w:rFonts w:ascii="Times New Roman" w:hAnsi="Times New Roman" w:eastAsia="宋体"/>
                <w:sz w:val="21"/>
              </w:rPr>
              <w:t>415 ± 58（n = 250）</w:t>
            </w:r>
          </w:p>
        </w:tc>
        <w:tc>
          <w:tcPr>
            <w:tcW w:type="dxa" w:w="1091"/>
          </w:tcPr>
          <w:p>
            <w:pPr>
              <w:spacing w:line="276" w:lineRule="auto" w:after="0" w:before="0"/>
              <w:jc w:val="left"/>
            </w:pPr>
            <w:r/>
            <w:r>
              <w:rPr>
                <w:rFonts w:ascii="Times New Roman" w:hAnsi="Times New Roman" w:eastAsia="宋体"/>
                <w:sz w:val="21"/>
              </w:rPr>
              <w:t>1.8</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GDC20-1Co</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7.10</w:t>
            </w:r>
          </w:p>
        </w:tc>
        <w:tc>
          <w:tcPr>
            <w:tcW w:type="dxa" w:w="1091"/>
          </w:tcPr>
          <w:p>
            <w:pPr>
              <w:spacing w:line="276" w:lineRule="auto" w:after="0" w:before="0"/>
              <w:jc w:val="left"/>
            </w:pPr>
            <w:r/>
            <w:r>
              <w:rPr>
                <w:rFonts w:ascii="Times New Roman" w:hAnsi="Times New Roman" w:eastAsia="宋体"/>
                <w:sz w:val="21"/>
              </w:rPr>
              <w:t>98.1</w:t>
            </w:r>
          </w:p>
        </w:tc>
        <w:tc>
          <w:tcPr>
            <w:tcW w:type="dxa" w:w="1091"/>
          </w:tcPr>
          <w:p>
            <w:pPr>
              <w:spacing w:line="276" w:lineRule="auto" w:after="0" w:before="0"/>
              <w:jc w:val="left"/>
            </w:pPr>
            <w:r/>
            <w:r>
              <w:rPr>
                <w:rFonts w:ascii="Times New Roman" w:hAnsi="Times New Roman" w:eastAsia="宋体"/>
                <w:sz w:val="21"/>
              </w:rPr>
              <w:t>610 ± 85（n = 210）</w:t>
            </w:r>
          </w:p>
        </w:tc>
        <w:tc>
          <w:tcPr>
            <w:tcW w:type="dxa" w:w="1091"/>
          </w:tcPr>
          <w:p>
            <w:pPr>
              <w:spacing w:line="276" w:lineRule="auto" w:after="0" w:before="0"/>
              <w:jc w:val="left"/>
            </w:pPr>
            <w:r/>
            <w:r>
              <w:rPr>
                <w:rFonts w:ascii="Times New Roman" w:hAnsi="Times New Roman" w:eastAsia="宋体"/>
                <w:sz w:val="21"/>
              </w:rPr>
              <w:t>1.9</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1400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7.13</w:t>
            </w:r>
          </w:p>
        </w:tc>
        <w:tc>
          <w:tcPr>
            <w:tcW w:type="dxa" w:w="1091"/>
          </w:tcPr>
          <w:p>
            <w:pPr>
              <w:spacing w:line="276" w:lineRule="auto" w:after="0" w:before="0"/>
              <w:jc w:val="left"/>
            </w:pPr>
            <w:r/>
            <w:r>
              <w:rPr>
                <w:rFonts w:ascii="Times New Roman" w:hAnsi="Times New Roman" w:eastAsia="宋体"/>
                <w:sz w:val="21"/>
              </w:rPr>
              <w:t>98.5</w:t>
            </w:r>
          </w:p>
        </w:tc>
        <w:tc>
          <w:tcPr>
            <w:tcW w:type="dxa" w:w="1091"/>
          </w:tcPr>
          <w:p>
            <w:pPr>
              <w:spacing w:line="276" w:lineRule="auto" w:after="0" w:before="0"/>
              <w:jc w:val="left"/>
            </w:pPr>
            <w:r/>
            <w:r>
              <w:rPr>
                <w:rFonts w:ascii="Times New Roman" w:hAnsi="Times New Roman" w:eastAsia="宋体"/>
                <w:sz w:val="21"/>
              </w:rPr>
              <w:t>900 ± 120（n = 200）</w:t>
            </w:r>
          </w:p>
        </w:tc>
        <w:tc>
          <w:tcPr>
            <w:tcW w:type="dxa" w:w="1091"/>
          </w:tcPr>
          <w:p>
            <w:pPr>
              <w:spacing w:line="276" w:lineRule="auto" w:after="0" w:before="0"/>
              <w:jc w:val="left"/>
            </w:pPr>
            <w:r/>
            <w:r>
              <w:rPr>
                <w:rFonts w:ascii="Times New Roman" w:hAnsi="Times New Roman" w:eastAsia="宋体"/>
                <w:sz w:val="21"/>
              </w:rPr>
              <w:t>1.5</w:t>
            </w:r>
          </w:p>
        </w:tc>
        <w:tc>
          <w:tcPr>
            <w:tcW w:type="dxa" w:w="1091"/>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注：*相对密度 = 阿基米德密度/理论密度 7.24 g·cm⁻³（由 a = 5.4236 Å、Z = 4、M = 173.94 g·mol⁻¹ 算得：ρ = 4×173.94/(6.022×10²³×1.5954×10⁻²²) = 7.24 g·cm⁻³），例：7.09/7.24 = 97.9%。所有数值为拟议值，待实验确认。</w:t>
      </w:r>
    </w:p>
    <w:p>
      <w:pPr>
        <w:spacing w:line="360" w:lineRule="auto" w:after="80"/>
        <w:ind w:firstLineChars="200" w:firstLine="480"/>
        <w:jc w:val="both"/>
      </w:pPr>
      <w:r>
        <w:rPr>
          <w:rFonts w:ascii="Times New Roman" w:hAnsi="Times New Roman" w:eastAsia="宋体"/>
          <w:sz w:val="24"/>
        </w:rPr>
        <w:t>该组数据支持判据 2 的拟议结论：1300 °C/4 h 烧结的 GDC20-Ca2 相对密度 97.9%，与 1400 °C 常规烧结对照组（98.5%）仅差 0.6 个百分点，即 Ca 共掺使致密化温度下移约 100 °C 而基本不牺牲密度。同时，Co 助烧组虽同样达到 98.1%，其晶粒尺寸（610 nm）约为 Ca 组的 2.2 倍，这种晶粒粗化是后续体相电导劣化（3.3 节）的直接来源，构成「Ca 共掺 vs 助烧剂」两条路线的关键差异 [8][9]。</w:t>
      </w:r>
    </w:p>
    <w:p>
      <w:pPr>
        <w:pStyle w:val="Heading2"/>
        <w:spacing w:before="120" w:after="120" w:line="360" w:lineRule="auto"/>
        <w:jc w:val="left"/>
      </w:pPr>
      <w:r>
        <w:rPr>
          <w:rFonts w:ascii="Times New Roman" w:hAnsi="Times New Roman" w:eastAsia="黑体"/>
          <w:b/>
          <w:sz w:val="26"/>
        </w:rPr>
        <w:t>3.3 体相与晶界离子传导</w:t>
      </w:r>
    </w:p>
    <w:p>
      <w:pPr>
        <w:spacing w:line="360" w:lineRule="auto" w:after="80"/>
        <w:ind w:firstLineChars="200" w:firstLine="480"/>
        <w:jc w:val="both"/>
      </w:pPr>
      <w:r>
        <w:rPr>
          <w:rFonts w:ascii="Times New Roman" w:hAnsi="Times New Roman" w:eastAsia="宋体"/>
          <w:b/>
          <w:sz w:val="24"/>
        </w:rPr>
        <w:t>表 T3（用途：总电导率与温度依赖性，空气气氛，片厚 1.0 mm）</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T / °C</w:t>
            </w:r>
          </w:p>
        </w:tc>
        <w:tc>
          <w:tcPr>
            <w:tcW w:type="dxa" w:w="1091"/>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r>
              <w:rPr>
                <w:rFonts w:ascii="Times New Roman" w:hAnsi="Times New Roman" w:eastAsia="宋体"/>
                <w:b/>
                <w:sz w:val="21"/>
              </w:rPr>
              <w:t xml:space="preserve"> / S·cm⁻¹</w:t>
            </w:r>
          </w:p>
        </w:tc>
        <w:tc>
          <w:tcPr>
            <w:tcW w:type="dxa" w:w="1091"/>
          </w:tcPr>
          <w:p>
            <w:pPr>
              <w:spacing w:line="276" w:lineRule="auto" w:after="0" w:before="0"/>
              <w:jc w:val="center"/>
            </w:pPr>
            <w:r/>
            <w:r>
              <w:rPr>
                <w:rFonts w:ascii="Times New Roman" w:hAnsi="Times New Roman" w:eastAsia="宋体"/>
                <w:b/>
                <w:sz w:val="21"/>
              </w:rPr>
              <w:t>Ea / eV</w:t>
            </w:r>
          </w:p>
        </w:tc>
        <w:tc>
          <w:tcPr>
            <w:tcW w:type="dxa" w:w="1091"/>
          </w:tcPr>
          <w:p>
            <w:pPr>
              <w:spacing w:line="276" w:lineRule="auto" w:after="0" w:before="0"/>
              <w:jc w:val="center"/>
            </w:pPr>
            <w:r/>
            <w:r>
              <w:rPr>
                <w:rFonts w:ascii="Times New Roman" w:hAnsi="Times New Roman" w:eastAsia="宋体"/>
                <w:b/>
                <w:sz w:val="21"/>
              </w:rPr>
              <w:t>气氛</w:t>
            </w:r>
          </w:p>
        </w:tc>
        <w:tc>
          <w:tcPr>
            <w:tcW w:type="dxa" w:w="1091"/>
          </w:tcPr>
          <w:p>
            <w:pPr>
              <w:spacing w:line="276" w:lineRule="auto" w:after="0" w:before="0"/>
              <w:jc w:val="center"/>
            </w:pPr>
            <w:r/>
            <w:r>
              <w:rPr>
                <w:rFonts w:ascii="Times New Roman" w:hAnsi="Times New Roman" w:eastAsia="宋体"/>
                <w:b/>
                <w:sz w:val="21"/>
              </w:rPr>
              <w:t>厚度 / μm</w:t>
            </w:r>
          </w:p>
        </w:tc>
        <w:tc>
          <w:tcPr>
            <w:tcW w:type="dxa" w:w="1091"/>
          </w:tcPr>
          <w:p>
            <w:pPr>
              <w:spacing w:line="276" w:lineRule="auto" w:after="0" w:before="0"/>
              <w:jc w:val="center"/>
            </w:pPr>
            <w:r/>
            <w:r>
              <w:rPr>
                <w:rFonts w:ascii="Times New Roman" w:hAnsi="Times New Roman" w:eastAsia="宋体"/>
                <w:b/>
                <w:sz w:val="21"/>
              </w:rPr>
              <w:t>n</w:t>
            </w:r>
          </w:p>
        </w:tc>
        <w:tc>
          <w:tcPr>
            <w:tcW w:type="dxa" w:w="1091"/>
          </w:tcPr>
          <w:p>
            <w:pPr>
              <w:spacing w:line="276" w:lineRule="auto" w:after="0" w:before="0"/>
              <w:jc w:val="center"/>
            </w:pPr>
            <w:r/>
            <w:r>
              <w:rPr>
                <w:rFonts w:ascii="Times New Roman" w:hAnsi="Times New Roman" w:eastAsia="宋体"/>
                <w:b/>
                <w:sz w:val="21"/>
              </w:rPr>
              <w:t>mean ± SD</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500</w:t>
            </w:r>
          </w:p>
        </w:tc>
        <w:tc>
          <w:tcPr>
            <w:tcW w:type="dxa" w:w="1091"/>
          </w:tcPr>
          <w:p>
            <w:pPr>
              <w:spacing w:line="276" w:lineRule="auto" w:after="0" w:before="0"/>
              <w:jc w:val="left"/>
            </w:pPr>
            <w:r/>
            <w:r>
              <w:rPr>
                <w:rFonts w:ascii="Times New Roman" w:hAnsi="Times New Roman" w:eastAsia="宋体"/>
                <w:sz w:val="21"/>
              </w:rPr>
              <w:t>4.18×10⁻³</w:t>
            </w:r>
          </w:p>
        </w:tc>
        <w:tc>
          <w:tcPr>
            <w:tcW w:type="dxa" w:w="1091"/>
          </w:tcPr>
          <w:p>
            <w:pPr>
              <w:spacing w:line="276" w:lineRule="auto" w:after="0" w:before="0"/>
              <w:jc w:val="left"/>
            </w:pPr>
            <w:r/>
            <w:r>
              <w:rPr>
                <w:rFonts w:ascii="Times New Roman" w:hAnsi="Times New Roman" w:eastAsia="宋体"/>
                <w:sz w:val="21"/>
              </w:rPr>
              <w:t>0.96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2.13×10⁻²</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4%</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700</w:t>
            </w:r>
          </w:p>
        </w:tc>
        <w:tc>
          <w:tcPr>
            <w:tcW w:type="dxa" w:w="1091"/>
          </w:tcPr>
          <w:p>
            <w:pPr>
              <w:spacing w:line="276" w:lineRule="auto" w:after="0" w:before="0"/>
              <w:jc w:val="left"/>
            </w:pPr>
            <w:r/>
            <w:r>
              <w:rPr>
                <w:rFonts w:ascii="Times New Roman" w:hAnsi="Times New Roman" w:eastAsia="宋体"/>
                <w:sz w:val="21"/>
              </w:rPr>
              <w:t>7.51×10⁻²</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4%</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1.09×10⁻²</w:t>
            </w:r>
          </w:p>
        </w:tc>
        <w:tc>
          <w:tcPr>
            <w:tcW w:type="dxa" w:w="1091"/>
          </w:tcPr>
          <w:p>
            <w:pPr>
              <w:spacing w:line="276" w:lineRule="auto" w:after="0" w:before="0"/>
              <w:jc w:val="left"/>
            </w:pPr>
            <w:r/>
            <w:r>
              <w:rPr>
                <w:rFonts w:ascii="Times New Roman" w:hAnsi="Times New Roman" w:eastAsia="宋体"/>
                <w:sz w:val="21"/>
              </w:rPr>
              <w:t>1.12 ± 0.03</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2.05×10⁻²</w:t>
            </w:r>
          </w:p>
        </w:tc>
        <w:tc>
          <w:tcPr>
            <w:tcW w:type="dxa" w:w="1091"/>
          </w:tcPr>
          <w:p>
            <w:pPr>
              <w:spacing w:line="276" w:lineRule="auto" w:after="0" w:before="0"/>
              <w:jc w:val="left"/>
            </w:pPr>
            <w:r/>
            <w:r>
              <w:rPr>
                <w:rFonts w:ascii="Times New Roman" w:hAnsi="Times New Roman" w:eastAsia="宋体"/>
                <w:sz w:val="21"/>
              </w:rPr>
              <w:t>0.91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4%</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1.43×10⁻²</w:t>
            </w:r>
          </w:p>
        </w:tc>
        <w:tc>
          <w:tcPr>
            <w:tcW w:type="dxa" w:w="1091"/>
          </w:tcPr>
          <w:p>
            <w:pPr>
              <w:spacing w:line="276" w:lineRule="auto" w:after="0" w:before="0"/>
              <w:jc w:val="left"/>
            </w:pPr>
            <w:r/>
            <w:r>
              <w:rPr>
                <w:rFonts w:ascii="Times New Roman" w:hAnsi="Times New Roman" w:eastAsia="宋体"/>
                <w:sz w:val="21"/>
              </w:rPr>
              <w:t>1.03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1.76×10⁻²</w:t>
            </w:r>
          </w:p>
        </w:tc>
        <w:tc>
          <w:tcPr>
            <w:tcW w:type="dxa" w:w="1091"/>
          </w:tcPr>
          <w:p>
            <w:pPr>
              <w:spacing w:line="276" w:lineRule="auto" w:after="0" w:before="0"/>
              <w:jc w:val="left"/>
            </w:pPr>
            <w:r/>
            <w:r>
              <w:rPr>
                <w:rFonts w:ascii="Times New Roman" w:hAnsi="Times New Roman" w:eastAsia="宋体"/>
                <w:sz w:val="21"/>
              </w:rPr>
              <w:t>0.95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r>
        <w:tc>
          <w:tcPr>
            <w:tcW w:type="dxa" w:w="1091"/>
          </w:tcPr>
          <w:p>
            <w:pPr>
              <w:spacing w:line="276" w:lineRule="auto" w:after="0" w:before="0"/>
              <w:jc w:val="left"/>
            </w:pPr>
            <w:r/>
            <w:r>
              <w:rPr>
                <w:rFonts w:ascii="Times New Roman" w:hAnsi="Times New Roman" w:eastAsia="宋体"/>
                <w:sz w:val="21"/>
              </w:rPr>
              <w:t>GDC20-1Co</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1.47×10⁻²</w:t>
            </w:r>
          </w:p>
        </w:tc>
        <w:tc>
          <w:tcPr>
            <w:tcW w:type="dxa" w:w="1091"/>
          </w:tcPr>
          <w:p>
            <w:pPr>
              <w:spacing w:line="276" w:lineRule="auto" w:after="0" w:before="0"/>
              <w:jc w:val="left"/>
            </w:pPr>
            <w:r/>
            <w:r>
              <w:rPr>
                <w:rFonts w:ascii="Times New Roman" w:hAnsi="Times New Roman" w:eastAsia="宋体"/>
                <w:sz w:val="21"/>
              </w:rPr>
              <w:t>1.07 ± 0.03</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bl>
    <w:p>
      <w:pPr>
        <w:spacing w:after="80"/>
      </w:pPr>
    </w:p>
    <w:p>
      <w:pPr>
        <w:spacing w:line="360" w:lineRule="auto" w:after="80"/>
        <w:ind w:firstLineChars="200" w:firstLine="480"/>
        <w:jc w:val="both"/>
      </w:pPr>
      <w:r>
        <w:rPr>
          <w:rFonts w:ascii="Times New Roman" w:hAnsi="Times New Roman" w:eastAsia="宋体"/>
          <w:b/>
          <w:sz w:val="24"/>
        </w:rPr>
        <w:t>表 T4（用途：体相/晶界电阻分离，EIS + DRT，600 °C、空气、Pt 阻塞电极、片厚 1.0 mm）</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温度 / °C</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b</w:t>
            </w:r>
            <w:r>
              <w:rPr>
                <w:rFonts w:ascii="Times New Roman" w:hAnsi="Times New Roman" w:eastAsia="宋体"/>
                <w:b/>
                <w:sz w:val="21"/>
              </w:rPr>
              <w:t xml:space="preserve"> / Ω·cm²</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gb</w:t>
            </w:r>
            <w:r>
              <w:rPr>
                <w:rFonts w:ascii="Times New Roman" w:hAnsi="Times New Roman" w:eastAsia="宋体"/>
                <w:b/>
                <w:sz w:val="21"/>
              </w:rPr>
              <w:t xml:space="preserve"> / Ω·cm²</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gb</w:t>
            </w:r>
            <w:r>
              <w:rPr>
                <w:rFonts w:ascii="Times New Roman" w:hAnsi="Times New Roman" w:eastAsia="宋体"/>
                <w:b/>
                <w:sz w:val="21"/>
              </w:rPr>
              <w:t xml:space="preserve"> 占比 / %</w:t>
            </w:r>
          </w:p>
        </w:tc>
        <w:tc>
          <w:tcPr>
            <w:tcW w:type="dxa" w:w="1091"/>
          </w:tcPr>
          <w:p>
            <w:pPr>
              <w:spacing w:line="276" w:lineRule="auto" w:after="0" w:before="0"/>
              <w:jc w:val="center"/>
            </w:pPr>
            <w:r/>
            <w:r>
              <w:rPr>
                <w:rFonts w:ascii="Times New Roman" w:hAnsi="Times New Roman" w:eastAsia="宋体"/>
                <w:b/>
                <w:sz w:val="21"/>
              </w:rPr>
              <w:t>CPE</w:t>
            </w:r>
            <w:r>
              <w:rPr>
                <w:rFonts w:ascii="Times New Roman" w:hAnsi="Times New Roman" w:eastAsia="宋体"/>
                <w:sz w:val="21"/>
                <w:vertAlign w:val="subscript"/>
              </w:rPr>
              <w:t>gb</w:t>
            </w:r>
            <w:r>
              <w:rPr>
                <w:rFonts w:ascii="Times New Roman" w:hAnsi="Times New Roman" w:eastAsia="宋体"/>
                <w:b/>
                <w:sz w:val="21"/>
              </w:rPr>
              <w:t>（Q / F·cm⁻²·sⁿ⁻¹；n）</w:t>
            </w:r>
          </w:p>
        </w:tc>
        <w:tc>
          <w:tcPr>
            <w:tcW w:type="dxa" w:w="1091"/>
          </w:tcPr>
          <w:p>
            <w:pPr>
              <w:spacing w:line="276" w:lineRule="auto" w:after="0" w:before="0"/>
              <w:jc w:val="center"/>
            </w:pPr>
            <w:r/>
            <w:r>
              <w:rPr>
                <w:rFonts w:ascii="Times New Roman" w:hAnsi="Times New Roman" w:eastAsia="宋体"/>
                <w:b/>
                <w:sz w:val="21"/>
              </w:rPr>
              <w:t>ASR</w:t>
            </w:r>
            <w:r>
              <w:rPr>
                <w:rFonts w:ascii="Times New Roman" w:hAnsi="Times New Roman" w:eastAsia="宋体"/>
                <w:sz w:val="21"/>
                <w:vertAlign w:val="subscript"/>
              </w:rPr>
              <w:t>total</w:t>
            </w:r>
            <w:r>
              <w:rPr>
                <w:rFonts w:ascii="Times New Roman" w:hAnsi="Times New Roman" w:eastAsia="宋体"/>
                <w:b/>
                <w:sz w:val="21"/>
              </w:rPr>
              <w:t xml:space="preserve"> / Ω·cm²</w:t>
            </w:r>
          </w:p>
        </w:tc>
        <w:tc>
          <w:tcPr>
            <w:tcW w:type="dxa" w:w="1091"/>
          </w:tcPr>
          <w:p>
            <w:pPr>
              <w:spacing w:line="276" w:lineRule="auto" w:after="0" w:before="0"/>
              <w:jc w:val="center"/>
            </w:pPr>
            <w:r/>
            <w:r>
              <w:rPr>
                <w:rFonts w:ascii="Times New Roman" w:hAnsi="Times New Roman" w:eastAsia="宋体"/>
                <w:b/>
                <w:sz w:val="21"/>
              </w:rPr>
              <w:t>n</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0.0238</w:t>
            </w:r>
          </w:p>
        </w:tc>
        <w:tc>
          <w:tcPr>
            <w:tcW w:type="dxa" w:w="1091"/>
          </w:tcPr>
          <w:p>
            <w:pPr>
              <w:spacing w:line="276" w:lineRule="auto" w:after="0" w:before="0"/>
              <w:jc w:val="left"/>
            </w:pPr>
            <w:r/>
            <w:r>
              <w:rPr>
                <w:rFonts w:ascii="Times New Roman" w:hAnsi="Times New Roman" w:eastAsia="宋体"/>
                <w:sz w:val="21"/>
              </w:rPr>
              <w:t>0.0233</w:t>
            </w:r>
          </w:p>
        </w:tc>
        <w:tc>
          <w:tcPr>
            <w:tcW w:type="dxa" w:w="1091"/>
          </w:tcPr>
          <w:p>
            <w:pPr>
              <w:spacing w:line="276" w:lineRule="auto" w:after="0" w:before="0"/>
              <w:jc w:val="left"/>
            </w:pPr>
            <w:r/>
            <w:r>
              <w:rPr>
                <w:rFonts w:ascii="Times New Roman" w:hAnsi="Times New Roman" w:eastAsia="宋体"/>
                <w:sz w:val="21"/>
              </w:rPr>
              <w:t>49.4</w:t>
            </w:r>
          </w:p>
        </w:tc>
        <w:tc>
          <w:tcPr>
            <w:tcW w:type="dxa" w:w="1091"/>
          </w:tcPr>
          <w:p>
            <w:pPr>
              <w:spacing w:line="276" w:lineRule="auto" w:after="0" w:before="0"/>
              <w:jc w:val="left"/>
            </w:pPr>
            <w:r/>
            <w:r>
              <w:rPr>
                <w:rFonts w:ascii="Times New Roman" w:hAnsi="Times New Roman" w:eastAsia="宋体"/>
                <w:sz w:val="21"/>
              </w:rPr>
              <w:t>3.1×10⁻⁸；0.86</w:t>
            </w:r>
          </w:p>
        </w:tc>
        <w:tc>
          <w:tcPr>
            <w:tcW w:type="dxa" w:w="1091"/>
          </w:tcPr>
          <w:p>
            <w:pPr>
              <w:spacing w:line="276" w:lineRule="auto" w:after="0" w:before="0"/>
              <w:jc w:val="left"/>
            </w:pPr>
            <w:r/>
            <w:r>
              <w:rPr>
                <w:rFonts w:ascii="Times New Roman" w:hAnsi="Times New Roman" w:eastAsia="宋体"/>
                <w:sz w:val="21"/>
              </w:rPr>
              <w:t>0.0471</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400</w:t>
            </w:r>
          </w:p>
        </w:tc>
        <w:tc>
          <w:tcPr>
            <w:tcW w:type="dxa" w:w="1091"/>
          </w:tcPr>
          <w:p>
            <w:pPr>
              <w:spacing w:line="276" w:lineRule="auto" w:after="0" w:before="0"/>
              <w:jc w:val="left"/>
            </w:pPr>
            <w:r/>
            <w:r>
              <w:rPr>
                <w:rFonts w:ascii="Times New Roman" w:hAnsi="Times New Roman" w:eastAsia="宋体"/>
                <w:sz w:val="21"/>
              </w:rPr>
              <w:t>0.6077</w:t>
            </w:r>
          </w:p>
        </w:tc>
        <w:tc>
          <w:tcPr>
            <w:tcW w:type="dxa" w:w="1091"/>
          </w:tcPr>
          <w:p>
            <w:pPr>
              <w:spacing w:line="276" w:lineRule="auto" w:after="0" w:before="0"/>
              <w:jc w:val="left"/>
            </w:pPr>
            <w:r/>
            <w:r>
              <w:rPr>
                <w:rFonts w:ascii="Times New Roman" w:hAnsi="Times New Roman" w:eastAsia="宋体"/>
                <w:sz w:val="21"/>
              </w:rPr>
              <w:t>1.4680</w:t>
            </w:r>
          </w:p>
        </w:tc>
        <w:tc>
          <w:tcPr>
            <w:tcW w:type="dxa" w:w="1091"/>
          </w:tcPr>
          <w:p>
            <w:pPr>
              <w:spacing w:line="276" w:lineRule="auto" w:after="0" w:before="0"/>
              <w:jc w:val="left"/>
            </w:pPr>
            <w:r/>
            <w:r>
              <w:rPr>
                <w:rFonts w:ascii="Times New Roman" w:hAnsi="Times New Roman" w:eastAsia="宋体"/>
                <w:sz w:val="21"/>
              </w:rPr>
              <w:t>70.7</w:t>
            </w:r>
          </w:p>
        </w:tc>
        <w:tc>
          <w:tcPr>
            <w:tcW w:type="dxa" w:w="1091"/>
          </w:tcPr>
          <w:p>
            <w:pPr>
              <w:spacing w:line="276" w:lineRule="auto" w:after="0" w:before="0"/>
              <w:jc w:val="left"/>
            </w:pPr>
            <w:r/>
            <w:r>
              <w:rPr>
                <w:rFonts w:ascii="Times New Roman" w:hAnsi="Times New Roman" w:eastAsia="宋体"/>
                <w:sz w:val="21"/>
              </w:rPr>
              <w:t>4.0×10⁻⁸；0.84</w:t>
            </w:r>
          </w:p>
        </w:tc>
        <w:tc>
          <w:tcPr>
            <w:tcW w:type="dxa" w:w="1091"/>
          </w:tcPr>
          <w:p>
            <w:pPr>
              <w:spacing w:line="276" w:lineRule="auto" w:after="0" w:before="0"/>
              <w:jc w:val="left"/>
            </w:pPr>
            <w:r/>
            <w:r>
              <w:rPr>
                <w:rFonts w:ascii="Times New Roman" w:hAnsi="Times New Roman" w:eastAsia="宋体"/>
                <w:sz w:val="21"/>
              </w:rPr>
              <w:t>2.076</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0.0250</w:t>
            </w:r>
          </w:p>
        </w:tc>
        <w:tc>
          <w:tcPr>
            <w:tcW w:type="dxa" w:w="1091"/>
          </w:tcPr>
          <w:p>
            <w:pPr>
              <w:spacing w:line="276" w:lineRule="auto" w:after="0" w:before="0"/>
              <w:jc w:val="left"/>
            </w:pPr>
            <w:r/>
            <w:r>
              <w:rPr>
                <w:rFonts w:ascii="Times New Roman" w:hAnsi="Times New Roman" w:eastAsia="宋体"/>
                <w:sz w:val="21"/>
              </w:rPr>
              <w:t>0.0667</w:t>
            </w:r>
          </w:p>
        </w:tc>
        <w:tc>
          <w:tcPr>
            <w:tcW w:type="dxa" w:w="1091"/>
          </w:tcPr>
          <w:p>
            <w:pPr>
              <w:spacing w:line="276" w:lineRule="auto" w:after="0" w:before="0"/>
              <w:jc w:val="left"/>
            </w:pPr>
            <w:r/>
            <w:r>
              <w:rPr>
                <w:rFonts w:ascii="Times New Roman" w:hAnsi="Times New Roman" w:eastAsia="宋体"/>
                <w:sz w:val="21"/>
              </w:rPr>
              <w:t>72.7</w:t>
            </w:r>
          </w:p>
        </w:tc>
        <w:tc>
          <w:tcPr>
            <w:tcW w:type="dxa" w:w="1091"/>
          </w:tcPr>
          <w:p>
            <w:pPr>
              <w:spacing w:line="276" w:lineRule="auto" w:after="0" w:before="0"/>
              <w:jc w:val="left"/>
            </w:pPr>
            <w:r/>
            <w:r>
              <w:rPr>
                <w:rFonts w:ascii="Times New Roman" w:hAnsi="Times New Roman" w:eastAsia="宋体"/>
                <w:sz w:val="21"/>
              </w:rPr>
              <w:t>7.4×10⁻⁸；0.81</w:t>
            </w:r>
          </w:p>
        </w:tc>
        <w:tc>
          <w:tcPr>
            <w:tcW w:type="dxa" w:w="1091"/>
          </w:tcPr>
          <w:p>
            <w:pPr>
              <w:spacing w:line="276" w:lineRule="auto" w:after="0" w:before="0"/>
              <w:jc w:val="left"/>
            </w:pPr>
            <w:r/>
            <w:r>
              <w:rPr>
                <w:rFonts w:ascii="Times New Roman" w:hAnsi="Times New Roman" w:eastAsia="宋体"/>
                <w:sz w:val="21"/>
              </w:rPr>
              <w:t>0.0917</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400</w:t>
            </w:r>
          </w:p>
        </w:tc>
        <w:tc>
          <w:tcPr>
            <w:tcW w:type="dxa" w:w="1091"/>
          </w:tcPr>
          <w:p>
            <w:pPr>
              <w:spacing w:line="276" w:lineRule="auto" w:after="0" w:before="0"/>
              <w:jc w:val="left"/>
            </w:pPr>
            <w:r/>
            <w:r>
              <w:rPr>
                <w:rFonts w:ascii="Times New Roman" w:hAnsi="Times New Roman" w:eastAsia="宋体"/>
                <w:sz w:val="21"/>
              </w:rPr>
              <w:t>0.7190</w:t>
            </w:r>
          </w:p>
        </w:tc>
        <w:tc>
          <w:tcPr>
            <w:tcW w:type="dxa" w:w="1091"/>
          </w:tcPr>
          <w:p>
            <w:pPr>
              <w:spacing w:line="276" w:lineRule="auto" w:after="0" w:before="0"/>
              <w:jc w:val="left"/>
            </w:pPr>
            <w:r/>
            <w:r>
              <w:rPr>
                <w:rFonts w:ascii="Times New Roman" w:hAnsi="Times New Roman" w:eastAsia="宋体"/>
                <w:sz w:val="21"/>
              </w:rPr>
              <w:t>7.0640</w:t>
            </w:r>
          </w:p>
        </w:tc>
        <w:tc>
          <w:tcPr>
            <w:tcW w:type="dxa" w:w="1091"/>
          </w:tcPr>
          <w:p>
            <w:pPr>
              <w:spacing w:line="276" w:lineRule="auto" w:after="0" w:before="0"/>
              <w:jc w:val="left"/>
            </w:pPr>
            <w:r/>
            <w:r>
              <w:rPr>
                <w:rFonts w:ascii="Times New Roman" w:hAnsi="Times New Roman" w:eastAsia="宋体"/>
                <w:sz w:val="21"/>
              </w:rPr>
              <w:t>90.8</w:t>
            </w:r>
          </w:p>
        </w:tc>
        <w:tc>
          <w:tcPr>
            <w:tcW w:type="dxa" w:w="1091"/>
          </w:tcPr>
          <w:p>
            <w:pPr>
              <w:spacing w:line="276" w:lineRule="auto" w:after="0" w:before="0"/>
              <w:jc w:val="left"/>
            </w:pPr>
            <w:r/>
            <w:r>
              <w:rPr>
                <w:rFonts w:ascii="Times New Roman" w:hAnsi="Times New Roman" w:eastAsia="宋体"/>
                <w:sz w:val="21"/>
              </w:rPr>
              <w:t>8.1×10⁻⁸；0.80</w:t>
            </w:r>
          </w:p>
        </w:tc>
        <w:tc>
          <w:tcPr>
            <w:tcW w:type="dxa" w:w="1091"/>
          </w:tcPr>
          <w:p>
            <w:pPr>
              <w:spacing w:line="276" w:lineRule="auto" w:after="0" w:before="0"/>
              <w:jc w:val="left"/>
            </w:pPr>
            <w:r/>
            <w:r>
              <w:rPr>
                <w:rFonts w:ascii="Times New Roman" w:hAnsi="Times New Roman" w:eastAsia="宋体"/>
                <w:sz w:val="21"/>
              </w:rPr>
              <w:t>7.783</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0.0238</w:t>
            </w:r>
          </w:p>
        </w:tc>
        <w:tc>
          <w:tcPr>
            <w:tcW w:type="dxa" w:w="1091"/>
          </w:tcPr>
          <w:p>
            <w:pPr>
              <w:spacing w:line="276" w:lineRule="auto" w:after="0" w:before="0"/>
              <w:jc w:val="left"/>
            </w:pPr>
            <w:r/>
            <w:r>
              <w:rPr>
                <w:rFonts w:ascii="Times New Roman" w:hAnsi="Times New Roman" w:eastAsia="宋体"/>
                <w:sz w:val="21"/>
              </w:rPr>
              <w:t>0.0250</w:t>
            </w:r>
          </w:p>
        </w:tc>
        <w:tc>
          <w:tcPr>
            <w:tcW w:type="dxa" w:w="1091"/>
          </w:tcPr>
          <w:p>
            <w:pPr>
              <w:spacing w:line="276" w:lineRule="auto" w:after="0" w:before="0"/>
              <w:jc w:val="left"/>
            </w:pPr>
            <w:r/>
            <w:r>
              <w:rPr>
                <w:rFonts w:ascii="Times New Roman" w:hAnsi="Times New Roman" w:eastAsia="宋体"/>
                <w:sz w:val="21"/>
              </w:rPr>
              <w:t>51.2</w:t>
            </w:r>
          </w:p>
        </w:tc>
        <w:tc>
          <w:tcPr>
            <w:tcW w:type="dxa" w:w="1091"/>
          </w:tcPr>
          <w:p>
            <w:pPr>
              <w:spacing w:line="276" w:lineRule="auto" w:after="0" w:before="0"/>
              <w:jc w:val="left"/>
            </w:pPr>
            <w:r/>
            <w:r>
              <w:rPr>
                <w:rFonts w:ascii="Times New Roman" w:hAnsi="Times New Roman" w:eastAsia="宋体"/>
                <w:sz w:val="21"/>
              </w:rPr>
              <w:t>3.6×10⁻⁸；0.86</w:t>
            </w:r>
          </w:p>
        </w:tc>
        <w:tc>
          <w:tcPr>
            <w:tcW w:type="dxa" w:w="1091"/>
          </w:tcPr>
          <w:p>
            <w:pPr>
              <w:spacing w:line="276" w:lineRule="auto" w:after="0" w:before="0"/>
              <w:jc w:val="left"/>
            </w:pPr>
            <w:r/>
            <w:r>
              <w:rPr>
                <w:rFonts w:ascii="Times New Roman" w:hAnsi="Times New Roman" w:eastAsia="宋体"/>
                <w:sz w:val="21"/>
              </w:rPr>
              <w:t>0.0488</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GDC20-1Co</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0.0294</w:t>
            </w:r>
          </w:p>
        </w:tc>
        <w:tc>
          <w:tcPr>
            <w:tcW w:type="dxa" w:w="1091"/>
          </w:tcPr>
          <w:p>
            <w:pPr>
              <w:spacing w:line="276" w:lineRule="auto" w:after="0" w:before="0"/>
              <w:jc w:val="left"/>
            </w:pPr>
            <w:r/>
            <w:r>
              <w:rPr>
                <w:rFonts w:ascii="Times New Roman" w:hAnsi="Times New Roman" w:eastAsia="宋体"/>
                <w:sz w:val="21"/>
              </w:rPr>
              <w:t>0.0385</w:t>
            </w:r>
          </w:p>
        </w:tc>
        <w:tc>
          <w:tcPr>
            <w:tcW w:type="dxa" w:w="1091"/>
          </w:tcPr>
          <w:p>
            <w:pPr>
              <w:spacing w:line="276" w:lineRule="auto" w:after="0" w:before="0"/>
              <w:jc w:val="left"/>
            </w:pPr>
            <w:r/>
            <w:r>
              <w:rPr>
                <w:rFonts w:ascii="Times New Roman" w:hAnsi="Times New Roman" w:eastAsia="宋体"/>
                <w:sz w:val="21"/>
              </w:rPr>
              <w:t>56.6</w:t>
            </w:r>
          </w:p>
        </w:tc>
        <w:tc>
          <w:tcPr>
            <w:tcW w:type="dxa" w:w="1091"/>
          </w:tcPr>
          <w:p>
            <w:pPr>
              <w:spacing w:line="276" w:lineRule="auto" w:after="0" w:before="0"/>
              <w:jc w:val="left"/>
            </w:pPr>
            <w:r/>
            <w:r>
              <w:rPr>
                <w:rFonts w:ascii="Times New Roman" w:hAnsi="Times New Roman" w:eastAsia="宋体"/>
                <w:sz w:val="21"/>
              </w:rPr>
              <w:t>5.2×10⁻⁸；0.83</w:t>
            </w:r>
          </w:p>
        </w:tc>
        <w:tc>
          <w:tcPr>
            <w:tcW w:type="dxa" w:w="1091"/>
          </w:tcPr>
          <w:p>
            <w:pPr>
              <w:spacing w:line="276" w:lineRule="auto" w:after="0" w:before="0"/>
              <w:jc w:val="left"/>
            </w:pPr>
            <w:r/>
            <w:r>
              <w:rPr>
                <w:rFonts w:ascii="Times New Roman" w:hAnsi="Times New Roman" w:eastAsia="宋体"/>
                <w:sz w:val="21"/>
              </w:rPr>
              <w:t>0.0679</w:t>
            </w:r>
          </w:p>
        </w:tc>
        <w:tc>
          <w:tcPr>
            <w:tcW w:type="dxa" w:w="1091"/>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注：R</w:t>
      </w:r>
      <w:r>
        <w:rPr>
          <w:rFonts w:ascii="Times New Roman" w:hAnsi="Times New Roman" w:eastAsia="宋体"/>
          <w:sz w:val="24"/>
          <w:vertAlign w:val="subscript"/>
        </w:rPr>
        <w:t>b</w:t>
      </w:r>
      <w:r>
        <w:rPr>
          <w:rFonts w:ascii="Times New Roman" w:hAnsi="Times New Roman" w:eastAsia="宋体"/>
          <w:sz w:val="24"/>
        </w:rPr>
        <w:t>、R</w:t>
      </w:r>
      <w:r>
        <w:rPr>
          <w:rFonts w:ascii="Times New Roman" w:hAnsi="Times New Roman" w:eastAsia="宋体"/>
          <w:sz w:val="24"/>
          <w:vertAlign w:val="subscript"/>
        </w:rPr>
        <w:t>gb</w:t>
      </w:r>
      <w:r>
        <w:rPr>
          <w:rFonts w:ascii="Times New Roman" w:hAnsi="Times New Roman" w:eastAsia="宋体"/>
          <w:sz w:val="24"/>
        </w:rPr>
        <w:t xml:space="preserve"> 由 R = L/σ 换算（L = 0.1 cm），例：GDC20-Ca2 的 R</w:t>
      </w:r>
      <w:r>
        <w:rPr>
          <w:rFonts w:ascii="Times New Roman" w:hAnsi="Times New Roman" w:eastAsia="宋体"/>
          <w:sz w:val="24"/>
          <w:vertAlign w:val="subscript"/>
        </w:rPr>
        <w:t>b</w:t>
      </w:r>
      <w:r>
        <w:rPr>
          <w:rFonts w:ascii="Times New Roman" w:hAnsi="Times New Roman" w:eastAsia="宋体"/>
          <w:sz w:val="24"/>
        </w:rPr>
        <w:t xml:space="preserve"> = 0.1/4.2×10⁻² = 2.38 Ω·cm²…此处以面积比电阻表示即 0.0238 Ω·cm²（L = 1 mm 折算）；R</w:t>
      </w:r>
      <w:r>
        <w:rPr>
          <w:rFonts w:ascii="Times New Roman" w:hAnsi="Times New Roman" w:eastAsia="宋体"/>
          <w:sz w:val="24"/>
          <w:vertAlign w:val="subscript"/>
        </w:rPr>
        <w:t>gb</w:t>
      </w:r>
      <w:r>
        <w:rPr>
          <w:rFonts w:ascii="Times New Roman" w:hAnsi="Times New Roman" w:eastAsia="宋体"/>
          <w:sz w:val="24"/>
        </w:rPr>
        <w:t xml:space="preserve"> 占比 = R</w:t>
      </w:r>
      <w:r>
        <w:rPr>
          <w:rFonts w:ascii="Times New Roman" w:hAnsi="Times New Roman" w:eastAsia="宋体"/>
          <w:sz w:val="24"/>
          <w:vertAlign w:val="subscript"/>
        </w:rPr>
        <w:t>gb</w:t>
      </w:r>
      <w:r>
        <w:rPr>
          <w:rFonts w:ascii="Times New Roman" w:hAnsi="Times New Roman" w:eastAsia="宋体"/>
          <w:sz w:val="24"/>
        </w:rPr>
        <w:t>/(R</w:t>
      </w:r>
      <w:r>
        <w:rPr>
          <w:rFonts w:ascii="Times New Roman" w:hAnsi="Times New Roman" w:eastAsia="宋体"/>
          <w:sz w:val="24"/>
          <w:vertAlign w:val="subscript"/>
        </w:rPr>
        <w:t>b</w:t>
      </w:r>
      <w:r>
        <w:rPr>
          <w:rFonts w:ascii="Times New Roman" w:hAnsi="Times New Roman" w:eastAsia="宋体"/>
          <w:sz w:val="24"/>
        </w:rPr>
        <w:t>+R</w:t>
      </w:r>
      <w:r>
        <w:rPr>
          <w:rFonts w:ascii="Times New Roman" w:hAnsi="Times New Roman" w:eastAsia="宋体"/>
          <w:sz w:val="24"/>
          <w:vertAlign w:val="subscript"/>
        </w:rPr>
        <w:t>gb</w:t>
      </w:r>
      <w:r>
        <w:rPr>
          <w:rFonts w:ascii="Times New Roman" w:hAnsi="Times New Roman" w:eastAsia="宋体"/>
          <w:sz w:val="24"/>
        </w:rPr>
        <w:t>) = 0.0233/0.0471 = 49.4%。600 °C 对称电池 ASR 0.0471 Ω·cm² ≤ 0.15 Ω·cm²，判据 3 的第一项成立（拟议值，待实验确认）。</w:t>
      </w:r>
    </w:p>
    <w:p>
      <w:pPr>
        <w:spacing w:line="360" w:lineRule="auto" w:after="80"/>
        <w:ind w:firstLineChars="200" w:firstLine="480"/>
        <w:jc w:val="both"/>
      </w:pPr>
      <w:r>
        <w:rPr>
          <w:rFonts w:ascii="Times New Roman" w:hAnsi="Times New Roman" w:eastAsia="宋体"/>
          <w:sz w:val="24"/>
        </w:rPr>
        <w:t>三点需要强调。第一，判据 3 首项以拟议值满足（0.047 vs 0.15 Ω·cm²），余量较大。第二，晶界占比不是温度的常量：由体相（0.82 eV）与晶界（1.05 eV）表观活化能的差异按 Arrhenius 关系复核，GDC20-Ca2 的 R</w:t>
      </w:r>
      <w:r>
        <w:rPr>
          <w:rFonts w:ascii="Times New Roman" w:hAnsi="Times New Roman" w:eastAsia="宋体"/>
          <w:sz w:val="24"/>
          <w:vertAlign w:val="subscript"/>
        </w:rPr>
        <w:t>gb</w:t>
      </w:r>
      <w:r>
        <w:rPr>
          <w:rFonts w:ascii="Times New Roman" w:hAnsi="Times New Roman" w:eastAsia="宋体"/>
          <w:sz w:val="24"/>
        </w:rPr>
        <w:t xml:space="preserve"> 占比由 400 °C 的 70.7% 降至 600 °C 的 49.4%，未掺杂对照则由 90.8% 降至 72.7%，因此不同温度下的「晶界占比」不可直接互比，本文所有占比均标注温度。第三，GDC20-Ca2 的晶粒尺寸（280 nm）小于 GDC20-1400（900 nm），单位长度内晶界数量更多，却仍获得更低的 R</w:t>
      </w:r>
      <w:r>
        <w:rPr>
          <w:rFonts w:ascii="Times New Roman" w:hAnsi="Times New Roman" w:eastAsia="宋体"/>
          <w:sz w:val="24"/>
          <w:vertAlign w:val="subscript"/>
        </w:rPr>
        <w:t>gb</w:t>
      </w:r>
      <w:r>
        <w:rPr>
          <w:rFonts w:ascii="Times New Roman" w:hAnsi="Times New Roman" w:eastAsia="宋体"/>
          <w:sz w:val="24"/>
        </w:rPr>
        <w:t xml:space="preserve"> 占比，这提示其改善机制不在「减少晶界数量」而在晶界本征性质（偏析或空间电荷层状态的改变），与 4.1 节 M2/M3 的判别需求直接对应 [7][8]。</w:t>
      </w:r>
    </w:p>
    <w:p>
      <w:pPr>
        <w:pStyle w:val="Heading2"/>
        <w:spacing w:before="120" w:after="120" w:line="360" w:lineRule="auto"/>
        <w:jc w:val="left"/>
      </w:pPr>
      <w:r>
        <w:rPr>
          <w:rFonts w:ascii="Times New Roman" w:hAnsi="Times New Roman" w:eastAsia="黑体"/>
          <w:b/>
          <w:sz w:val="26"/>
        </w:rPr>
        <w:t>3.4 还原气氛下的电子电导与离子迁移数</w:t>
      </w:r>
    </w:p>
    <w:p>
      <w:pPr>
        <w:spacing w:line="360" w:lineRule="auto" w:after="80"/>
        <w:ind w:firstLineChars="200" w:firstLine="480"/>
        <w:jc w:val="both"/>
      </w:pPr>
      <w:r>
        <w:rPr>
          <w:rFonts w:ascii="Times New Roman" w:hAnsi="Times New Roman" w:eastAsia="宋体"/>
          <w:b/>
          <w:sz w:val="24"/>
        </w:rPr>
        <w:t>表 T5（用途：部分电导率与迁移数，600 °C、5% H₂/Ar + 3% H₂O、pO₂ ≈ 1×10⁻²¹ atm）</w:t>
      </w:r>
    </w:p>
    <w:tbl>
      <w:tblPr>
        <w:tblStyle w:val="TableGrid"/>
        <w:tblW w:type="auto" w:w="0"/>
        <w:jc w:val="center"/>
        <w:tblLayout w:type="autofit"/>
        <w:tblLook w:firstColumn="1" w:firstRow="1" w:lastColumn="0" w:lastRow="0" w:noHBand="0" w:noVBand="1" w:val="04A0"/>
      </w:tblPr>
      <w:tblGrid>
        <w:gridCol w:w="873"/>
        <w:gridCol w:w="873"/>
        <w:gridCol w:w="873"/>
        <w:gridCol w:w="873"/>
        <w:gridCol w:w="873"/>
        <w:gridCol w:w="873"/>
        <w:gridCol w:w="873"/>
        <w:gridCol w:w="873"/>
        <w:gridCol w:w="873"/>
        <w:gridCol w:w="873"/>
      </w:tblGrid>
      <w:tr>
        <w:tc>
          <w:tcPr>
            <w:tcW w:type="dxa" w:w="873"/>
          </w:tcPr>
          <w:p>
            <w:pPr>
              <w:spacing w:line="276" w:lineRule="auto" w:after="0" w:before="0"/>
              <w:jc w:val="center"/>
            </w:pPr>
            <w:r/>
            <w:r>
              <w:rPr>
                <w:rFonts w:ascii="Times New Roman" w:hAnsi="Times New Roman" w:eastAsia="宋体"/>
                <w:b/>
                <w:sz w:val="21"/>
              </w:rPr>
              <w:t>样品</w:t>
            </w:r>
          </w:p>
        </w:tc>
        <w:tc>
          <w:tcPr>
            <w:tcW w:type="dxa" w:w="873"/>
          </w:tcPr>
          <w:p>
            <w:pPr>
              <w:spacing w:line="276" w:lineRule="auto" w:after="0" w:before="0"/>
              <w:jc w:val="center"/>
            </w:pPr>
            <w:r/>
            <w:r>
              <w:rPr>
                <w:rFonts w:ascii="Times New Roman" w:hAnsi="Times New Roman" w:eastAsia="宋体"/>
                <w:b/>
                <w:sz w:val="21"/>
              </w:rPr>
              <w:t>T / °C</w:t>
            </w:r>
          </w:p>
        </w:tc>
        <w:tc>
          <w:tcPr>
            <w:tcW w:type="dxa" w:w="873"/>
          </w:tcPr>
          <w:p>
            <w:pPr>
              <w:spacing w:line="276" w:lineRule="auto" w:after="0" w:before="0"/>
              <w:jc w:val="center"/>
            </w:pPr>
            <w:r/>
            <w:r>
              <w:rPr>
                <w:rFonts w:ascii="Times New Roman" w:hAnsi="Times New Roman" w:eastAsia="宋体"/>
                <w:b/>
                <w:sz w:val="21"/>
              </w:rPr>
              <w:t>pO₂ / atm</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 xml:space="preserve"> / S·cm⁻¹</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i</w:t>
            </w:r>
            <w:r>
              <w:rPr>
                <w:rFonts w:ascii="Times New Roman" w:hAnsi="Times New Roman" w:eastAsia="宋体"/>
                <w:b/>
                <w:sz w:val="21"/>
              </w:rPr>
              <w:t xml:space="preserve"> / S·cm⁻¹</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r>
              <w:rPr>
                <w:rFonts w:ascii="Times New Roman" w:hAnsi="Times New Roman" w:eastAsia="宋体"/>
                <w:b/>
                <w:sz w:val="21"/>
              </w:rPr>
              <w:t xml:space="preserve"> / S·cm⁻¹</w:t>
            </w:r>
          </w:p>
        </w:tc>
        <w:tc>
          <w:tcPr>
            <w:tcW w:type="dxa" w:w="873"/>
          </w:tcPr>
          <w:p>
            <w:pPr>
              <w:spacing w:line="276" w:lineRule="auto" w:after="0" w:before="0"/>
              <w:jc w:val="center"/>
            </w:pPr>
            <w:r/>
            <w:r>
              <w:rPr>
                <w:rFonts w:ascii="Times New Roman" w:hAnsi="Times New Roman" w:eastAsia="宋体"/>
                <w:b/>
                <w:sz w:val="21"/>
              </w:rPr>
              <w:t>t</w:t>
            </w:r>
            <w:r>
              <w:rPr>
                <w:rFonts w:ascii="Times New Roman" w:hAnsi="Times New Roman" w:eastAsia="宋体"/>
                <w:sz w:val="21"/>
                <w:vertAlign w:val="subscript"/>
              </w:rPr>
              <w:t>ion</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–pO₂ 斜率</w:t>
            </w:r>
          </w:p>
        </w:tc>
        <w:tc>
          <w:tcPr>
            <w:tcW w:type="dxa" w:w="873"/>
          </w:tcPr>
          <w:p>
            <w:pPr>
              <w:spacing w:line="276" w:lineRule="auto" w:after="0" w:before="0"/>
              <w:jc w:val="center"/>
            </w:pPr>
            <w:r/>
            <w:r>
              <w:rPr>
                <w:rFonts w:ascii="Times New Roman" w:hAnsi="Times New Roman" w:eastAsia="宋体"/>
                <w:b/>
                <w:sz w:val="21"/>
              </w:rPr>
              <w:t>方法</w:t>
            </w:r>
          </w:p>
        </w:tc>
        <w:tc>
          <w:tcPr>
            <w:tcW w:type="dxa" w:w="873"/>
          </w:tcPr>
          <w:p>
            <w:pPr>
              <w:spacing w:line="276" w:lineRule="auto" w:after="0" w:before="0"/>
              <w:jc w:val="center"/>
            </w:pPr>
            <w:r/>
            <w:r>
              <w:rPr>
                <w:rFonts w:ascii="Times New Roman" w:hAnsi="Times New Roman" w:eastAsia="宋体"/>
                <w:b/>
                <w:sz w:val="21"/>
              </w:rPr>
              <w:t>n</w:t>
            </w:r>
          </w:p>
        </w:tc>
      </w:tr>
      <w:tr>
        <w:tc>
          <w:tcPr>
            <w:tcW w:type="dxa" w:w="873"/>
          </w:tcPr>
          <w:p>
            <w:pPr>
              <w:spacing w:line="276" w:lineRule="auto" w:after="0" w:before="0"/>
              <w:jc w:val="left"/>
            </w:pPr>
            <w:r/>
            <w:r>
              <w:rPr>
                <w:rFonts w:ascii="Times New Roman" w:hAnsi="Times New Roman" w:eastAsia="宋体"/>
                <w:sz w:val="21"/>
              </w:rPr>
              <w:t>GDC20-Ca2</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9.0×10⁻⁴</w:t>
            </w:r>
          </w:p>
        </w:tc>
        <w:tc>
          <w:tcPr>
            <w:tcW w:type="dxa" w:w="873"/>
          </w:tcPr>
          <w:p>
            <w:pPr>
              <w:spacing w:line="276" w:lineRule="auto" w:after="0" w:before="0"/>
              <w:jc w:val="left"/>
            </w:pPr>
            <w:r/>
            <w:r>
              <w:rPr>
                <w:rFonts w:ascii="Times New Roman" w:hAnsi="Times New Roman" w:eastAsia="宋体"/>
                <w:sz w:val="21"/>
              </w:rPr>
              <w:t>1.90×10⁻²</w:t>
            </w:r>
          </w:p>
        </w:tc>
        <w:tc>
          <w:tcPr>
            <w:tcW w:type="dxa" w:w="873"/>
          </w:tcPr>
          <w:p>
            <w:pPr>
              <w:spacing w:line="276" w:lineRule="auto" w:after="0" w:before="0"/>
              <w:jc w:val="left"/>
            </w:pPr>
            <w:r/>
            <w:r>
              <w:rPr>
                <w:rFonts w:ascii="Times New Roman" w:hAnsi="Times New Roman" w:eastAsia="宋体"/>
                <w:sz w:val="21"/>
              </w:rPr>
              <w:t>1.99×10⁻²</w:t>
            </w:r>
          </w:p>
        </w:tc>
        <w:tc>
          <w:tcPr>
            <w:tcW w:type="dxa" w:w="873"/>
          </w:tcPr>
          <w:p>
            <w:pPr>
              <w:spacing w:line="276" w:lineRule="auto" w:after="0" w:before="0"/>
              <w:jc w:val="left"/>
            </w:pPr>
            <w:r/>
            <w:r>
              <w:rPr>
                <w:rFonts w:ascii="Times New Roman" w:hAnsi="Times New Roman" w:eastAsia="宋体"/>
                <w:sz w:val="21"/>
              </w:rPr>
              <w:t>0.955</w:t>
            </w:r>
          </w:p>
        </w:tc>
        <w:tc>
          <w:tcPr>
            <w:tcW w:type="dxa" w:w="873"/>
          </w:tcPr>
          <w:p>
            <w:pPr>
              <w:spacing w:line="276" w:lineRule="auto" w:after="0" w:before="0"/>
              <w:jc w:val="left"/>
            </w:pPr>
            <w:r/>
            <w:r>
              <w:rPr>
                <w:rFonts w:ascii="Times New Roman" w:hAnsi="Times New Roman" w:eastAsia="宋体"/>
                <w:sz w:val="21"/>
              </w:rPr>
              <w:t>−0.249 ± 0.007</w:t>
            </w:r>
          </w:p>
        </w:tc>
        <w:tc>
          <w:tcPr>
            <w:tcW w:type="dxa" w:w="873"/>
          </w:tcPr>
          <w:p>
            <w:pPr>
              <w:spacing w:line="276" w:lineRule="auto" w:after="0" w:before="0"/>
              <w:jc w:val="left"/>
            </w:pPr>
            <w:r/>
            <w:r>
              <w:rPr>
                <w:rFonts w:ascii="Times New Roman" w:hAnsi="Times New Roman" w:eastAsia="宋体"/>
                <w:sz w:val="21"/>
              </w:rPr>
              <w:t>DC 部分极化 + EMF</w:t>
            </w:r>
          </w:p>
        </w:tc>
        <w:tc>
          <w:tcPr>
            <w:tcW w:type="dxa" w:w="873"/>
          </w:tcPr>
          <w:p>
            <w:pPr>
              <w:spacing w:line="276" w:lineRule="auto" w:after="0" w:before="0"/>
              <w:jc w:val="left"/>
            </w:pPr>
            <w:r/>
            <w:r>
              <w:rPr>
                <w:rFonts w:ascii="Times New Roman" w:hAnsi="Times New Roman" w:eastAsia="宋体"/>
                <w:sz w:val="21"/>
              </w:rPr>
              <w:t>3</w:t>
            </w:r>
          </w:p>
        </w:tc>
      </w:tr>
      <w:tr>
        <w:tc>
          <w:tcPr>
            <w:tcW w:type="dxa" w:w="873"/>
          </w:tcPr>
          <w:p>
            <w:pPr>
              <w:spacing w:line="276" w:lineRule="auto" w:after="0" w:before="0"/>
              <w:jc w:val="left"/>
            </w:pPr>
            <w:r/>
            <w:r>
              <w:rPr>
                <w:rFonts w:ascii="Times New Roman" w:hAnsi="Times New Roman" w:eastAsia="宋体"/>
                <w:sz w:val="21"/>
              </w:rPr>
              <w:t>GDC20-1400</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1.4×10⁻³</w:t>
            </w:r>
          </w:p>
        </w:tc>
        <w:tc>
          <w:tcPr>
            <w:tcW w:type="dxa" w:w="873"/>
          </w:tcPr>
          <w:p>
            <w:pPr>
              <w:spacing w:line="276" w:lineRule="auto" w:after="0" w:before="0"/>
              <w:jc w:val="left"/>
            </w:pPr>
            <w:r/>
            <w:r>
              <w:rPr>
                <w:rFonts w:ascii="Times New Roman" w:hAnsi="Times New Roman" w:eastAsia="宋体"/>
                <w:sz w:val="21"/>
              </w:rPr>
              <w:t>1.85×10⁻²</w:t>
            </w:r>
          </w:p>
        </w:tc>
        <w:tc>
          <w:tcPr>
            <w:tcW w:type="dxa" w:w="873"/>
          </w:tcPr>
          <w:p>
            <w:pPr>
              <w:spacing w:line="276" w:lineRule="auto" w:after="0" w:before="0"/>
              <w:jc w:val="left"/>
            </w:pPr>
            <w:r/>
            <w:r>
              <w:rPr>
                <w:rFonts w:ascii="Times New Roman" w:hAnsi="Times New Roman" w:eastAsia="宋体"/>
                <w:sz w:val="21"/>
              </w:rPr>
              <w:t>1.99×10⁻²</w:t>
            </w:r>
          </w:p>
        </w:tc>
        <w:tc>
          <w:tcPr>
            <w:tcW w:type="dxa" w:w="873"/>
          </w:tcPr>
          <w:p>
            <w:pPr>
              <w:spacing w:line="276" w:lineRule="auto" w:after="0" w:before="0"/>
              <w:jc w:val="left"/>
            </w:pPr>
            <w:r/>
            <w:r>
              <w:rPr>
                <w:rFonts w:ascii="Times New Roman" w:hAnsi="Times New Roman" w:eastAsia="宋体"/>
                <w:sz w:val="21"/>
              </w:rPr>
              <w:t>0.930</w:t>
            </w:r>
          </w:p>
        </w:tc>
        <w:tc>
          <w:tcPr>
            <w:tcW w:type="dxa" w:w="873"/>
          </w:tcPr>
          <w:p>
            <w:pPr>
              <w:spacing w:line="276" w:lineRule="auto" w:after="0" w:before="0"/>
              <w:jc w:val="left"/>
            </w:pPr>
            <w:r/>
            <w:r>
              <w:rPr>
                <w:rFonts w:ascii="Times New Roman" w:hAnsi="Times New Roman" w:eastAsia="宋体"/>
                <w:sz w:val="21"/>
              </w:rPr>
              <w:t>−0.244 ± 0.009</w:t>
            </w:r>
          </w:p>
        </w:tc>
        <w:tc>
          <w:tcPr>
            <w:tcW w:type="dxa" w:w="873"/>
          </w:tcPr>
          <w:p>
            <w:pPr>
              <w:spacing w:line="276" w:lineRule="auto" w:after="0" w:before="0"/>
              <w:jc w:val="left"/>
            </w:pPr>
            <w:r/>
            <w:r>
              <w:rPr>
                <w:rFonts w:ascii="Times New Roman" w:hAnsi="Times New Roman" w:eastAsia="宋体"/>
                <w:sz w:val="21"/>
              </w:rPr>
              <w:t>同上</w:t>
            </w:r>
          </w:p>
        </w:tc>
        <w:tc>
          <w:tcPr>
            <w:tcW w:type="dxa" w:w="873"/>
          </w:tcPr>
          <w:p>
            <w:pPr>
              <w:spacing w:line="276" w:lineRule="auto" w:after="0" w:before="0"/>
              <w:jc w:val="left"/>
            </w:pPr>
            <w:r/>
            <w:r>
              <w:rPr>
                <w:rFonts w:ascii="Times New Roman" w:hAnsi="Times New Roman" w:eastAsia="宋体"/>
                <w:sz w:val="21"/>
              </w:rPr>
              <w:t>3</w:t>
            </w:r>
          </w:p>
        </w:tc>
      </w:tr>
      <w:tr>
        <w:tc>
          <w:tcPr>
            <w:tcW w:type="dxa" w:w="873"/>
          </w:tcPr>
          <w:p>
            <w:pPr>
              <w:spacing w:line="276" w:lineRule="auto" w:after="0" w:before="0"/>
              <w:jc w:val="left"/>
            </w:pPr>
            <w:r/>
            <w:r>
              <w:rPr>
                <w:rFonts w:ascii="Times New Roman" w:hAnsi="Times New Roman" w:eastAsia="宋体"/>
                <w:sz w:val="21"/>
              </w:rPr>
              <w:t>GDC20</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2.0×10⁻³</w:t>
            </w:r>
          </w:p>
        </w:tc>
        <w:tc>
          <w:tcPr>
            <w:tcW w:type="dxa" w:w="873"/>
          </w:tcPr>
          <w:p>
            <w:pPr>
              <w:spacing w:line="276" w:lineRule="auto" w:after="0" w:before="0"/>
              <w:jc w:val="left"/>
            </w:pPr>
            <w:r/>
            <w:r>
              <w:rPr>
                <w:rFonts w:ascii="Times New Roman" w:hAnsi="Times New Roman" w:eastAsia="宋体"/>
                <w:sz w:val="21"/>
              </w:rPr>
              <w:t>1.00×10⁻²</w:t>
            </w:r>
          </w:p>
        </w:tc>
        <w:tc>
          <w:tcPr>
            <w:tcW w:type="dxa" w:w="873"/>
          </w:tcPr>
          <w:p>
            <w:pPr>
              <w:spacing w:line="276" w:lineRule="auto" w:after="0" w:before="0"/>
              <w:jc w:val="left"/>
            </w:pPr>
            <w:r/>
            <w:r>
              <w:rPr>
                <w:rFonts w:ascii="Times New Roman" w:hAnsi="Times New Roman" w:eastAsia="宋体"/>
                <w:sz w:val="21"/>
              </w:rPr>
              <w:t>1.20×10⁻²</w:t>
            </w:r>
          </w:p>
        </w:tc>
        <w:tc>
          <w:tcPr>
            <w:tcW w:type="dxa" w:w="873"/>
          </w:tcPr>
          <w:p>
            <w:pPr>
              <w:spacing w:line="276" w:lineRule="auto" w:after="0" w:before="0"/>
              <w:jc w:val="left"/>
            </w:pPr>
            <w:r/>
            <w:r>
              <w:rPr>
                <w:rFonts w:ascii="Times New Roman" w:hAnsi="Times New Roman" w:eastAsia="宋体"/>
                <w:sz w:val="21"/>
              </w:rPr>
              <w:t>0.833</w:t>
            </w:r>
          </w:p>
        </w:tc>
        <w:tc>
          <w:tcPr>
            <w:tcW w:type="dxa" w:w="873"/>
          </w:tcPr>
          <w:p>
            <w:pPr>
              <w:spacing w:line="276" w:lineRule="auto" w:after="0" w:before="0"/>
              <w:jc w:val="left"/>
            </w:pPr>
            <w:r/>
            <w:r>
              <w:rPr>
                <w:rFonts w:ascii="Times New Roman" w:hAnsi="Times New Roman" w:eastAsia="宋体"/>
                <w:sz w:val="21"/>
              </w:rPr>
              <w:t>−0.253 ± 0.009</w:t>
            </w:r>
          </w:p>
        </w:tc>
        <w:tc>
          <w:tcPr>
            <w:tcW w:type="dxa" w:w="873"/>
          </w:tcPr>
          <w:p>
            <w:pPr>
              <w:spacing w:line="276" w:lineRule="auto" w:after="0" w:before="0"/>
              <w:jc w:val="left"/>
            </w:pPr>
            <w:r/>
            <w:r>
              <w:rPr>
                <w:rFonts w:ascii="Times New Roman" w:hAnsi="Times New Roman" w:eastAsia="宋体"/>
                <w:sz w:val="21"/>
              </w:rPr>
              <w:t>同上</w:t>
            </w:r>
          </w:p>
        </w:tc>
        <w:tc>
          <w:tcPr>
            <w:tcW w:type="dxa" w:w="873"/>
          </w:tcPr>
          <w:p>
            <w:pPr>
              <w:spacing w:line="276" w:lineRule="auto" w:after="0" w:before="0"/>
              <w:jc w:val="left"/>
            </w:pPr>
            <w:r/>
            <w:r>
              <w:rPr>
                <w:rFonts w:ascii="Times New Roman" w:hAnsi="Times New Roman" w:eastAsia="宋体"/>
                <w:sz w:val="21"/>
              </w:rPr>
              <w:t>3</w:t>
            </w:r>
          </w:p>
        </w:tc>
      </w:tr>
      <w:tr>
        <w:tc>
          <w:tcPr>
            <w:tcW w:type="dxa" w:w="873"/>
          </w:tcPr>
          <w:p>
            <w:pPr>
              <w:spacing w:line="276" w:lineRule="auto" w:after="0" w:before="0"/>
              <w:jc w:val="left"/>
            </w:pPr>
            <w:r/>
            <w:r>
              <w:rPr>
                <w:rFonts w:ascii="Times New Roman" w:hAnsi="Times New Roman" w:eastAsia="宋体"/>
                <w:sz w:val="21"/>
              </w:rPr>
              <w:t>GDC20-1Co</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2.6×10⁻³</w:t>
            </w:r>
          </w:p>
        </w:tc>
        <w:tc>
          <w:tcPr>
            <w:tcW w:type="dxa" w:w="873"/>
          </w:tcPr>
          <w:p>
            <w:pPr>
              <w:spacing w:line="276" w:lineRule="auto" w:after="0" w:before="0"/>
              <w:jc w:val="left"/>
            </w:pPr>
            <w:r/>
            <w:r>
              <w:rPr>
                <w:rFonts w:ascii="Times New Roman" w:hAnsi="Times New Roman" w:eastAsia="宋体"/>
                <w:sz w:val="21"/>
              </w:rPr>
              <w:t>1.33×10⁻²</w:t>
            </w:r>
          </w:p>
        </w:tc>
        <w:tc>
          <w:tcPr>
            <w:tcW w:type="dxa" w:w="873"/>
          </w:tcPr>
          <w:p>
            <w:pPr>
              <w:spacing w:line="276" w:lineRule="auto" w:after="0" w:before="0"/>
              <w:jc w:val="left"/>
            </w:pPr>
            <w:r/>
            <w:r>
              <w:rPr>
                <w:rFonts w:ascii="Times New Roman" w:hAnsi="Times New Roman" w:eastAsia="宋体"/>
                <w:sz w:val="21"/>
              </w:rPr>
              <w:t>1.59×10⁻²</w:t>
            </w:r>
          </w:p>
        </w:tc>
        <w:tc>
          <w:tcPr>
            <w:tcW w:type="dxa" w:w="873"/>
          </w:tcPr>
          <w:p>
            <w:pPr>
              <w:spacing w:line="276" w:lineRule="auto" w:after="0" w:before="0"/>
              <w:jc w:val="left"/>
            </w:pPr>
            <w:r/>
            <w:r>
              <w:rPr>
                <w:rFonts w:ascii="Times New Roman" w:hAnsi="Times New Roman" w:eastAsia="宋体"/>
                <w:sz w:val="21"/>
              </w:rPr>
              <w:t>0.837</w:t>
            </w:r>
          </w:p>
        </w:tc>
        <w:tc>
          <w:tcPr>
            <w:tcW w:type="dxa" w:w="873"/>
          </w:tcPr>
          <w:p>
            <w:pPr>
              <w:spacing w:line="276" w:lineRule="auto" w:after="0" w:before="0"/>
              <w:jc w:val="left"/>
            </w:pPr>
            <w:r/>
            <w:r>
              <w:rPr>
                <w:rFonts w:ascii="Times New Roman" w:hAnsi="Times New Roman" w:eastAsia="宋体"/>
                <w:sz w:val="21"/>
              </w:rPr>
              <w:t>−0.255 ± 0.011</w:t>
            </w:r>
          </w:p>
        </w:tc>
        <w:tc>
          <w:tcPr>
            <w:tcW w:type="dxa" w:w="873"/>
          </w:tcPr>
          <w:p>
            <w:pPr>
              <w:spacing w:line="276" w:lineRule="auto" w:after="0" w:before="0"/>
              <w:jc w:val="left"/>
            </w:pPr>
            <w:r/>
            <w:r>
              <w:rPr>
                <w:rFonts w:ascii="Times New Roman" w:hAnsi="Times New Roman" w:eastAsia="宋体"/>
                <w:sz w:val="21"/>
              </w:rPr>
              <w:t>同上</w:t>
            </w:r>
          </w:p>
        </w:tc>
        <w:tc>
          <w:tcPr>
            <w:tcW w:type="dxa" w:w="873"/>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注：σ</w:t>
      </w:r>
      <w:r>
        <w:rPr>
          <w:rFonts w:ascii="Times New Roman" w:hAnsi="Times New Roman" w:eastAsia="宋体"/>
          <w:sz w:val="24"/>
          <w:vertAlign w:val="subscript"/>
        </w:rPr>
        <w:t>total</w:t>
      </w:r>
      <w:r>
        <w:rPr>
          <w:rFonts w:ascii="Times New Roman" w:hAnsi="Times New Roman" w:eastAsia="宋体"/>
          <w:sz w:val="24"/>
        </w:rPr>
        <w:t xml:space="preserve"> = σ</w:t>
      </w:r>
      <w:r>
        <w:rPr>
          <w:rFonts w:ascii="Times New Roman" w:hAnsi="Times New Roman" w:eastAsia="宋体"/>
          <w:sz w:val="24"/>
          <w:vertAlign w:val="subscript"/>
        </w:rPr>
        <w:t>e</w:t>
      </w:r>
      <w:r>
        <w:rPr>
          <w:rFonts w:ascii="Times New Roman" w:hAnsi="Times New Roman" w:eastAsia="宋体"/>
          <w:sz w:val="24"/>
        </w:rPr>
        <w:t xml:space="preserve"> + σ</w:t>
      </w:r>
      <w:r>
        <w:rPr>
          <w:rFonts w:ascii="Times New Roman" w:hAnsi="Times New Roman" w:eastAsia="宋体"/>
          <w:sz w:val="24"/>
          <w:vertAlign w:val="subscript"/>
        </w:rPr>
        <w:t>i</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 σ</w:t>
      </w:r>
      <w:r>
        <w:rPr>
          <w:rFonts w:ascii="Times New Roman" w:hAnsi="Times New Roman" w:eastAsia="宋体"/>
          <w:sz w:val="24"/>
          <w:vertAlign w:val="subscript"/>
        </w:rPr>
        <w:t>i</w:t>
      </w:r>
      <w:r>
        <w:rPr>
          <w:rFonts w:ascii="Times New Roman" w:hAnsi="Times New Roman" w:eastAsia="宋体"/>
          <w:sz w:val="24"/>
        </w:rPr>
        <w:t>/σ</w:t>
      </w:r>
      <w:r>
        <w:rPr>
          <w:rFonts w:ascii="Times New Roman" w:hAnsi="Times New Roman" w:eastAsia="宋体"/>
          <w:sz w:val="24"/>
          <w:vertAlign w:val="subscript"/>
        </w:rPr>
        <w:t>total</w:t>
      </w:r>
      <w:r>
        <w:rPr>
          <w:rFonts w:ascii="Times New Roman" w:hAnsi="Times New Roman" w:eastAsia="宋体"/>
          <w:sz w:val="24"/>
        </w:rPr>
        <w:t>，例 GDC20-Ca2：0.955 = 1.90×10⁻²/1.99×10⁻²；还原后 XPS Ce 3d 分峰所得 Ce³⁺ 分数拟为 8.4%（Ca2）、12.8%（1400）、17.6%（GDC20）、22.8%（1Co）。所有数值为拟议值，待实验确认。</w:t>
      </w:r>
    </w:p>
    <w:p>
      <w:pPr>
        <w:spacing w:line="360" w:lineRule="auto" w:after="80"/>
        <w:ind w:firstLineChars="200" w:firstLine="480"/>
        <w:jc w:val="both"/>
      </w:pPr>
      <w:r>
        <w:rPr>
          <w:rFonts w:ascii="Times New Roman" w:hAnsi="Times New Roman" w:eastAsia="宋体"/>
          <w:sz w:val="24"/>
        </w:rPr>
        <w:t>判据 1 以拟议值成立：GDC20-Ca2 的 σ</w:t>
      </w:r>
      <w:r>
        <w:rPr>
          <w:rFonts w:ascii="Times New Roman" w:hAnsi="Times New Roman" w:eastAsia="宋体"/>
          <w:sz w:val="24"/>
          <w:vertAlign w:val="subscript"/>
        </w:rPr>
        <w:t>e</w:t>
      </w:r>
      <w:r>
        <w:rPr>
          <w:rFonts w:ascii="Times New Roman" w:hAnsi="Times New Roman" w:eastAsia="宋体"/>
          <w:sz w:val="24"/>
        </w:rPr>
        <w:t xml:space="preserve"> = 9.0×10⁻⁴ S·cm⁻¹（≤ 0.01）且 t</w:t>
      </w:r>
      <w:r>
        <w:rPr>
          <w:rFonts w:ascii="Times New Roman" w:hAnsi="Times New Roman" w:eastAsia="宋体"/>
          <w:sz w:val="24"/>
          <w:vertAlign w:val="subscript"/>
        </w:rPr>
        <w:t>ion</w:t>
      </w:r>
      <w:r>
        <w:rPr>
          <w:rFonts w:ascii="Times New Roman" w:hAnsi="Times New Roman" w:eastAsia="宋体"/>
          <w:sz w:val="24"/>
        </w:rPr>
        <w:t xml:space="preserve"> = 0.955（≥ 0.95），而低温烧结未掺杂对照的 t</w:t>
      </w:r>
      <w:r>
        <w:rPr>
          <w:rFonts w:ascii="Times New Roman" w:hAnsi="Times New Roman" w:eastAsia="宋体"/>
          <w:sz w:val="24"/>
          <w:vertAlign w:val="subscript"/>
        </w:rPr>
        <w:t>ion</w:t>
      </w:r>
      <w:r>
        <w:rPr>
          <w:rFonts w:ascii="Times New Roman" w:hAnsi="Times New Roman" w:eastAsia="宋体"/>
          <w:sz w:val="24"/>
        </w:rPr>
        <w:t xml:space="preserve"> 仅 0.833，说明致密化与漏电抑制并非自动同步，Ca 的作用具有选择性。电子电导的物理来源可由两条独立证据交叉约束：其一，四组样品的 σ</w:t>
      </w:r>
      <w:r>
        <w:rPr>
          <w:rFonts w:ascii="Times New Roman" w:hAnsi="Times New Roman" w:eastAsia="宋体"/>
          <w:sz w:val="24"/>
          <w:vertAlign w:val="subscript"/>
        </w:rPr>
        <w:t>e</w:t>
      </w:r>
      <w:r>
        <w:rPr>
          <w:rFonts w:ascii="Times New Roman" w:hAnsi="Times New Roman" w:eastAsia="宋体"/>
          <w:sz w:val="24"/>
        </w:rPr>
        <w:t xml:space="preserve"> 拟合斜率均在 −0.25 附近（−0.244 至 −0.255），与 Ce³⁺ 小极化子导电所预期的 σ</w:t>
      </w:r>
      <w:r>
        <w:rPr>
          <w:rFonts w:ascii="Times New Roman" w:hAnsi="Times New Roman" w:eastAsia="宋体"/>
          <w:sz w:val="24"/>
          <w:vertAlign w:val="subscript"/>
        </w:rPr>
        <w:t>e</w:t>
      </w:r>
      <w:r>
        <w:rPr>
          <w:rFonts w:ascii="Times New Roman" w:hAnsi="Times New Roman" w:eastAsia="宋体"/>
          <w:sz w:val="24"/>
        </w:rPr>
        <w:t xml:space="preserve"> ∝ pO₂^(−1/4) 一致 [5]；其二，σ</w:t>
      </w:r>
      <w:r>
        <w:rPr>
          <w:rFonts w:ascii="Times New Roman" w:hAnsi="Times New Roman" w:eastAsia="宋体"/>
          <w:sz w:val="24"/>
          <w:vertAlign w:val="subscript"/>
        </w:rPr>
        <w:t>e</w:t>
      </w:r>
      <w:r>
        <w:rPr>
          <w:rFonts w:ascii="Times New Roman" w:hAnsi="Times New Roman" w:eastAsia="宋体"/>
          <w:sz w:val="24"/>
        </w:rPr>
        <w:t xml:space="preserve"> 的样品间比值与 XPS 测得的 Ce³⁺ 分数比值接近（GDC20-Ca2/GDC20：σ</w:t>
      </w:r>
      <w:r>
        <w:rPr>
          <w:rFonts w:ascii="Times New Roman" w:hAnsi="Times New Roman" w:eastAsia="宋体"/>
          <w:sz w:val="24"/>
          <w:vertAlign w:val="subscript"/>
        </w:rPr>
        <w:t>e</w:t>
      </w:r>
      <w:r>
        <w:rPr>
          <w:rFonts w:ascii="Times New Roman" w:hAnsi="Times New Roman" w:eastAsia="宋体"/>
          <w:sz w:val="24"/>
        </w:rPr>
        <w:t xml:space="preserve"> 比 0.45、Ce³⁺ 比 0.477，偏差约 6%；GDC20-Ca2/GDC20-1400：0.64 与 0.66），在 10% 内自洽，符合 σ</w:t>
      </w:r>
      <w:r>
        <w:rPr>
          <w:rFonts w:ascii="Times New Roman" w:hAnsi="Times New Roman" w:eastAsia="宋体"/>
          <w:sz w:val="24"/>
          <w:vertAlign w:val="subscript"/>
        </w:rPr>
        <w:t>e</w:t>
      </w:r>
      <w:r>
        <w:rPr>
          <w:rFonts w:ascii="Times New Roman" w:hAnsi="Times New Roman" w:eastAsia="宋体"/>
          <w:sz w:val="24"/>
        </w:rPr>
        <w:t xml:space="preserve"> ∝ [Ce³⁺]·μ 的图像（consistent with，非确证）。需要指出，斜率检验只约束缺陷模型的一致性，不能单独证明漏电路径已被阻断，因此 3.5 节以 OCV 与 DRT 低频峰面积作独立验证。</w:t>
      </w:r>
    </w:p>
    <w:p>
      <w:pPr>
        <w:pStyle w:val="Heading2"/>
        <w:spacing w:before="120" w:after="120" w:line="360" w:lineRule="auto"/>
        <w:jc w:val="left"/>
      </w:pPr>
      <w:r>
        <w:rPr>
          <w:rFonts w:ascii="Times New Roman" w:hAnsi="Times New Roman" w:eastAsia="黑体"/>
          <w:b/>
          <w:sz w:val="26"/>
        </w:rPr>
        <w:t>3.5 单电池电化学性能</w:t>
      </w:r>
    </w:p>
    <w:p>
      <w:pPr>
        <w:spacing w:line="360" w:lineRule="auto" w:after="80"/>
        <w:ind w:firstLineChars="200" w:firstLine="480"/>
        <w:jc w:val="both"/>
      </w:pPr>
      <w:r>
        <w:rPr>
          <w:rFonts w:ascii="Times New Roman" w:hAnsi="Times New Roman" w:eastAsia="宋体"/>
          <w:b/>
          <w:sz w:val="24"/>
        </w:rPr>
        <w:t>表 T6（用途：单电池电化学性能，燃料 97% H₂–3% H₂O，氧化剂空气）</w:t>
      </w:r>
    </w:p>
    <w:tbl>
      <w:tblPr>
        <w:tblStyle w:val="TableGrid"/>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gridCol w:w="794"/>
      </w:tblGrid>
      <w:tr>
        <w:tc>
          <w:tcPr>
            <w:tcW w:type="dxa" w:w="794"/>
          </w:tcPr>
          <w:p>
            <w:pPr>
              <w:spacing w:line="276" w:lineRule="auto" w:after="0" w:before="0"/>
              <w:jc w:val="center"/>
            </w:pPr>
            <w:r/>
            <w:r>
              <w:rPr>
                <w:rFonts w:ascii="Times New Roman" w:hAnsi="Times New Roman" w:eastAsia="宋体"/>
                <w:b/>
                <w:sz w:val="21"/>
              </w:rPr>
              <w:t>电池</w:t>
            </w:r>
          </w:p>
        </w:tc>
        <w:tc>
          <w:tcPr>
            <w:tcW w:type="dxa" w:w="794"/>
          </w:tcPr>
          <w:p>
            <w:pPr>
              <w:spacing w:line="276" w:lineRule="auto" w:after="0" w:before="0"/>
              <w:jc w:val="center"/>
            </w:pPr>
            <w:r/>
            <w:r>
              <w:rPr>
                <w:rFonts w:ascii="Times New Roman" w:hAnsi="Times New Roman" w:eastAsia="宋体"/>
                <w:b/>
                <w:sz w:val="21"/>
              </w:rPr>
              <w:t>电解质（组成/厚度）</w:t>
            </w:r>
          </w:p>
        </w:tc>
        <w:tc>
          <w:tcPr>
            <w:tcW w:type="dxa" w:w="794"/>
          </w:tcPr>
          <w:p>
            <w:pPr>
              <w:spacing w:line="276" w:lineRule="auto" w:after="0" w:before="0"/>
              <w:jc w:val="center"/>
            </w:pPr>
            <w:r/>
            <w:r>
              <w:rPr>
                <w:rFonts w:ascii="Times New Roman" w:hAnsi="Times New Roman" w:eastAsia="宋体"/>
                <w:b/>
                <w:sz w:val="21"/>
              </w:rPr>
              <w:t>T / °C</w:t>
            </w:r>
          </w:p>
        </w:tc>
        <w:tc>
          <w:tcPr>
            <w:tcW w:type="dxa" w:w="794"/>
          </w:tcPr>
          <w:p>
            <w:pPr>
              <w:spacing w:line="276" w:lineRule="auto" w:after="0" w:before="0"/>
              <w:jc w:val="center"/>
            </w:pPr>
            <w:r/>
            <w:r>
              <w:rPr>
                <w:rFonts w:ascii="Times New Roman" w:hAnsi="Times New Roman" w:eastAsia="宋体"/>
                <w:b/>
                <w:sz w:val="21"/>
              </w:rPr>
              <w:t>燃料流量</w:t>
            </w:r>
          </w:p>
        </w:tc>
        <w:tc>
          <w:tcPr>
            <w:tcW w:type="dxa" w:w="794"/>
          </w:tcPr>
          <w:p>
            <w:pPr>
              <w:spacing w:line="276" w:lineRule="auto" w:after="0" w:before="0"/>
              <w:jc w:val="center"/>
            </w:pPr>
            <w:r/>
            <w:r>
              <w:rPr>
                <w:rFonts w:ascii="Times New Roman" w:hAnsi="Times New Roman" w:eastAsia="宋体"/>
                <w:b/>
                <w:sz w:val="21"/>
              </w:rPr>
              <w:t>OCV_实测 / V</w:t>
            </w:r>
          </w:p>
        </w:tc>
        <w:tc>
          <w:tcPr>
            <w:tcW w:type="dxa" w:w="794"/>
          </w:tcPr>
          <w:p>
            <w:pPr>
              <w:spacing w:line="276" w:lineRule="auto" w:after="0" w:before="0"/>
              <w:jc w:val="center"/>
            </w:pPr>
            <w:r/>
            <w:r>
              <w:rPr>
                <w:rFonts w:ascii="Times New Roman" w:hAnsi="Times New Roman" w:eastAsia="宋体"/>
                <w:b/>
                <w:sz w:val="21"/>
              </w:rPr>
              <w:t>OCV</w:t>
            </w:r>
            <w:r>
              <w:rPr>
                <w:rFonts w:ascii="Times New Roman" w:hAnsi="Times New Roman" w:eastAsia="宋体"/>
                <w:sz w:val="21"/>
                <w:vertAlign w:val="subscript"/>
              </w:rPr>
              <w:t>Nernst</w:t>
            </w:r>
            <w:r>
              <w:rPr>
                <w:rFonts w:ascii="Times New Roman" w:hAnsi="Times New Roman" w:eastAsia="宋体"/>
                <w:b/>
                <w:sz w:val="21"/>
              </w:rPr>
              <w:t xml:space="preserve"> / V</w:t>
            </w:r>
          </w:p>
        </w:tc>
        <w:tc>
          <w:tcPr>
            <w:tcW w:type="dxa" w:w="794"/>
          </w:tcPr>
          <w:p>
            <w:pPr>
              <w:spacing w:line="276" w:lineRule="auto" w:after="0" w:before="0"/>
              <w:jc w:val="center"/>
            </w:pPr>
            <w:r/>
            <w:r>
              <w:rPr>
                <w:rFonts w:ascii="Times New Roman" w:hAnsi="Times New Roman" w:eastAsia="宋体"/>
                <w:b/>
                <w:sz w:val="21"/>
              </w:rPr>
              <w:t>J</w:t>
            </w:r>
            <w:r>
              <w:rPr>
                <w:rFonts w:ascii="Times New Roman" w:hAnsi="Times New Roman" w:eastAsia="宋体"/>
                <w:sz w:val="21"/>
                <w:vertAlign w:val="subscript"/>
              </w:rPr>
              <w:t>sc</w:t>
            </w:r>
            <w:r>
              <w:rPr>
                <w:rFonts w:ascii="Times New Roman" w:hAnsi="Times New Roman" w:eastAsia="宋体"/>
                <w:b/>
                <w:sz w:val="21"/>
              </w:rPr>
              <w:t xml:space="preserve"> / A·cm⁻²</w:t>
            </w:r>
          </w:p>
        </w:tc>
        <w:tc>
          <w:tcPr>
            <w:tcW w:type="dxa" w:w="794"/>
          </w:tcPr>
          <w:p>
            <w:pPr>
              <w:spacing w:line="276" w:lineRule="auto" w:after="0" w:before="0"/>
              <w:jc w:val="center"/>
            </w:pPr>
            <w:r/>
            <w:r>
              <w:rPr>
                <w:rFonts w:ascii="Times New Roman" w:hAnsi="Times New Roman" w:eastAsia="宋体"/>
                <w:b/>
                <w:sz w:val="21"/>
              </w:rPr>
              <w:t>PPD / W·cm⁻²</w:t>
            </w:r>
          </w:p>
        </w:tc>
        <w:tc>
          <w:tcPr>
            <w:tcW w:type="dxa" w:w="794"/>
          </w:tcPr>
          <w:p>
            <w:pPr>
              <w:spacing w:line="276" w:lineRule="auto" w:after="0" w:before="0"/>
              <w:jc w:val="center"/>
            </w:pPr>
            <w:r/>
            <w:r>
              <w:rPr>
                <w:rFonts w:ascii="Times New Roman" w:hAnsi="Times New Roman" w:eastAsia="宋体"/>
                <w:b/>
                <w:sz w:val="21"/>
              </w:rPr>
              <w:t>ASR / Ω·cm²</w:t>
            </w:r>
          </w:p>
        </w:tc>
        <w:tc>
          <w:tcPr>
            <w:tcW w:type="dxa" w:w="794"/>
          </w:tcPr>
          <w:p>
            <w:pPr>
              <w:spacing w:line="276" w:lineRule="auto" w:after="0" w:before="0"/>
              <w:jc w:val="center"/>
            </w:pPr>
            <w:r/>
            <w:r>
              <w:rPr>
                <w:rFonts w:ascii="Times New Roman" w:hAnsi="Times New Roman" w:eastAsia="宋体"/>
                <w:b/>
                <w:sz w:val="21"/>
              </w:rPr>
              <w:t>n</w:t>
            </w:r>
          </w:p>
        </w:tc>
        <w:tc>
          <w:tcPr>
            <w:tcW w:type="dxa" w:w="794"/>
          </w:tcPr>
          <w:p>
            <w:pPr>
              <w:spacing w:line="276" w:lineRule="auto" w:after="0" w:before="0"/>
              <w:jc w:val="center"/>
            </w:pPr>
            <w:r/>
            <w:r>
              <w:rPr>
                <w:rFonts w:ascii="Times New Roman" w:hAnsi="Times New Roman" w:eastAsia="宋体"/>
                <w:b/>
                <w:sz w:val="21"/>
              </w:rPr>
              <w:t>mean ± SD</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GDC20-Ca2 单层 / 6 μm</w:t>
            </w:r>
          </w:p>
        </w:tc>
        <w:tc>
          <w:tcPr>
            <w:tcW w:type="dxa" w:w="794"/>
          </w:tcPr>
          <w:p>
            <w:pPr>
              <w:spacing w:line="276" w:lineRule="auto" w:after="0" w:before="0"/>
              <w:jc w:val="left"/>
            </w:pPr>
            <w:r/>
            <w:r>
              <w:rPr>
                <w:rFonts w:ascii="Times New Roman" w:hAnsi="Times New Roman" w:eastAsia="宋体"/>
                <w:sz w:val="21"/>
              </w:rPr>
              <w:t>500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0.96</w:t>
            </w:r>
          </w:p>
        </w:tc>
        <w:tc>
          <w:tcPr>
            <w:tcW w:type="dxa" w:w="794"/>
          </w:tcPr>
          <w:p>
            <w:pPr>
              <w:spacing w:line="276" w:lineRule="auto" w:after="0" w:before="0"/>
              <w:jc w:val="left"/>
            </w:pPr>
            <w:r/>
            <w:r>
              <w:rPr>
                <w:rFonts w:ascii="Times New Roman" w:hAnsi="Times New Roman" w:eastAsia="宋体"/>
                <w:sz w:val="21"/>
              </w:rPr>
              <w:t>1.13</w:t>
            </w:r>
          </w:p>
        </w:tc>
        <w:tc>
          <w:tcPr>
            <w:tcW w:type="dxa" w:w="794"/>
          </w:tcPr>
          <w:p>
            <w:pPr>
              <w:spacing w:line="276" w:lineRule="auto" w:after="0" w:before="0"/>
              <w:jc w:val="left"/>
            </w:pPr>
            <w:r/>
            <w:r>
              <w:rPr>
                <w:rFonts w:ascii="Times New Roman" w:hAnsi="Times New Roman" w:eastAsia="宋体"/>
                <w:sz w:val="21"/>
              </w:rPr>
              <w:t>1.15</w:t>
            </w:r>
          </w:p>
        </w:tc>
        <w:tc>
          <w:tcPr>
            <w:tcW w:type="dxa" w:w="794"/>
          </w:tcPr>
          <w:p>
            <w:pPr>
              <w:spacing w:line="276" w:lineRule="auto" w:after="0" w:before="0"/>
              <w:jc w:val="left"/>
            </w:pPr>
            <w:r/>
            <w:r>
              <w:rPr>
                <w:rFonts w:ascii="Times New Roman" w:hAnsi="Times New Roman" w:eastAsia="宋体"/>
                <w:sz w:val="21"/>
              </w:rPr>
              <w:t>0.42</w:t>
            </w:r>
          </w:p>
        </w:tc>
        <w:tc>
          <w:tcPr>
            <w:tcW w:type="dxa" w:w="794"/>
          </w:tcPr>
          <w:p>
            <w:pPr>
              <w:spacing w:line="276" w:lineRule="auto" w:after="0" w:before="0"/>
              <w:jc w:val="left"/>
            </w:pPr>
            <w:r/>
            <w:r>
              <w:rPr>
                <w:rFonts w:ascii="Times New Roman" w:hAnsi="Times New Roman" w:eastAsia="宋体"/>
                <w:sz w:val="21"/>
              </w:rPr>
              <w:t>0.52</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GDC20-Ca2 单层 / 6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0.94</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2.05</w:t>
            </w:r>
          </w:p>
        </w:tc>
        <w:tc>
          <w:tcPr>
            <w:tcW w:type="dxa" w:w="794"/>
          </w:tcPr>
          <w:p>
            <w:pPr>
              <w:spacing w:line="276" w:lineRule="auto" w:after="0" w:before="0"/>
              <w:jc w:val="left"/>
            </w:pPr>
            <w:r/>
            <w:r>
              <w:rPr>
                <w:rFonts w:ascii="Times New Roman" w:hAnsi="Times New Roman" w:eastAsia="宋体"/>
                <w:sz w:val="21"/>
              </w:rPr>
              <w:t>0.86</w:t>
            </w:r>
          </w:p>
        </w:tc>
        <w:tc>
          <w:tcPr>
            <w:tcW w:type="dxa" w:w="794"/>
          </w:tcPr>
          <w:p>
            <w:pPr>
              <w:spacing w:line="276" w:lineRule="auto" w:after="0" w:before="0"/>
              <w:jc w:val="left"/>
            </w:pPr>
            <w:r/>
            <w:r>
              <w:rPr>
                <w:rFonts w:ascii="Times New Roman" w:hAnsi="Times New Roman" w:eastAsia="宋体"/>
                <w:sz w:val="21"/>
              </w:rPr>
              <w:t>0.25</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GDC20-Ca2 单层 / 6 μm</w:t>
            </w:r>
          </w:p>
        </w:tc>
        <w:tc>
          <w:tcPr>
            <w:tcW w:type="dxa" w:w="794"/>
          </w:tcPr>
          <w:p>
            <w:pPr>
              <w:spacing w:line="276" w:lineRule="auto" w:after="0" w:before="0"/>
              <w:jc w:val="left"/>
            </w:pPr>
            <w:r/>
            <w:r>
              <w:rPr>
                <w:rFonts w:ascii="Times New Roman" w:hAnsi="Times New Roman" w:eastAsia="宋体"/>
                <w:sz w:val="21"/>
              </w:rPr>
              <w:t>700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0.91</w:t>
            </w:r>
          </w:p>
        </w:tc>
        <w:tc>
          <w:tcPr>
            <w:tcW w:type="dxa" w:w="794"/>
          </w:tcPr>
          <w:p>
            <w:pPr>
              <w:spacing w:line="276" w:lineRule="auto" w:after="0" w:before="0"/>
              <w:jc w:val="left"/>
            </w:pPr>
            <w:r/>
            <w:r>
              <w:rPr>
                <w:rFonts w:ascii="Times New Roman" w:hAnsi="Times New Roman" w:eastAsia="宋体"/>
                <w:sz w:val="21"/>
              </w:rPr>
              <w:t>1.07</w:t>
            </w:r>
          </w:p>
        </w:tc>
        <w:tc>
          <w:tcPr>
            <w:tcW w:type="dxa" w:w="794"/>
          </w:tcPr>
          <w:p>
            <w:pPr>
              <w:spacing w:line="276" w:lineRule="auto" w:after="0" w:before="0"/>
              <w:jc w:val="left"/>
            </w:pPr>
            <w:r/>
            <w:r>
              <w:rPr>
                <w:rFonts w:ascii="Times New Roman" w:hAnsi="Times New Roman" w:eastAsia="宋体"/>
                <w:sz w:val="21"/>
              </w:rPr>
              <w:t>3.00</w:t>
            </w:r>
          </w:p>
        </w:tc>
        <w:tc>
          <w:tcPr>
            <w:tcW w:type="dxa" w:w="794"/>
          </w:tcPr>
          <w:p>
            <w:pPr>
              <w:spacing w:line="276" w:lineRule="auto" w:after="0" w:before="0"/>
              <w:jc w:val="left"/>
            </w:pPr>
            <w:r/>
            <w:r>
              <w:rPr>
                <w:rFonts w:ascii="Times New Roman" w:hAnsi="Times New Roman" w:eastAsia="宋体"/>
                <w:sz w:val="21"/>
              </w:rPr>
              <w:t>1.18</w:t>
            </w:r>
          </w:p>
        </w:tc>
        <w:tc>
          <w:tcPr>
            <w:tcW w:type="dxa" w:w="794"/>
          </w:tcPr>
          <w:p>
            <w:pPr>
              <w:spacing w:line="276" w:lineRule="auto" w:after="0" w:before="0"/>
              <w:jc w:val="left"/>
            </w:pPr>
            <w:r/>
            <w:r>
              <w:rPr>
                <w:rFonts w:ascii="Times New Roman" w:hAnsi="Times New Roman" w:eastAsia="宋体"/>
                <w:sz w:val="21"/>
              </w:rPr>
              <w:t>0.17</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7%</w:t>
            </w:r>
          </w:p>
        </w:tc>
      </w:tr>
      <w:tr>
        <w:tc>
          <w:tcPr>
            <w:tcW w:type="dxa" w:w="794"/>
          </w:tcPr>
          <w:p>
            <w:pPr>
              <w:spacing w:line="276" w:lineRule="auto" w:after="0" w:before="0"/>
              <w:jc w:val="left"/>
            </w:pPr>
            <w:r/>
            <w:r>
              <w:rPr>
                <w:rFonts w:ascii="Times New Roman" w:hAnsi="Times New Roman" w:eastAsia="宋体"/>
                <w:sz w:val="21"/>
              </w:rPr>
              <w:t>B</w:t>
            </w:r>
          </w:p>
        </w:tc>
        <w:tc>
          <w:tcPr>
            <w:tcW w:type="dxa" w:w="794"/>
          </w:tcPr>
          <w:p>
            <w:pPr>
              <w:spacing w:line="276" w:lineRule="auto" w:after="0" w:before="0"/>
              <w:jc w:val="left"/>
            </w:pPr>
            <w:r/>
            <w:r>
              <w:rPr>
                <w:rFonts w:ascii="Times New Roman" w:hAnsi="Times New Roman" w:eastAsia="宋体"/>
                <w:sz w:val="21"/>
              </w:rPr>
              <w:t>GDC20-Ca2 + 0.3 μm YSZ / 6.3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0.97</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1.68</w:t>
            </w:r>
          </w:p>
        </w:tc>
        <w:tc>
          <w:tcPr>
            <w:tcW w:type="dxa" w:w="794"/>
          </w:tcPr>
          <w:p>
            <w:pPr>
              <w:spacing w:line="276" w:lineRule="auto" w:after="0" w:before="0"/>
              <w:jc w:val="left"/>
            </w:pPr>
            <w:r/>
            <w:r>
              <w:rPr>
                <w:rFonts w:ascii="Times New Roman" w:hAnsi="Times New Roman" w:eastAsia="宋体"/>
                <w:sz w:val="21"/>
              </w:rPr>
              <w:t>0.68</w:t>
            </w:r>
          </w:p>
        </w:tc>
        <w:tc>
          <w:tcPr>
            <w:tcW w:type="dxa" w:w="794"/>
          </w:tcPr>
          <w:p>
            <w:pPr>
              <w:spacing w:line="276" w:lineRule="auto" w:after="0" w:before="0"/>
              <w:jc w:val="left"/>
            </w:pPr>
            <w:r/>
            <w:r>
              <w:rPr>
                <w:rFonts w:ascii="Times New Roman" w:hAnsi="Times New Roman" w:eastAsia="宋体"/>
                <w:sz w:val="21"/>
              </w:rPr>
              <w:t>0.33</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r>
        <w:tc>
          <w:tcPr>
            <w:tcW w:type="dxa" w:w="794"/>
          </w:tcPr>
          <w:p>
            <w:pPr>
              <w:spacing w:line="276" w:lineRule="auto" w:after="0" w:before="0"/>
              <w:jc w:val="left"/>
            </w:pPr>
            <w:r/>
            <w:r>
              <w:rPr>
                <w:rFonts w:ascii="Times New Roman" w:hAnsi="Times New Roman" w:eastAsia="宋体"/>
                <w:sz w:val="21"/>
              </w:rPr>
              <w:t>C</w:t>
            </w:r>
          </w:p>
        </w:tc>
        <w:tc>
          <w:tcPr>
            <w:tcW w:type="dxa" w:w="794"/>
          </w:tcPr>
          <w:p>
            <w:pPr>
              <w:spacing w:line="276" w:lineRule="auto" w:after="0" w:before="0"/>
              <w:jc w:val="left"/>
            </w:pPr>
            <w:r/>
            <w:r>
              <w:rPr>
                <w:rFonts w:ascii="Times New Roman" w:hAnsi="Times New Roman" w:eastAsia="宋体"/>
                <w:sz w:val="21"/>
              </w:rPr>
              <w:t>GDC20-1Co 单层 / 6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0.88</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1.40</w:t>
            </w:r>
          </w:p>
        </w:tc>
        <w:tc>
          <w:tcPr>
            <w:tcW w:type="dxa" w:w="794"/>
          </w:tcPr>
          <w:p>
            <w:pPr>
              <w:spacing w:line="276" w:lineRule="auto" w:after="0" w:before="0"/>
              <w:jc w:val="left"/>
            </w:pPr>
            <w:r/>
            <w:r>
              <w:rPr>
                <w:rFonts w:ascii="Times New Roman" w:hAnsi="Times New Roman" w:eastAsia="宋体"/>
                <w:sz w:val="21"/>
              </w:rPr>
              <w:t>0.60</w:t>
            </w:r>
          </w:p>
        </w:tc>
        <w:tc>
          <w:tcPr>
            <w:tcW w:type="dxa" w:w="794"/>
          </w:tcPr>
          <w:p>
            <w:pPr>
              <w:spacing w:line="276" w:lineRule="auto" w:after="0" w:before="0"/>
              <w:jc w:val="left"/>
            </w:pPr>
            <w:r/>
            <w:r>
              <w:rPr>
                <w:rFonts w:ascii="Times New Roman" w:hAnsi="Times New Roman" w:eastAsia="宋体"/>
                <w:sz w:val="21"/>
              </w:rPr>
              <w:t>0.30</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0.03 V / ± 7%</w:t>
            </w:r>
          </w:p>
        </w:tc>
      </w:tr>
      <w:tr>
        <w:tc>
          <w:tcPr>
            <w:tcW w:type="dxa" w:w="794"/>
          </w:tcPr>
          <w:p>
            <w:pPr>
              <w:spacing w:line="276" w:lineRule="auto" w:after="0" w:before="0"/>
              <w:jc w:val="left"/>
            </w:pPr>
            <w:r/>
            <w:r>
              <w:rPr>
                <w:rFonts w:ascii="Times New Roman" w:hAnsi="Times New Roman" w:eastAsia="宋体"/>
                <w:sz w:val="21"/>
              </w:rPr>
              <w:t>D</w:t>
            </w:r>
          </w:p>
        </w:tc>
        <w:tc>
          <w:tcPr>
            <w:tcW w:type="dxa" w:w="794"/>
          </w:tcPr>
          <w:p>
            <w:pPr>
              <w:spacing w:line="276" w:lineRule="auto" w:after="0" w:before="0"/>
              <w:jc w:val="left"/>
            </w:pPr>
            <w:r/>
            <w:r>
              <w:rPr>
                <w:rFonts w:ascii="Times New Roman" w:hAnsi="Times New Roman" w:eastAsia="宋体"/>
                <w:sz w:val="21"/>
              </w:rPr>
              <w:t>GDC20 单层 / 6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0.86</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0.44</w:t>
            </w:r>
          </w:p>
        </w:tc>
        <w:tc>
          <w:tcPr>
            <w:tcW w:type="dxa" w:w="794"/>
          </w:tcPr>
          <w:p>
            <w:pPr>
              <w:spacing w:line="276" w:lineRule="auto" w:after="0" w:before="0"/>
              <w:jc w:val="left"/>
            </w:pPr>
            <w:r/>
            <w:r>
              <w:rPr>
                <w:rFonts w:ascii="Times New Roman" w:hAnsi="Times New Roman" w:eastAsia="宋体"/>
                <w:sz w:val="21"/>
              </w:rPr>
              <w:t>0.37</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0.03 V / ± 8%</w:t>
            </w:r>
          </w:p>
        </w:tc>
      </w:tr>
      <w:tr>
        <w:tc>
          <w:tcPr>
            <w:tcW w:type="dxa" w:w="794"/>
          </w:tcPr>
          <w:p>
            <w:pPr>
              <w:spacing w:line="276" w:lineRule="auto" w:after="0" w:before="0"/>
              <w:jc w:val="left"/>
            </w:pPr>
            <w:r/>
            <w:r>
              <w:rPr>
                <w:rFonts w:ascii="Times New Roman" w:hAnsi="Times New Roman" w:eastAsia="宋体"/>
                <w:sz w:val="21"/>
              </w:rPr>
              <w:t>E</w:t>
            </w:r>
          </w:p>
        </w:tc>
        <w:tc>
          <w:tcPr>
            <w:tcW w:type="dxa" w:w="794"/>
          </w:tcPr>
          <w:p>
            <w:pPr>
              <w:spacing w:line="276" w:lineRule="auto" w:after="0" w:before="0"/>
              <w:jc w:val="left"/>
            </w:pPr>
            <w:r/>
            <w:r>
              <w:rPr>
                <w:rFonts w:ascii="Times New Roman" w:hAnsi="Times New Roman" w:eastAsia="宋体"/>
                <w:sz w:val="21"/>
              </w:rPr>
              <w:t>GDC20 单层 / 6 μm（1400 °C 烧结）</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0.91</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1.75</w:t>
            </w:r>
          </w:p>
        </w:tc>
        <w:tc>
          <w:tcPr>
            <w:tcW w:type="dxa" w:w="794"/>
          </w:tcPr>
          <w:p>
            <w:pPr>
              <w:spacing w:line="276" w:lineRule="auto" w:after="0" w:before="0"/>
              <w:jc w:val="left"/>
            </w:pPr>
            <w:r/>
            <w:r>
              <w:rPr>
                <w:rFonts w:ascii="Times New Roman" w:hAnsi="Times New Roman" w:eastAsia="宋体"/>
                <w:sz w:val="21"/>
              </w:rPr>
              <w:t>0.78</w:t>
            </w:r>
          </w:p>
        </w:tc>
        <w:tc>
          <w:tcPr>
            <w:tcW w:type="dxa" w:w="794"/>
          </w:tcPr>
          <w:p>
            <w:pPr>
              <w:spacing w:line="276" w:lineRule="auto" w:after="0" w:before="0"/>
              <w:jc w:val="left"/>
            </w:pPr>
            <w:r/>
            <w:r>
              <w:rPr>
                <w:rFonts w:ascii="Times New Roman" w:hAnsi="Times New Roman" w:eastAsia="宋体"/>
                <w:sz w:val="21"/>
              </w:rPr>
              <w:t>0.26</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bl>
    <w:p>
      <w:pPr>
        <w:spacing w:after="80"/>
      </w:pPr>
    </w:p>
    <w:p>
      <w:pPr>
        <w:spacing w:line="360" w:lineRule="auto" w:after="80"/>
        <w:ind w:firstLineChars="200" w:firstLine="480"/>
        <w:jc w:val="both"/>
      </w:pPr>
      <w:r>
        <w:rPr>
          <w:rFonts w:ascii="Times New Roman" w:hAnsi="Times New Roman" w:eastAsia="宋体"/>
          <w:sz w:val="24"/>
        </w:rPr>
        <w:t>注：Nernst 值由 3% H₂O–H₂/空气、对应温度下的 ΔG°(H₂O) 计算；ASR 由 EIS 在 OCV 下的 R</w:t>
      </w:r>
      <w:r>
        <w:rPr>
          <w:rFonts w:ascii="Times New Roman" w:hAnsi="Times New Roman" w:eastAsia="宋体"/>
          <w:sz w:val="24"/>
          <w:vertAlign w:val="subscript"/>
        </w:rPr>
        <w:t>HF</w:t>
      </w:r>
      <w:r>
        <w:rPr>
          <w:rFonts w:ascii="Times New Roman" w:hAnsi="Times New Roman" w:eastAsia="宋体"/>
          <w:sz w:val="24"/>
        </w:rPr>
        <w:t xml:space="preserve"> + R</w:t>
      </w:r>
      <w:r>
        <w:rPr>
          <w:rFonts w:ascii="Times New Roman" w:hAnsi="Times New Roman" w:eastAsia="宋体"/>
          <w:sz w:val="24"/>
          <w:vertAlign w:val="subscript"/>
        </w:rPr>
        <w:t>p</w:t>
      </w:r>
      <w:r>
        <w:rPr>
          <w:rFonts w:ascii="Times New Roman" w:hAnsi="Times New Roman" w:eastAsia="宋体"/>
          <w:sz w:val="24"/>
        </w:rPr>
        <w:t xml:space="preserve"> 得到；功率自制性检验见正文；所有数值为拟议值，待实验确认。</w:t>
      </w:r>
    </w:p>
    <w:p>
      <w:pPr>
        <w:spacing w:line="360" w:lineRule="auto" w:after="80"/>
        <w:ind w:firstLineChars="200" w:firstLine="480"/>
        <w:jc w:val="both"/>
      </w:pPr>
      <w:r>
        <w:rPr>
          <w:rFonts w:ascii="Times New Roman" w:hAnsi="Times New Roman" w:eastAsia="宋体"/>
          <w:sz w:val="24"/>
        </w:rPr>
        <w:t>判据 3 后两项的拟议结论为：电池 A 在 600 °C 的 OCV 0.94 V（Nernst 值的 85.5%）与 PPD 0.86 W·cm⁻² 同时达到 OCV ≥ 0.90 V 与 PPD ≥ 0.8 W·cm⁻² 的门槛。三点拆解值得说明。首先，单层与亚微米阻挡层方案的权衡与预设不同：电池 B 的 OCV（0.97 V）高于 A，说明 YSZ 层的电子阻挡作用确实存在，但其代价是 PPD 降至 0.68 W·cm⁻²、ASR 升至 0.33 Ω·cm²，即「结构简单性」的收益并非 OCV 的提高，而是以 0.03 V 的 OCV 损失换取 0.18 W·cm⁻² 的功率增益与一道工序的减少 [2]。其次，电池 C 与 D 表明助烧剂与低温烧结本身不带来漏电抑制：GDC20-1Co 的 σ</w:t>
      </w:r>
      <w:r>
        <w:rPr>
          <w:rFonts w:ascii="Times New Roman" w:hAnsi="Times New Roman" w:eastAsia="宋体"/>
          <w:sz w:val="24"/>
          <w:vertAlign w:val="subscript"/>
        </w:rPr>
        <w:t>e</w:t>
      </w:r>
      <w:r>
        <w:rPr>
          <w:rFonts w:ascii="Times New Roman" w:hAnsi="Times New Roman" w:eastAsia="宋体"/>
          <w:sz w:val="24"/>
        </w:rPr>
        <w:t>（2.6×10⁻³ S·cm⁻¹）最高，其 OCV 最低（0.88 V），与 3.4 节的 σ</w:t>
      </w:r>
      <w:r>
        <w:rPr>
          <w:rFonts w:ascii="Times New Roman" w:hAnsi="Times New Roman" w:eastAsia="宋体"/>
          <w:sz w:val="24"/>
          <w:vertAlign w:val="subscript"/>
        </w:rPr>
        <w:t>e</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排序一致，构成跨表互洽。第三，电池 E 说明 Ca 共掺的定位是「以更低温度达到常规高温烧结水平」而非超越：GDC20 在 1400 °C 烧结后的 PPD 为 0.78 W·cm⁻²，与 1300 °C 的电池 A（0.86 W·cm⁻²）差异主要来自 σ</w:t>
      </w:r>
      <w:r>
        <w:rPr>
          <w:rFonts w:ascii="Times New Roman" w:hAnsi="Times New Roman" w:eastAsia="宋体"/>
          <w:sz w:val="24"/>
          <w:vertAlign w:val="subscript"/>
        </w:rPr>
        <w:t>e</w:t>
      </w:r>
      <w:r>
        <w:rPr>
          <w:rFonts w:ascii="Times New Roman" w:hAnsi="Times New Roman" w:eastAsia="宋体"/>
          <w:sz w:val="24"/>
        </w:rPr>
        <w:t>（1.4×10⁻³ vs 9.0×10⁻⁴ S·cm⁻¹）与接触质量，故本文不作「优于高温烧结」的断言（拟议值，待实验确认）。作为自制性检验，电池 A/B/C/D/E 在 600 °C 的 PPD 与理想二次极限 OCV²/(4·ASR) 之比分别为 0.97、0.96、0.93、0.88、0.98，均在 1 以内，说明报告中拟议的 OCV、ASR、PPD 三者在物理上互不矛盾；电池 D 偏低的比值归因于其较大的晶界电阻与电极极化非线性。</w:t>
      </w:r>
    </w:p>
    <w:p>
      <w:pPr>
        <w:pStyle w:val="Heading2"/>
        <w:spacing w:before="120" w:after="120" w:line="360" w:lineRule="auto"/>
        <w:jc w:val="left"/>
      </w:pPr>
      <w:r>
        <w:rPr>
          <w:rFonts w:ascii="Times New Roman" w:hAnsi="Times New Roman" w:eastAsia="黑体"/>
          <w:b/>
          <w:sz w:val="26"/>
        </w:rPr>
        <w:t>3.6 稳定性与衰减</w:t>
      </w:r>
    </w:p>
    <w:p>
      <w:pPr>
        <w:spacing w:line="360" w:lineRule="auto" w:after="80"/>
        <w:ind w:firstLineChars="200" w:firstLine="480"/>
        <w:jc w:val="both"/>
      </w:pPr>
      <w:r>
        <w:rPr>
          <w:rFonts w:ascii="Times New Roman" w:hAnsi="Times New Roman" w:eastAsia="宋体"/>
          <w:b/>
          <w:sz w:val="24"/>
        </w:rPr>
        <w:t>表 T7（用途：600 °C、0.5 A·cm⁻² 恒流短期（100 h）稳定性）</w:t>
      </w:r>
    </w:p>
    <w:tbl>
      <w:tblPr>
        <w:tblStyle w:val="TableGrid"/>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gridCol w:w="794"/>
      </w:tblGrid>
      <w:tr>
        <w:tc>
          <w:tcPr>
            <w:tcW w:type="dxa" w:w="794"/>
          </w:tcPr>
          <w:p>
            <w:pPr>
              <w:spacing w:line="276" w:lineRule="auto" w:after="0" w:before="0"/>
              <w:jc w:val="center"/>
            </w:pPr>
            <w:r/>
            <w:r>
              <w:rPr>
                <w:rFonts w:ascii="Times New Roman" w:hAnsi="Times New Roman" w:eastAsia="宋体"/>
                <w:b/>
                <w:sz w:val="21"/>
              </w:rPr>
              <w:t>电池</w:t>
            </w:r>
          </w:p>
        </w:tc>
        <w:tc>
          <w:tcPr>
            <w:tcW w:type="dxa" w:w="794"/>
          </w:tcPr>
          <w:p>
            <w:pPr>
              <w:spacing w:line="276" w:lineRule="auto" w:after="0" w:before="0"/>
              <w:jc w:val="center"/>
            </w:pPr>
            <w:r/>
            <w:r>
              <w:rPr>
                <w:rFonts w:ascii="Times New Roman" w:hAnsi="Times New Roman" w:eastAsia="宋体"/>
                <w:b/>
                <w:sz w:val="21"/>
              </w:rPr>
              <w:t>测试时长 / h</w:t>
            </w:r>
          </w:p>
        </w:tc>
        <w:tc>
          <w:tcPr>
            <w:tcW w:type="dxa" w:w="794"/>
          </w:tcPr>
          <w:p>
            <w:pPr>
              <w:spacing w:line="276" w:lineRule="auto" w:after="0" w:before="0"/>
              <w:jc w:val="center"/>
            </w:pPr>
            <w:r/>
            <w:r>
              <w:rPr>
                <w:rFonts w:ascii="Times New Roman" w:hAnsi="Times New Roman" w:eastAsia="宋体"/>
                <w:b/>
                <w:sz w:val="21"/>
              </w:rPr>
              <w:t>T / °C</w:t>
            </w:r>
          </w:p>
        </w:tc>
        <w:tc>
          <w:tcPr>
            <w:tcW w:type="dxa" w:w="794"/>
          </w:tcPr>
          <w:p>
            <w:pPr>
              <w:spacing w:line="276" w:lineRule="auto" w:after="0" w:before="0"/>
              <w:jc w:val="center"/>
            </w:pPr>
            <w:r/>
            <w:r>
              <w:rPr>
                <w:rFonts w:ascii="Times New Roman" w:hAnsi="Times New Roman" w:eastAsia="宋体"/>
                <w:b/>
                <w:sz w:val="21"/>
              </w:rPr>
              <w:t>电流密度 / A·cm⁻²</w:t>
            </w:r>
          </w:p>
        </w:tc>
        <w:tc>
          <w:tcPr>
            <w:tcW w:type="dxa" w:w="794"/>
          </w:tcPr>
          <w:p>
            <w:pPr>
              <w:spacing w:line="276" w:lineRule="auto" w:after="0" w:before="0"/>
              <w:jc w:val="center"/>
            </w:pPr>
            <w:r/>
            <w:r>
              <w:rPr>
                <w:rFonts w:ascii="Times New Roman" w:hAnsi="Times New Roman" w:eastAsia="宋体"/>
                <w:b/>
                <w:sz w:val="21"/>
              </w:rPr>
              <w:t>起始电压 / V</w:t>
            </w:r>
          </w:p>
        </w:tc>
        <w:tc>
          <w:tcPr>
            <w:tcW w:type="dxa" w:w="794"/>
          </w:tcPr>
          <w:p>
            <w:pPr>
              <w:spacing w:line="276" w:lineRule="auto" w:after="0" w:before="0"/>
              <w:jc w:val="center"/>
            </w:pPr>
            <w:r/>
            <w:r>
              <w:rPr>
                <w:rFonts w:ascii="Times New Roman" w:hAnsi="Times New Roman" w:eastAsia="宋体"/>
                <w:b/>
                <w:sz w:val="21"/>
              </w:rPr>
              <w:t>终止电压 / V</w:t>
            </w:r>
          </w:p>
        </w:tc>
        <w:tc>
          <w:tcPr>
            <w:tcW w:type="dxa" w:w="794"/>
          </w:tcPr>
          <w:p>
            <w:pPr>
              <w:spacing w:line="276" w:lineRule="auto" w:after="0" w:before="0"/>
              <w:jc w:val="center"/>
            </w:pPr>
            <w:r/>
            <w:r>
              <w:rPr>
                <w:rFonts w:ascii="Times New Roman" w:hAnsi="Times New Roman" w:eastAsia="宋体"/>
                <w:b/>
                <w:sz w:val="21"/>
              </w:rPr>
              <w:t>衰减率 / μV·h⁻¹</w:t>
            </w:r>
          </w:p>
        </w:tc>
        <w:tc>
          <w:tcPr>
            <w:tcW w:type="dxa" w:w="794"/>
          </w:tcPr>
          <w:p>
            <w:pPr>
              <w:spacing w:line="276" w:lineRule="auto" w:after="0" w:before="0"/>
              <w:jc w:val="center"/>
            </w:pPr>
            <w:r/>
            <w:r>
              <w:rPr>
                <w:rFonts w:ascii="Times New Roman" w:hAnsi="Times New Roman" w:eastAsia="宋体"/>
                <w:b/>
                <w:sz w:val="21"/>
              </w:rPr>
              <w:t>相对衰减 / %·(100 h)⁻¹</w:t>
            </w:r>
          </w:p>
        </w:tc>
        <w:tc>
          <w:tcPr>
            <w:tcW w:type="dxa" w:w="794"/>
          </w:tcPr>
          <w:p>
            <w:pPr>
              <w:spacing w:line="276" w:lineRule="auto" w:after="0" w:before="0"/>
              <w:jc w:val="center"/>
            </w:pPr>
            <w:r/>
            <w:r>
              <w:rPr>
                <w:rFonts w:ascii="Times New Roman" w:hAnsi="Times New Roman" w:eastAsia="宋体"/>
                <w:b/>
                <w:sz w:val="21"/>
              </w:rPr>
              <w:t>ASR 变化 / %</w:t>
            </w:r>
          </w:p>
        </w:tc>
        <w:tc>
          <w:tcPr>
            <w:tcW w:type="dxa" w:w="794"/>
          </w:tcPr>
          <w:p>
            <w:pPr>
              <w:spacing w:line="276" w:lineRule="auto" w:after="0" w:before="0"/>
              <w:jc w:val="center"/>
            </w:pPr>
            <w:r/>
            <w:r>
              <w:rPr>
                <w:rFonts w:ascii="Times New Roman" w:hAnsi="Times New Roman" w:eastAsia="宋体"/>
                <w:b/>
                <w:sz w:val="21"/>
              </w:rPr>
              <w:t>后测观察</w:t>
            </w:r>
          </w:p>
        </w:tc>
        <w:tc>
          <w:tcPr>
            <w:tcW w:type="dxa" w:w="794"/>
          </w:tcPr>
          <w:p>
            <w:pPr>
              <w:spacing w:line="276" w:lineRule="auto" w:after="0" w:before="0"/>
              <w:jc w:val="center"/>
            </w:pPr>
            <w:r/>
            <w:r>
              <w:rPr>
                <w:rFonts w:ascii="Times New Roman" w:hAnsi="Times New Roman" w:eastAsia="宋体"/>
                <w:b/>
                <w:sz w:val="21"/>
              </w:rPr>
              <w:t>n</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100</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0.5</w:t>
            </w:r>
          </w:p>
        </w:tc>
        <w:tc>
          <w:tcPr>
            <w:tcW w:type="dxa" w:w="794"/>
          </w:tcPr>
          <w:p>
            <w:pPr>
              <w:spacing w:line="276" w:lineRule="auto" w:after="0" w:before="0"/>
              <w:jc w:val="left"/>
            </w:pPr>
            <w:r/>
            <w:r>
              <w:rPr>
                <w:rFonts w:ascii="Times New Roman" w:hAnsi="Times New Roman" w:eastAsia="宋体"/>
                <w:sz w:val="21"/>
              </w:rPr>
              <w:t>0.780</w:t>
            </w:r>
          </w:p>
        </w:tc>
        <w:tc>
          <w:tcPr>
            <w:tcW w:type="dxa" w:w="794"/>
          </w:tcPr>
          <w:p>
            <w:pPr>
              <w:spacing w:line="276" w:lineRule="auto" w:after="0" w:before="0"/>
              <w:jc w:val="left"/>
            </w:pPr>
            <w:r/>
            <w:r>
              <w:rPr>
                <w:rFonts w:ascii="Times New Roman" w:hAnsi="Times New Roman" w:eastAsia="宋体"/>
                <w:sz w:val="21"/>
              </w:rPr>
              <w:t>0.7788</w:t>
            </w:r>
          </w:p>
        </w:tc>
        <w:tc>
          <w:tcPr>
            <w:tcW w:type="dxa" w:w="794"/>
          </w:tcPr>
          <w:p>
            <w:pPr>
              <w:spacing w:line="276" w:lineRule="auto" w:after="0" w:before="0"/>
              <w:jc w:val="left"/>
            </w:pPr>
            <w:r/>
            <w:r>
              <w:rPr>
                <w:rFonts w:ascii="Times New Roman" w:hAnsi="Times New Roman" w:eastAsia="宋体"/>
                <w:sz w:val="21"/>
              </w:rPr>
              <w:t>12</w:t>
            </w:r>
          </w:p>
        </w:tc>
        <w:tc>
          <w:tcPr>
            <w:tcW w:type="dxa" w:w="794"/>
          </w:tcPr>
          <w:p>
            <w:pPr>
              <w:spacing w:line="276" w:lineRule="auto" w:after="0" w:before="0"/>
              <w:jc w:val="left"/>
            </w:pPr>
            <w:r/>
            <w:r>
              <w:rPr>
                <w:rFonts w:ascii="Times New Roman" w:hAnsi="Times New Roman" w:eastAsia="宋体"/>
                <w:sz w:val="21"/>
              </w:rPr>
              <w:t>0.154</w:t>
            </w:r>
          </w:p>
        </w:tc>
        <w:tc>
          <w:tcPr>
            <w:tcW w:type="dxa" w:w="794"/>
          </w:tcPr>
          <w:p>
            <w:pPr>
              <w:spacing w:line="276" w:lineRule="auto" w:after="0" w:before="0"/>
              <w:jc w:val="left"/>
            </w:pPr>
            <w:r/>
            <w:r>
              <w:rPr>
                <w:rFonts w:ascii="Times New Roman" w:hAnsi="Times New Roman" w:eastAsia="宋体"/>
                <w:sz w:val="21"/>
              </w:rPr>
              <w:t>+4.8</w:t>
            </w:r>
          </w:p>
        </w:tc>
        <w:tc>
          <w:tcPr>
            <w:tcW w:type="dxa" w:w="794"/>
          </w:tcPr>
          <w:p>
            <w:pPr>
              <w:spacing w:line="276" w:lineRule="auto" w:after="0" w:before="0"/>
              <w:jc w:val="left"/>
            </w:pPr>
            <w:r/>
            <w:r>
              <w:rPr>
                <w:rFonts w:ascii="Times New Roman" w:hAnsi="Times New Roman" w:eastAsia="宋体"/>
                <w:sz w:val="21"/>
              </w:rPr>
              <w:t>XRD 无新相；阴极/电解质界面出现少量纳米孔洞与 Sr 偏析迹象（EDS 半定量，拟议）</w:t>
            </w:r>
          </w:p>
        </w:tc>
        <w:tc>
          <w:tcPr>
            <w:tcW w:type="dxa" w:w="794"/>
          </w:tcPr>
          <w:p>
            <w:pPr>
              <w:spacing w:line="276" w:lineRule="auto" w:after="0" w:before="0"/>
              <w:jc w:val="left"/>
            </w:pPr>
            <w:r/>
            <w:r>
              <w:rPr>
                <w:rFonts w:ascii="Times New Roman" w:hAnsi="Times New Roman" w:eastAsia="宋体"/>
                <w:sz w:val="21"/>
              </w:rPr>
              <w:t>5</w:t>
            </w:r>
          </w:p>
        </w:tc>
      </w:tr>
      <w:tr>
        <w:tc>
          <w:tcPr>
            <w:tcW w:type="dxa" w:w="794"/>
          </w:tcPr>
          <w:p>
            <w:pPr>
              <w:spacing w:line="276" w:lineRule="auto" w:after="0" w:before="0"/>
              <w:jc w:val="left"/>
            </w:pPr>
            <w:r/>
            <w:r>
              <w:rPr>
                <w:rFonts w:ascii="Times New Roman" w:hAnsi="Times New Roman" w:eastAsia="宋体"/>
                <w:sz w:val="21"/>
              </w:rPr>
              <w:t>B</w:t>
            </w:r>
          </w:p>
        </w:tc>
        <w:tc>
          <w:tcPr>
            <w:tcW w:type="dxa" w:w="794"/>
          </w:tcPr>
          <w:p>
            <w:pPr>
              <w:spacing w:line="276" w:lineRule="auto" w:after="0" w:before="0"/>
              <w:jc w:val="left"/>
            </w:pPr>
            <w:r/>
            <w:r>
              <w:rPr>
                <w:rFonts w:ascii="Times New Roman" w:hAnsi="Times New Roman" w:eastAsia="宋体"/>
                <w:sz w:val="21"/>
              </w:rPr>
              <w:t>100</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0.5</w:t>
            </w:r>
          </w:p>
        </w:tc>
        <w:tc>
          <w:tcPr>
            <w:tcW w:type="dxa" w:w="794"/>
          </w:tcPr>
          <w:p>
            <w:pPr>
              <w:spacing w:line="276" w:lineRule="auto" w:after="0" w:before="0"/>
              <w:jc w:val="left"/>
            </w:pPr>
            <w:r/>
            <w:r>
              <w:rPr>
                <w:rFonts w:ascii="Times New Roman" w:hAnsi="Times New Roman" w:eastAsia="宋体"/>
                <w:sz w:val="21"/>
              </w:rPr>
              <w:t>0.800</w:t>
            </w:r>
          </w:p>
        </w:tc>
        <w:tc>
          <w:tcPr>
            <w:tcW w:type="dxa" w:w="794"/>
          </w:tcPr>
          <w:p>
            <w:pPr>
              <w:spacing w:line="276" w:lineRule="auto" w:after="0" w:before="0"/>
              <w:jc w:val="left"/>
            </w:pPr>
            <w:r/>
            <w:r>
              <w:rPr>
                <w:rFonts w:ascii="Times New Roman" w:hAnsi="Times New Roman" w:eastAsia="宋体"/>
                <w:sz w:val="21"/>
              </w:rPr>
              <w:t>0.7975</w:t>
            </w:r>
          </w:p>
        </w:tc>
        <w:tc>
          <w:tcPr>
            <w:tcW w:type="dxa" w:w="794"/>
          </w:tcPr>
          <w:p>
            <w:pPr>
              <w:spacing w:line="276" w:lineRule="auto" w:after="0" w:before="0"/>
              <w:jc w:val="left"/>
            </w:pPr>
            <w:r/>
            <w:r>
              <w:rPr>
                <w:rFonts w:ascii="Times New Roman" w:hAnsi="Times New Roman" w:eastAsia="宋体"/>
                <w:sz w:val="21"/>
              </w:rPr>
              <w:t>25</w:t>
            </w:r>
          </w:p>
        </w:tc>
        <w:tc>
          <w:tcPr>
            <w:tcW w:type="dxa" w:w="794"/>
          </w:tcPr>
          <w:p>
            <w:pPr>
              <w:spacing w:line="276" w:lineRule="auto" w:after="0" w:before="0"/>
              <w:jc w:val="left"/>
            </w:pPr>
            <w:r/>
            <w:r>
              <w:rPr>
                <w:rFonts w:ascii="Times New Roman" w:hAnsi="Times New Roman" w:eastAsia="宋体"/>
                <w:sz w:val="21"/>
              </w:rPr>
              <w:t>0.313</w:t>
            </w:r>
          </w:p>
        </w:tc>
        <w:tc>
          <w:tcPr>
            <w:tcW w:type="dxa" w:w="794"/>
          </w:tcPr>
          <w:p>
            <w:pPr>
              <w:spacing w:line="276" w:lineRule="auto" w:after="0" w:before="0"/>
              <w:jc w:val="left"/>
            </w:pPr>
            <w:r/>
            <w:r>
              <w:rPr>
                <w:rFonts w:ascii="Times New Roman" w:hAnsi="Times New Roman" w:eastAsia="宋体"/>
                <w:sz w:val="21"/>
              </w:rPr>
              <w:t>+7.0</w:t>
            </w:r>
          </w:p>
        </w:tc>
        <w:tc>
          <w:tcPr>
            <w:tcW w:type="dxa" w:w="794"/>
          </w:tcPr>
          <w:p>
            <w:pPr>
              <w:spacing w:line="276" w:lineRule="auto" w:after="0" w:before="0"/>
              <w:jc w:val="left"/>
            </w:pPr>
            <w:r/>
            <w:r>
              <w:rPr>
                <w:rFonts w:ascii="Times New Roman" w:hAnsi="Times New Roman" w:eastAsia="宋体"/>
                <w:sz w:val="21"/>
              </w:rPr>
              <w:t>YSZ/GDC 界面检出疑为 (Zr,Gd)O₂ 相关相的弱信号（拟议，待确认）</w:t>
            </w:r>
          </w:p>
        </w:tc>
        <w:tc>
          <w:tcPr>
            <w:tcW w:type="dxa" w:w="794"/>
          </w:tcPr>
          <w:p>
            <w:pPr>
              <w:spacing w:line="276" w:lineRule="auto" w:after="0" w:before="0"/>
              <w:jc w:val="left"/>
            </w:pPr>
            <w:r/>
            <w:r>
              <w:rPr>
                <w:rFonts w:ascii="Times New Roman" w:hAnsi="Times New Roman" w:eastAsia="宋体"/>
                <w:sz w:val="21"/>
              </w:rPr>
              <w:t>5</w:t>
            </w:r>
          </w:p>
        </w:tc>
      </w:tr>
      <w:tr>
        <w:tc>
          <w:tcPr>
            <w:tcW w:type="dxa" w:w="794"/>
          </w:tcPr>
          <w:p>
            <w:pPr>
              <w:spacing w:line="276" w:lineRule="auto" w:after="0" w:before="0"/>
              <w:jc w:val="left"/>
            </w:pPr>
            <w:r/>
            <w:r>
              <w:rPr>
                <w:rFonts w:ascii="Times New Roman" w:hAnsi="Times New Roman" w:eastAsia="宋体"/>
                <w:sz w:val="21"/>
              </w:rPr>
              <w:t>C</w:t>
            </w:r>
          </w:p>
        </w:tc>
        <w:tc>
          <w:tcPr>
            <w:tcW w:type="dxa" w:w="794"/>
          </w:tcPr>
          <w:p>
            <w:pPr>
              <w:spacing w:line="276" w:lineRule="auto" w:after="0" w:before="0"/>
              <w:jc w:val="left"/>
            </w:pPr>
            <w:r/>
            <w:r>
              <w:rPr>
                <w:rFonts w:ascii="Times New Roman" w:hAnsi="Times New Roman" w:eastAsia="宋体"/>
                <w:sz w:val="21"/>
              </w:rPr>
              <w:t>100</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0.5</w:t>
            </w:r>
          </w:p>
        </w:tc>
        <w:tc>
          <w:tcPr>
            <w:tcW w:type="dxa" w:w="794"/>
          </w:tcPr>
          <w:p>
            <w:pPr>
              <w:spacing w:line="276" w:lineRule="auto" w:after="0" w:before="0"/>
              <w:jc w:val="left"/>
            </w:pPr>
            <w:r/>
            <w:r>
              <w:rPr>
                <w:rFonts w:ascii="Times New Roman" w:hAnsi="Times New Roman" w:eastAsia="宋体"/>
                <w:sz w:val="21"/>
              </w:rPr>
              <w:t>0.735</w:t>
            </w:r>
          </w:p>
        </w:tc>
        <w:tc>
          <w:tcPr>
            <w:tcW w:type="dxa" w:w="794"/>
          </w:tcPr>
          <w:p>
            <w:pPr>
              <w:spacing w:line="276" w:lineRule="auto" w:after="0" w:before="0"/>
              <w:jc w:val="left"/>
            </w:pPr>
            <w:r/>
            <w:r>
              <w:rPr>
                <w:rFonts w:ascii="Times New Roman" w:hAnsi="Times New Roman" w:eastAsia="宋体"/>
                <w:sz w:val="21"/>
              </w:rPr>
              <w:t>0.7285</w:t>
            </w:r>
          </w:p>
        </w:tc>
        <w:tc>
          <w:tcPr>
            <w:tcW w:type="dxa" w:w="794"/>
          </w:tcPr>
          <w:p>
            <w:pPr>
              <w:spacing w:line="276" w:lineRule="auto" w:after="0" w:before="0"/>
              <w:jc w:val="left"/>
            </w:pPr>
            <w:r/>
            <w:r>
              <w:rPr>
                <w:rFonts w:ascii="Times New Roman" w:hAnsi="Times New Roman" w:eastAsia="宋体"/>
                <w:sz w:val="21"/>
              </w:rPr>
              <w:t>65</w:t>
            </w:r>
          </w:p>
        </w:tc>
        <w:tc>
          <w:tcPr>
            <w:tcW w:type="dxa" w:w="794"/>
          </w:tcPr>
          <w:p>
            <w:pPr>
              <w:spacing w:line="276" w:lineRule="auto" w:after="0" w:before="0"/>
              <w:jc w:val="left"/>
            </w:pPr>
            <w:r/>
            <w:r>
              <w:rPr>
                <w:rFonts w:ascii="Times New Roman" w:hAnsi="Times New Roman" w:eastAsia="宋体"/>
                <w:sz w:val="21"/>
              </w:rPr>
              <w:t>0.884</w:t>
            </w:r>
          </w:p>
        </w:tc>
        <w:tc>
          <w:tcPr>
            <w:tcW w:type="dxa" w:w="794"/>
          </w:tcPr>
          <w:p>
            <w:pPr>
              <w:spacing w:line="276" w:lineRule="auto" w:after="0" w:before="0"/>
              <w:jc w:val="left"/>
            </w:pPr>
            <w:r/>
            <w:r>
              <w:rPr>
                <w:rFonts w:ascii="Times New Roman" w:hAnsi="Times New Roman" w:eastAsia="宋体"/>
                <w:sz w:val="21"/>
              </w:rPr>
              <w:t>+9.3</w:t>
            </w:r>
          </w:p>
        </w:tc>
        <w:tc>
          <w:tcPr>
            <w:tcW w:type="dxa" w:w="794"/>
          </w:tcPr>
          <w:p>
            <w:pPr>
              <w:spacing w:line="276" w:lineRule="auto" w:after="0" w:before="0"/>
              <w:jc w:val="left"/>
            </w:pPr>
            <w:r/>
            <w:r>
              <w:rPr>
                <w:rFonts w:ascii="Times New Roman" w:hAnsi="Times New Roman" w:eastAsia="宋体"/>
                <w:sz w:val="21"/>
              </w:rPr>
              <w:t>电解质表层 Ce³⁺ 分数由 22.8% 升至 26.1%（XPS，拟议）</w:t>
            </w:r>
          </w:p>
        </w:tc>
        <w:tc>
          <w:tcPr>
            <w:tcW w:type="dxa" w:w="794"/>
          </w:tcPr>
          <w:p>
            <w:pPr>
              <w:spacing w:line="276" w:lineRule="auto" w:after="0" w:before="0"/>
              <w:jc w:val="left"/>
            </w:pPr>
            <w:r/>
            <w:r>
              <w:rPr>
                <w:rFonts w:ascii="Times New Roman" w:hAnsi="Times New Roman" w:eastAsia="宋体"/>
                <w:sz w:val="21"/>
              </w:rPr>
              <w:t>5</w:t>
            </w:r>
          </w:p>
        </w:tc>
      </w:tr>
    </w:tbl>
    <w:p>
      <w:pPr>
        <w:spacing w:after="80"/>
      </w:pPr>
    </w:p>
    <w:p>
      <w:pPr>
        <w:spacing w:line="360" w:lineRule="auto" w:after="80"/>
        <w:ind w:firstLineChars="200" w:firstLine="480"/>
        <w:jc w:val="both"/>
      </w:pPr>
      <w:r>
        <w:rPr>
          <w:rFonts w:ascii="Times New Roman" w:hAnsi="Times New Roman" w:eastAsia="宋体"/>
          <w:sz w:val="24"/>
        </w:rPr>
        <w:t>注：相对衰减按 ΔV/V₀ 计算，例电池 A：12 μV·h⁻¹ × 100 h = 1.2 mV，1.2 mV/780 mV = 0.154%；ASR 变化例：0.250 → 0.262 Ω·cm²，+4.8%。所有数值为拟议值，待实验确认。</w:t>
      </w:r>
    </w:p>
    <w:p>
      <w:pPr>
        <w:spacing w:line="360" w:lineRule="auto" w:after="80"/>
        <w:ind w:firstLineChars="200" w:firstLine="480"/>
        <w:jc w:val="both"/>
      </w:pPr>
      <w:r>
        <w:rPr>
          <w:rFonts w:ascii="Times New Roman" w:hAnsi="Times New Roman" w:eastAsia="宋体"/>
          <w:sz w:val="24"/>
        </w:rPr>
        <w:t>该组数据只支持</w:t>
      </w:r>
      <w:r>
        <w:rPr>
          <w:rFonts w:ascii="Times New Roman" w:hAnsi="Times New Roman" w:eastAsia="宋体"/>
          <w:b/>
          <w:sz w:val="24"/>
        </w:rPr>
        <w:t>短期稳定性（short-term stability，100 h）</w:t>
      </w:r>
      <w:r>
        <w:rPr>
          <w:rFonts w:ascii="Times New Roman" w:hAnsi="Times New Roman" w:eastAsia="宋体"/>
          <w:sz w:val="24"/>
        </w:rPr>
        <w:t>结论：电池 A 的相对衰减 0.154%·(100 h)⁻¹ 约为电池 C（0.884%）的六分之一，与 σ</w:t>
      </w:r>
      <w:r>
        <w:rPr>
          <w:rFonts w:ascii="Times New Roman" w:hAnsi="Times New Roman" w:eastAsia="宋体"/>
          <w:sz w:val="24"/>
          <w:vertAlign w:val="subscript"/>
        </w:rPr>
        <w:t>e</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的样品排序一致；但 100 h 不足以支撑任何长期稳定性表述，长期结论需要 500–1000 h 数据。衰减归因的候选包括阴极/电解质界面演化、晶界相变与阳极侧 Ce 还原，本文在拟议阶段仅将其列为 hypothesis，其判别所需观测列于 4.1 节 M6。</w:t>
      </w:r>
    </w:p>
    <w:p>
      <w:pPr>
        <w:pStyle w:val="Heading1"/>
        <w:spacing w:before="200" w:after="120" w:line="360" w:lineRule="auto"/>
        <w:jc w:val="left"/>
      </w:pPr>
      <w:r>
        <w:rPr>
          <w:rFonts w:ascii="Times New Roman" w:hAnsi="Times New Roman" w:eastAsia="黑体"/>
          <w:b/>
          <w:sz w:val="28"/>
        </w:rPr>
        <w:t>4 讨论</w:t>
      </w:r>
    </w:p>
    <w:p>
      <w:pPr>
        <w:pStyle w:val="Heading2"/>
        <w:spacing w:before="120" w:after="120" w:line="360" w:lineRule="auto"/>
        <w:jc w:val="left"/>
      </w:pPr>
      <w:r>
        <w:rPr>
          <w:rFonts w:ascii="Times New Roman" w:hAnsi="Times New Roman" w:eastAsia="黑体"/>
          <w:b/>
          <w:sz w:val="26"/>
        </w:rPr>
        <w:t>4.1 机制证据评估</w:t>
      </w:r>
    </w:p>
    <w:p>
      <w:pPr>
        <w:spacing w:line="360" w:lineRule="auto" w:after="80"/>
        <w:ind w:firstLineChars="200" w:firstLine="480"/>
        <w:jc w:val="both"/>
      </w:pPr>
      <w:r>
        <w:rPr>
          <w:rFonts w:ascii="Times New Roman" w:hAnsi="Times New Roman" w:eastAsia="宋体"/>
          <w:b/>
          <w:sz w:val="24"/>
        </w:rPr>
        <w:t>表 T8（用途：逐条声明机制的证据等级，防止声称—证据不一致）</w:t>
      </w:r>
    </w:p>
    <w:tbl>
      <w:tblPr>
        <w:tblStyle w:val="TableGrid"/>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Pr>
          <w:p>
            <w:pPr>
              <w:spacing w:line="276" w:lineRule="auto" w:after="0" w:before="0"/>
              <w:jc w:val="center"/>
            </w:pPr>
            <w:r/>
            <w:r>
              <w:rPr>
                <w:rFonts w:ascii="Times New Roman" w:hAnsi="Times New Roman" w:eastAsia="宋体"/>
                <w:b/>
                <w:sz w:val="21"/>
              </w:rPr>
              <w:t>编号</w:t>
            </w:r>
          </w:p>
        </w:tc>
        <w:tc>
          <w:tcPr>
            <w:tcW w:type="dxa" w:w="1247"/>
          </w:tcPr>
          <w:p>
            <w:pPr>
              <w:spacing w:line="276" w:lineRule="auto" w:after="0" w:before="0"/>
              <w:jc w:val="center"/>
            </w:pPr>
            <w:r/>
            <w:r>
              <w:rPr>
                <w:rFonts w:ascii="Times New Roman" w:hAnsi="Times New Roman" w:eastAsia="宋体"/>
                <w:b/>
                <w:sz w:val="21"/>
              </w:rPr>
              <w:t>拟提出的机制</w:t>
            </w:r>
          </w:p>
        </w:tc>
        <w:tc>
          <w:tcPr>
            <w:tcW w:type="dxa" w:w="1247"/>
          </w:tcPr>
          <w:p>
            <w:pPr>
              <w:spacing w:line="276" w:lineRule="auto" w:after="0" w:before="0"/>
              <w:jc w:val="center"/>
            </w:pPr>
            <w:r/>
            <w:r>
              <w:rPr>
                <w:rFonts w:ascii="Times New Roman" w:hAnsi="Times New Roman" w:eastAsia="宋体"/>
                <w:b/>
                <w:sz w:val="21"/>
              </w:rPr>
              <w:t>支撑表征/数据（拟议）</w:t>
            </w:r>
          </w:p>
        </w:tc>
        <w:tc>
          <w:tcPr>
            <w:tcW w:type="dxa" w:w="1247"/>
          </w:tcPr>
          <w:p>
            <w:pPr>
              <w:spacing w:line="276" w:lineRule="auto" w:after="0" w:before="0"/>
              <w:jc w:val="center"/>
            </w:pPr>
            <w:r/>
            <w:r>
              <w:rPr>
                <w:rFonts w:ascii="Times New Roman" w:hAnsi="Times New Roman" w:eastAsia="宋体"/>
                <w:b/>
                <w:sz w:val="21"/>
              </w:rPr>
              <w:t>证据等级</w:t>
            </w:r>
          </w:p>
        </w:tc>
        <w:tc>
          <w:tcPr>
            <w:tcW w:type="dxa" w:w="1247"/>
          </w:tcPr>
          <w:p>
            <w:pPr>
              <w:spacing w:line="276" w:lineRule="auto" w:after="0" w:before="0"/>
              <w:jc w:val="center"/>
            </w:pPr>
            <w:r/>
            <w:r>
              <w:rPr>
                <w:rFonts w:ascii="Times New Roman" w:hAnsi="Times New Roman" w:eastAsia="宋体"/>
                <w:b/>
                <w:sz w:val="21"/>
              </w:rPr>
              <w:t>竞争解释</w:t>
            </w:r>
          </w:p>
        </w:tc>
        <w:tc>
          <w:tcPr>
            <w:tcW w:type="dxa" w:w="1247"/>
          </w:tcPr>
          <w:p>
            <w:pPr>
              <w:spacing w:line="276" w:lineRule="auto" w:after="0" w:before="0"/>
              <w:jc w:val="center"/>
            </w:pPr>
            <w:r/>
            <w:r>
              <w:rPr>
                <w:rFonts w:ascii="Times New Roman" w:hAnsi="Times New Roman" w:eastAsia="宋体"/>
                <w:b/>
                <w:sz w:val="21"/>
              </w:rPr>
              <w:t>判别依据</w:t>
            </w:r>
          </w:p>
        </w:tc>
        <w:tc>
          <w:tcPr>
            <w:tcW w:type="dxa" w:w="1247"/>
          </w:tcPr>
          <w:p>
            <w:pPr>
              <w:spacing w:line="276" w:lineRule="auto" w:after="0" w:before="0"/>
              <w:jc w:val="center"/>
            </w:pPr>
            <w:r/>
            <w:r>
              <w:rPr>
                <w:rFonts w:ascii="Times New Roman" w:hAnsi="Times New Roman" w:eastAsia="宋体"/>
                <w:b/>
                <w:sz w:val="21"/>
              </w:rPr>
              <w:t>需补实验</w:t>
            </w:r>
          </w:p>
        </w:tc>
      </w:tr>
      <w:tr>
        <w:tc>
          <w:tcPr>
            <w:tcW w:type="dxa" w:w="1247"/>
          </w:tcPr>
          <w:p>
            <w:pPr>
              <w:spacing w:line="276" w:lineRule="auto" w:after="0" w:before="0"/>
              <w:jc w:val="left"/>
            </w:pPr>
            <w:r/>
            <w:r>
              <w:rPr>
                <w:rFonts w:ascii="Times New Roman" w:hAnsi="Times New Roman" w:eastAsia="宋体"/>
                <w:sz w:val="21"/>
              </w:rPr>
              <w:t>M1</w:t>
            </w:r>
          </w:p>
        </w:tc>
        <w:tc>
          <w:tcPr>
            <w:tcW w:type="dxa" w:w="1247"/>
          </w:tcPr>
          <w:p>
            <w:pPr>
              <w:spacing w:line="276" w:lineRule="auto" w:after="0" w:before="0"/>
              <w:jc w:val="left"/>
            </w:pPr>
            <w:r/>
            <w:r>
              <w:rPr>
                <w:rFonts w:ascii="Times New Roman" w:hAnsi="Times New Roman" w:eastAsia="宋体"/>
                <w:sz w:val="21"/>
              </w:rPr>
              <w:t>Ca 共掺降低烧结活化能，经体扩散/晶界迁移路径实现 ≤1300 °C 致密化</w:t>
            </w:r>
          </w:p>
        </w:tc>
        <w:tc>
          <w:tcPr>
            <w:tcW w:type="dxa" w:w="1247"/>
          </w:tcPr>
          <w:p>
            <w:pPr>
              <w:spacing w:line="276" w:lineRule="auto" w:after="0" w:before="0"/>
              <w:jc w:val="left"/>
            </w:pPr>
            <w:r/>
            <w:r>
              <w:rPr>
                <w:rFonts w:ascii="Times New Roman" w:hAnsi="Times New Roman" w:eastAsia="宋体"/>
                <w:sz w:val="21"/>
              </w:rPr>
              <w:t>T2 密度–温度曲线（1300 °C 97.9% vs 1250 °C 94.6%）、晶粒尺寸–温度关系、TGA 氧空位浓度</w:t>
            </w:r>
          </w:p>
        </w:tc>
        <w:tc>
          <w:tcPr>
            <w:tcW w:type="dxa" w:w="1247"/>
          </w:tcPr>
          <w:p>
            <w:pPr>
              <w:spacing w:line="276" w:lineRule="auto" w:after="0" w:before="0"/>
              <w:jc w:val="left"/>
            </w:pPr>
            <w:r/>
            <w:r>
              <w:rPr>
                <w:rFonts w:ascii="Times New Roman" w:hAnsi="Times New Roman" w:eastAsia="宋体"/>
                <w:sz w:val="21"/>
              </w:rPr>
              <w:t>间接</w:t>
            </w:r>
          </w:p>
        </w:tc>
        <w:tc>
          <w:tcPr>
            <w:tcW w:type="dxa" w:w="1247"/>
          </w:tcPr>
          <w:p>
            <w:pPr>
              <w:spacing w:line="276" w:lineRule="auto" w:after="0" w:before="0"/>
              <w:jc w:val="left"/>
            </w:pPr>
            <w:r/>
            <w:r>
              <w:rPr>
                <w:rFonts w:ascii="Times New Roman" w:hAnsi="Times New Roman" w:eastAsia="宋体"/>
                <w:sz w:val="21"/>
              </w:rPr>
              <w:t>粉体粒径与压制密度差异导致的致密化差异</w:t>
            </w:r>
          </w:p>
        </w:tc>
        <w:tc>
          <w:tcPr>
            <w:tcW w:type="dxa" w:w="1247"/>
          </w:tcPr>
          <w:p>
            <w:pPr>
              <w:spacing w:line="276" w:lineRule="auto" w:after="0" w:before="0"/>
              <w:jc w:val="left"/>
            </w:pPr>
            <w:r/>
            <w:r>
              <w:rPr>
                <w:rFonts w:ascii="Times New Roman" w:hAnsi="Times New Roman" w:eastAsia="宋体"/>
                <w:sz w:val="21"/>
              </w:rPr>
              <w:t>需 dilatometry 定量的收缩活化能之差，且粉体粒径分布须无统计差异</w:t>
            </w:r>
          </w:p>
        </w:tc>
        <w:tc>
          <w:tcPr>
            <w:tcW w:type="dxa" w:w="1247"/>
          </w:tcPr>
          <w:p>
            <w:pPr>
              <w:spacing w:line="276" w:lineRule="auto" w:after="0" w:before="0"/>
              <w:jc w:val="left"/>
            </w:pPr>
            <w:r/>
            <w:r>
              <w:rPr>
                <w:rFonts w:ascii="Times New Roman" w:hAnsi="Times New Roman" w:eastAsia="宋体"/>
                <w:sz w:val="21"/>
              </w:rPr>
              <w:t>收缩率/致密化活化能定量（Fig 2 补）</w:t>
            </w:r>
          </w:p>
        </w:tc>
      </w:tr>
      <w:tr>
        <w:tc>
          <w:tcPr>
            <w:tcW w:type="dxa" w:w="1247"/>
          </w:tcPr>
          <w:p>
            <w:pPr>
              <w:spacing w:line="276" w:lineRule="auto" w:after="0" w:before="0"/>
              <w:jc w:val="left"/>
            </w:pPr>
            <w:r/>
            <w:r>
              <w:rPr>
                <w:rFonts w:ascii="Times New Roman" w:hAnsi="Times New Roman" w:eastAsia="宋体"/>
                <w:sz w:val="21"/>
              </w:rPr>
              <w:t>M2</w:t>
            </w:r>
          </w:p>
        </w:tc>
        <w:tc>
          <w:tcPr>
            <w:tcW w:type="dxa" w:w="1247"/>
          </w:tcPr>
          <w:p>
            <w:pPr>
              <w:spacing w:line="276" w:lineRule="auto" w:after="0" w:before="0"/>
              <w:jc w:val="left"/>
            </w:pPr>
            <w:r/>
            <w:r>
              <w:rPr>
                <w:rFonts w:ascii="Times New Roman" w:hAnsi="Times New Roman" w:eastAsia="宋体"/>
                <w:sz w:val="21"/>
              </w:rPr>
              <w:t>晶界硅酸盐杂质相被清除或无害化，导致 R</w:t>
            </w:r>
            <w:r>
              <w:rPr>
                <w:rFonts w:ascii="Times New Roman" w:hAnsi="Times New Roman" w:eastAsia="宋体"/>
                <w:sz w:val="21"/>
                <w:vertAlign w:val="subscript"/>
              </w:rPr>
              <w:t>gb</w:t>
            </w:r>
            <w:r>
              <w:rPr>
                <w:rFonts w:ascii="Times New Roman" w:hAnsi="Times New Roman" w:eastAsia="宋体"/>
                <w:sz w:val="21"/>
              </w:rPr>
              <w:t xml:space="preserve"> 下降</w:t>
            </w:r>
          </w:p>
        </w:tc>
        <w:tc>
          <w:tcPr>
            <w:tcW w:type="dxa" w:w="1247"/>
          </w:tcPr>
          <w:p>
            <w:pPr>
              <w:spacing w:line="276" w:lineRule="auto" w:after="0" w:before="0"/>
              <w:jc w:val="left"/>
            </w:pPr>
            <w:r/>
            <w:r>
              <w:rPr>
                <w:rFonts w:ascii="Times New Roman" w:hAnsi="Times New Roman" w:eastAsia="宋体"/>
                <w:sz w:val="21"/>
              </w:rPr>
              <w:t>STEM-EDS 晶界线扫 Si/Ca/Gd 分布（半定量）、EBSD 晶界取向</w:t>
            </w:r>
          </w:p>
        </w:tc>
        <w:tc>
          <w:tcPr>
            <w:tcW w:type="dxa" w:w="1247"/>
          </w:tcPr>
          <w:p>
            <w:pPr>
              <w:spacing w:line="276" w:lineRule="auto" w:after="0" w:before="0"/>
              <w:jc w:val="left"/>
            </w:pPr>
            <w:r/>
            <w:r>
              <w:rPr>
                <w:rFonts w:ascii="Times New Roman" w:hAnsi="Times New Roman" w:eastAsia="宋体"/>
                <w:sz w:val="21"/>
              </w:rPr>
              <w:t>直接（仅当 EDS 给出定量线扫时）</w:t>
            </w:r>
          </w:p>
        </w:tc>
        <w:tc>
          <w:tcPr>
            <w:tcW w:type="dxa" w:w="1247"/>
          </w:tcPr>
          <w:p>
            <w:pPr>
              <w:spacing w:line="276" w:lineRule="auto" w:after="0" w:before="0"/>
              <w:jc w:val="left"/>
            </w:pPr>
            <w:r/>
            <w:r>
              <w:rPr>
                <w:rFonts w:ascii="Times New Roman" w:hAnsi="Times New Roman" w:eastAsia="宋体"/>
                <w:sz w:val="21"/>
              </w:rPr>
              <w:t>晶粒尺寸差异带来的晶界数量变化</w:t>
            </w:r>
          </w:p>
        </w:tc>
        <w:tc>
          <w:tcPr>
            <w:tcW w:type="dxa" w:w="1247"/>
          </w:tcPr>
          <w:p>
            <w:pPr>
              <w:spacing w:line="276" w:lineRule="auto" w:after="0" w:before="0"/>
              <w:jc w:val="left"/>
            </w:pPr>
            <w:r/>
            <w:r>
              <w:rPr>
                <w:rFonts w:ascii="Times New Roman" w:hAnsi="Times New Roman" w:eastAsia="宋体"/>
                <w:sz w:val="21"/>
              </w:rPr>
              <w:t>需在归一化到单位晶界面积后比较比晶界电导，而非比较表观 R</w:t>
            </w:r>
            <w:r>
              <w:rPr>
                <w:rFonts w:ascii="Times New Roman" w:hAnsi="Times New Roman" w:eastAsia="宋体"/>
                <w:sz w:val="21"/>
                <w:vertAlign w:val="subscript"/>
              </w:rPr>
              <w:t>gb</w:t>
            </w:r>
          </w:p>
        </w:tc>
        <w:tc>
          <w:tcPr>
            <w:tcW w:type="dxa" w:w="1247"/>
          </w:tcPr>
          <w:p>
            <w:pPr>
              <w:spacing w:line="276" w:lineRule="auto" w:after="0" w:before="0"/>
              <w:jc w:val="left"/>
            </w:pPr>
            <w:r/>
            <w:r>
              <w:rPr>
                <w:rFonts w:ascii="Times New Roman" w:hAnsi="Times New Roman" w:eastAsia="宋体"/>
                <w:sz w:val="21"/>
              </w:rPr>
              <w:t>STEM-EDS 定量线扫 + EBSD</w:t>
            </w:r>
          </w:p>
        </w:tc>
      </w:tr>
      <w:tr>
        <w:tc>
          <w:tcPr>
            <w:tcW w:type="dxa" w:w="1247"/>
          </w:tcPr>
          <w:p>
            <w:pPr>
              <w:spacing w:line="276" w:lineRule="auto" w:after="0" w:before="0"/>
              <w:jc w:val="left"/>
            </w:pPr>
            <w:r/>
            <w:r>
              <w:rPr>
                <w:rFonts w:ascii="Times New Roman" w:hAnsi="Times New Roman" w:eastAsia="宋体"/>
                <w:sz w:val="21"/>
              </w:rPr>
              <w:t>M3</w:t>
            </w:r>
          </w:p>
        </w:tc>
        <w:tc>
          <w:tcPr>
            <w:tcW w:type="dxa" w:w="1247"/>
          </w:tcPr>
          <w:p>
            <w:pPr>
              <w:spacing w:line="276" w:lineRule="auto" w:after="0" w:before="0"/>
              <w:jc w:val="left"/>
            </w:pPr>
            <w:r/>
            <w:r>
              <w:rPr>
                <w:rFonts w:ascii="Times New Roman" w:hAnsi="Times New Roman" w:eastAsia="宋体"/>
                <w:sz w:val="21"/>
              </w:rPr>
              <w:t>空间电荷层氧空位耗尽被缓解</w:t>
            </w:r>
          </w:p>
        </w:tc>
        <w:tc>
          <w:tcPr>
            <w:tcW w:type="dxa" w:w="1247"/>
          </w:tcPr>
          <w:p>
            <w:pPr>
              <w:spacing w:line="276" w:lineRule="auto" w:after="0" w:before="0"/>
              <w:jc w:val="left"/>
            </w:pPr>
            <w:r/>
            <w:r>
              <w:rPr>
                <w:rFonts w:ascii="Times New Roman" w:hAnsi="Times New Roman" w:eastAsia="宋体"/>
                <w:sz w:val="21"/>
              </w:rPr>
              <w:t>晶界电导随温度的变化（R</w:t>
            </w:r>
            <w:r>
              <w:rPr>
                <w:rFonts w:ascii="Times New Roman" w:hAnsi="Times New Roman" w:eastAsia="宋体"/>
                <w:sz w:val="21"/>
                <w:vertAlign w:val="subscript"/>
              </w:rPr>
              <w:t>gb</w:t>
            </w:r>
            <w:r>
              <w:rPr>
                <w:rFonts w:ascii="Times New Roman" w:hAnsi="Times New Roman" w:eastAsia="宋体"/>
                <w:sz w:val="21"/>
              </w:rPr>
              <w:t xml:space="preserve"> 占比 400 °C 70.7% → 600 °C 49.4%）、DRT 峰位</w:t>
            </w:r>
          </w:p>
        </w:tc>
        <w:tc>
          <w:tcPr>
            <w:tcW w:type="dxa" w:w="1247"/>
          </w:tcPr>
          <w:p>
            <w:pPr>
              <w:spacing w:line="276" w:lineRule="auto" w:after="0" w:before="0"/>
              <w:jc w:val="left"/>
            </w:pPr>
            <w:r/>
            <w:r>
              <w:rPr>
                <w:rFonts w:ascii="Times New Roman" w:hAnsi="Times New Roman" w:eastAsia="宋体"/>
                <w:sz w:val="21"/>
              </w:rPr>
              <w:t>间接</w:t>
            </w:r>
          </w:p>
        </w:tc>
        <w:tc>
          <w:tcPr>
            <w:tcW w:type="dxa" w:w="1247"/>
          </w:tcPr>
          <w:p>
            <w:pPr>
              <w:spacing w:line="276" w:lineRule="auto" w:after="0" w:before="0"/>
              <w:jc w:val="left"/>
            </w:pPr>
            <w:r/>
            <w:r>
              <w:rPr>
                <w:rFonts w:ascii="Times New Roman" w:hAnsi="Times New Roman" w:eastAsia="宋体"/>
                <w:sz w:val="21"/>
              </w:rPr>
              <w:t>与 M2 混淆；空间电荷层与杂质相在同一频段贡献重叠</w:t>
            </w:r>
          </w:p>
        </w:tc>
        <w:tc>
          <w:tcPr>
            <w:tcW w:type="dxa" w:w="1247"/>
          </w:tcPr>
          <w:p>
            <w:pPr>
              <w:spacing w:line="276" w:lineRule="auto" w:after="0" w:before="0"/>
              <w:jc w:val="left"/>
            </w:pPr>
            <w:r/>
            <w:r>
              <w:rPr>
                <w:rFonts w:ascii="Times New Roman" w:hAnsi="Times New Roman" w:eastAsia="宋体"/>
                <w:sz w:val="21"/>
              </w:rPr>
              <w:t>需设计「杂质敏感 vs 杂质不敏感」两类样品对照，或用偏析势垒的独立测定分辨</w:t>
            </w:r>
          </w:p>
        </w:tc>
        <w:tc>
          <w:tcPr>
            <w:tcW w:type="dxa" w:w="1247"/>
          </w:tcPr>
          <w:p>
            <w:pPr>
              <w:spacing w:line="276" w:lineRule="auto" w:after="0" w:before="0"/>
              <w:jc w:val="left"/>
            </w:pPr>
            <w:r/>
            <w:r>
              <w:rPr>
                <w:rFonts w:ascii="Times New Roman" w:hAnsi="Times New Roman" w:eastAsia="宋体"/>
                <w:sz w:val="21"/>
              </w:rPr>
              <w:t>变晶粒尺寸系列 + DRT 峰面积灵敏度分析 [3][4][7]</w:t>
            </w:r>
          </w:p>
        </w:tc>
      </w:tr>
      <w:tr>
        <w:tc>
          <w:tcPr>
            <w:tcW w:type="dxa" w:w="1247"/>
          </w:tcPr>
          <w:p>
            <w:pPr>
              <w:spacing w:line="276" w:lineRule="auto" w:after="0" w:before="0"/>
              <w:jc w:val="left"/>
            </w:pPr>
            <w:r/>
            <w:r>
              <w:rPr>
                <w:rFonts w:ascii="Times New Roman" w:hAnsi="Times New Roman" w:eastAsia="宋体"/>
                <w:sz w:val="21"/>
              </w:rPr>
              <w:t>M4</w:t>
            </w:r>
          </w:p>
        </w:tc>
        <w:tc>
          <w:tcPr>
            <w:tcW w:type="dxa" w:w="1247"/>
          </w:tcPr>
          <w:p>
            <w:pPr>
              <w:spacing w:line="276" w:lineRule="auto" w:after="0" w:before="0"/>
              <w:jc w:val="left"/>
            </w:pPr>
            <w:r/>
            <w:r>
              <w:rPr>
                <w:rFonts w:ascii="Times New Roman" w:hAnsi="Times New Roman" w:eastAsia="宋体"/>
                <w:sz w:val="21"/>
              </w:rPr>
              <w:t>Ce³⁺ 还原程度被抑制，导致电子电导下降</w:t>
            </w:r>
          </w:p>
        </w:tc>
        <w:tc>
          <w:tcPr>
            <w:tcW w:type="dxa" w:w="1247"/>
          </w:tcPr>
          <w:p>
            <w:pPr>
              <w:spacing w:line="276" w:lineRule="auto" w:after="0" w:before="0"/>
              <w:jc w:val="left"/>
            </w:pPr>
            <w:r/>
            <w:r>
              <w:rPr>
                <w:rFonts w:ascii="Times New Roman" w:hAnsi="Times New Roman" w:eastAsia="宋体"/>
                <w:sz w:val="21"/>
              </w:rPr>
              <w:t>XPS Ce³⁺ 分数（8.4% vs 17.6%）、σ</w:t>
            </w:r>
            <w:r>
              <w:rPr>
                <w:rFonts w:ascii="Times New Roman" w:hAnsi="Times New Roman" w:eastAsia="宋体"/>
                <w:sz w:val="21"/>
                <w:vertAlign w:val="subscript"/>
              </w:rPr>
              <w:t>e</w:t>
            </w:r>
            <w:r>
              <w:rPr>
                <w:rFonts w:ascii="Times New Roman" w:hAnsi="Times New Roman" w:eastAsia="宋体"/>
                <w:sz w:val="21"/>
              </w:rPr>
              <w:t>–pO₂ 斜率（−0.249 ± 0.007）、σ</w:t>
            </w:r>
            <w:r>
              <w:rPr>
                <w:rFonts w:ascii="Times New Roman" w:hAnsi="Times New Roman" w:eastAsia="宋体"/>
                <w:sz w:val="21"/>
                <w:vertAlign w:val="subscript"/>
              </w:rPr>
              <w:t>e</w:t>
            </w:r>
            <w:r>
              <w:rPr>
                <w:rFonts w:ascii="Times New Roman" w:hAnsi="Times New Roman" w:eastAsia="宋体"/>
                <w:sz w:val="21"/>
              </w:rPr>
              <w:t xml:space="preserve"> 量级</w:t>
            </w:r>
          </w:p>
        </w:tc>
        <w:tc>
          <w:tcPr>
            <w:tcW w:type="dxa" w:w="1247"/>
          </w:tcPr>
          <w:p>
            <w:pPr>
              <w:spacing w:line="276" w:lineRule="auto" w:after="0" w:before="0"/>
              <w:jc w:val="left"/>
            </w:pPr>
            <w:r/>
            <w:r>
              <w:rPr>
                <w:rFonts w:ascii="Times New Roman" w:hAnsi="Times New Roman" w:eastAsia="宋体"/>
                <w:sz w:val="21"/>
              </w:rPr>
              <w:t>直接（须 XPS 与 σ</w:t>
            </w:r>
            <w:r>
              <w:rPr>
                <w:rFonts w:ascii="Times New Roman" w:hAnsi="Times New Roman" w:eastAsia="宋体"/>
                <w:sz w:val="21"/>
                <w:vertAlign w:val="subscript"/>
              </w:rPr>
              <w:t>e</w:t>
            </w:r>
            <w:r>
              <w:rPr>
                <w:rFonts w:ascii="Times New Roman" w:hAnsi="Times New Roman" w:eastAsia="宋体"/>
                <w:sz w:val="21"/>
              </w:rPr>
              <w:t xml:space="preserve"> 同时给出且比值自洽）</w:t>
            </w:r>
          </w:p>
        </w:tc>
        <w:tc>
          <w:tcPr>
            <w:tcW w:type="dxa" w:w="1247"/>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降低源于迁移率而非载流子浓度变化</w:t>
            </w:r>
          </w:p>
        </w:tc>
        <w:tc>
          <w:tcPr>
            <w:tcW w:type="dxa" w:w="1247"/>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比值与 Ce³⁺ 分数比值须在 10% 内一致（本文拟议偏差 6%）</w:t>
            </w:r>
          </w:p>
        </w:tc>
        <w:tc>
          <w:tcPr>
            <w:tcW w:type="dxa" w:w="1247"/>
          </w:tcPr>
          <w:p>
            <w:pPr>
              <w:spacing w:line="276" w:lineRule="auto" w:after="0" w:before="0"/>
              <w:jc w:val="left"/>
            </w:pPr>
            <w:r/>
            <w:r>
              <w:rPr>
                <w:rFonts w:ascii="Times New Roman" w:hAnsi="Times New Roman" w:eastAsia="宋体"/>
                <w:sz w:val="21"/>
              </w:rPr>
              <w:t>变温 XPS + TGA δ–pO₂ [5]</w:t>
            </w:r>
          </w:p>
        </w:tc>
      </w:tr>
      <w:tr>
        <w:tc>
          <w:tcPr>
            <w:tcW w:type="dxa" w:w="1247"/>
          </w:tcPr>
          <w:p>
            <w:pPr>
              <w:spacing w:line="276" w:lineRule="auto" w:after="0" w:before="0"/>
              <w:jc w:val="left"/>
            </w:pPr>
            <w:r/>
            <w:r>
              <w:rPr>
                <w:rFonts w:ascii="Times New Roman" w:hAnsi="Times New Roman" w:eastAsia="宋体"/>
                <w:sz w:val="21"/>
              </w:rPr>
              <w:t>M5</w:t>
            </w:r>
          </w:p>
        </w:tc>
        <w:tc>
          <w:tcPr>
            <w:tcW w:type="dxa" w:w="1247"/>
          </w:tcPr>
          <w:p>
            <w:pPr>
              <w:spacing w:line="276" w:lineRule="auto" w:after="0" w:before="0"/>
              <w:jc w:val="left"/>
            </w:pPr>
            <w:r/>
            <w:r>
              <w:rPr>
                <w:rFonts w:ascii="Times New Roman" w:hAnsi="Times New Roman" w:eastAsia="宋体"/>
                <w:sz w:val="21"/>
              </w:rPr>
              <w:t>OCV 提升来自漏电路径抑制，而非界面副产物的偶然作用</w:t>
            </w:r>
          </w:p>
        </w:tc>
        <w:tc>
          <w:tcPr>
            <w:tcW w:type="dxa" w:w="1247"/>
          </w:tcPr>
          <w:p>
            <w:pPr>
              <w:spacing w:line="276" w:lineRule="auto" w:after="0" w:before="0"/>
              <w:jc w:val="left"/>
            </w:pPr>
            <w:r/>
            <w:r>
              <w:rPr>
                <w:rFonts w:ascii="Times New Roman" w:hAnsi="Times New Roman" w:eastAsia="宋体"/>
                <w:sz w:val="21"/>
              </w:rPr>
              <w:t>OCV–pO₂/J 联合测量、DRT 低频峰面积、开路阻抗</w:t>
            </w:r>
          </w:p>
        </w:tc>
        <w:tc>
          <w:tcPr>
            <w:tcW w:type="dxa" w:w="1247"/>
          </w:tcPr>
          <w:p>
            <w:pPr>
              <w:spacing w:line="276" w:lineRule="auto" w:after="0" w:before="0"/>
              <w:jc w:val="left"/>
            </w:pPr>
            <w:r/>
            <w:r>
              <w:rPr>
                <w:rFonts w:ascii="Times New Roman" w:hAnsi="Times New Roman" w:eastAsia="宋体"/>
                <w:sz w:val="21"/>
              </w:rPr>
              <w:t>直接（须 M4 与 M5 证据交叉一致）</w:t>
            </w:r>
          </w:p>
        </w:tc>
        <w:tc>
          <w:tcPr>
            <w:tcW w:type="dxa" w:w="1247"/>
          </w:tcPr>
          <w:p>
            <w:pPr>
              <w:spacing w:line="276" w:lineRule="auto" w:after="0" w:before="0"/>
              <w:jc w:val="left"/>
            </w:pPr>
            <w:r/>
            <w:r>
              <w:rPr>
                <w:rFonts w:ascii="Times New Roman" w:hAnsi="Times New Roman" w:eastAsia="宋体"/>
                <w:sz w:val="21"/>
              </w:rPr>
              <w:t>阴极极化改善或接触电阻下降造成的假性提升</w:t>
            </w:r>
          </w:p>
        </w:tc>
        <w:tc>
          <w:tcPr>
            <w:tcW w:type="dxa" w:w="1247"/>
          </w:tcPr>
          <w:p>
            <w:pPr>
              <w:spacing w:line="276" w:lineRule="auto" w:after="0" w:before="0"/>
              <w:jc w:val="left"/>
            </w:pPr>
            <w:r/>
            <w:r>
              <w:rPr>
                <w:rFonts w:ascii="Times New Roman" w:hAnsi="Times New Roman" w:eastAsia="宋体"/>
                <w:sz w:val="21"/>
              </w:rPr>
              <w:t>DRT 低频峰面积须与 σ</w:t>
            </w:r>
            <w:r>
              <w:rPr>
                <w:rFonts w:ascii="Times New Roman" w:hAnsi="Times New Roman" w:eastAsia="宋体"/>
                <w:sz w:val="21"/>
                <w:vertAlign w:val="subscript"/>
              </w:rPr>
              <w:t>e</w:t>
            </w:r>
            <w:r>
              <w:rPr>
                <w:rFonts w:ascii="Times New Roman" w:hAnsi="Times New Roman" w:eastAsia="宋体"/>
                <w:sz w:val="21"/>
              </w:rPr>
              <w:t xml:space="preserve"> 变化同向且量级相符</w:t>
            </w:r>
          </w:p>
        </w:tc>
        <w:tc>
          <w:tcPr>
            <w:tcW w:type="dxa" w:w="1247"/>
          </w:tcPr>
          <w:p>
            <w:pPr>
              <w:spacing w:line="276" w:lineRule="auto" w:after="0" w:before="0"/>
              <w:jc w:val="left"/>
            </w:pPr>
            <w:r/>
            <w:r>
              <w:rPr>
                <w:rFonts w:ascii="Times New Roman" w:hAnsi="Times New Roman" w:eastAsia="宋体"/>
                <w:sz w:val="21"/>
              </w:rPr>
              <w:t>变 pO₂ 的 OCV 序列 + 开路阻抗谱</w:t>
            </w:r>
          </w:p>
        </w:tc>
      </w:tr>
      <w:tr>
        <w:tc>
          <w:tcPr>
            <w:tcW w:type="dxa" w:w="1247"/>
          </w:tcPr>
          <w:p>
            <w:pPr>
              <w:spacing w:line="276" w:lineRule="auto" w:after="0" w:before="0"/>
              <w:jc w:val="left"/>
            </w:pPr>
            <w:r/>
            <w:r>
              <w:rPr>
                <w:rFonts w:ascii="Times New Roman" w:hAnsi="Times New Roman" w:eastAsia="宋体"/>
                <w:sz w:val="21"/>
              </w:rPr>
              <w:t>M6</w:t>
            </w:r>
          </w:p>
        </w:tc>
        <w:tc>
          <w:tcPr>
            <w:tcW w:type="dxa" w:w="1247"/>
          </w:tcPr>
          <w:p>
            <w:pPr>
              <w:spacing w:line="276" w:lineRule="auto" w:after="0" w:before="0"/>
              <w:jc w:val="left"/>
            </w:pPr>
            <w:r/>
            <w:r>
              <w:rPr>
                <w:rFonts w:ascii="Times New Roman" w:hAnsi="Times New Roman" w:eastAsia="宋体"/>
                <w:sz w:val="21"/>
              </w:rPr>
              <w:t>≥100 h 衰减由阴极/电解质界面或晶界相演化主导</w:t>
            </w:r>
          </w:p>
        </w:tc>
        <w:tc>
          <w:tcPr>
            <w:tcW w:type="dxa" w:w="1247"/>
          </w:tcPr>
          <w:p>
            <w:pPr>
              <w:spacing w:line="276" w:lineRule="auto" w:after="0" w:before="0"/>
              <w:jc w:val="left"/>
            </w:pPr>
            <w:r/>
            <w:r>
              <w:rPr>
                <w:rFonts w:ascii="Times New Roman" w:hAnsi="Times New Roman" w:eastAsia="宋体"/>
                <w:sz w:val="21"/>
              </w:rPr>
              <w:t>T7 后测 XRD/SEM/XPS、ASR 时间演化、DRT 峰演化</w:t>
            </w:r>
          </w:p>
        </w:tc>
        <w:tc>
          <w:tcPr>
            <w:tcW w:type="dxa" w:w="1247"/>
          </w:tcPr>
          <w:p>
            <w:pPr>
              <w:spacing w:line="276" w:lineRule="auto" w:after="0" w:before="0"/>
              <w:jc w:val="left"/>
            </w:pPr>
            <w:r/>
            <w:r>
              <w:rPr>
                <w:rFonts w:ascii="Times New Roman" w:hAnsi="Times New Roman" w:eastAsia="宋体"/>
                <w:sz w:val="21"/>
              </w:rPr>
              <w:t>拟议阶段为 hypothesis</w:t>
            </w:r>
          </w:p>
        </w:tc>
        <w:tc>
          <w:tcPr>
            <w:tcW w:type="dxa" w:w="1247"/>
          </w:tcPr>
          <w:p>
            <w:pPr>
              <w:spacing w:line="276" w:lineRule="auto" w:after="0" w:before="0"/>
              <w:jc w:val="left"/>
            </w:pPr>
            <w:r/>
            <w:r>
              <w:rPr>
                <w:rFonts w:ascii="Times New Roman" w:hAnsi="Times New Roman" w:eastAsia="宋体"/>
                <w:sz w:val="21"/>
              </w:rPr>
              <w:t>阳极侧 Ce 还原、密封泄漏、电流密度分布不均</w:t>
            </w:r>
          </w:p>
        </w:tc>
        <w:tc>
          <w:tcPr>
            <w:tcW w:type="dxa" w:w="1247"/>
          </w:tcPr>
          <w:p>
            <w:pPr>
              <w:spacing w:line="276" w:lineRule="auto" w:after="0" w:before="0"/>
              <w:jc w:val="left"/>
            </w:pPr>
            <w:r/>
            <w:r>
              <w:rPr>
                <w:rFonts w:ascii="Times New Roman" w:hAnsi="Times New Roman" w:eastAsia="宋体"/>
                <w:sz w:val="21"/>
              </w:rPr>
              <w:t>需排除泄漏（开路电压回归）与阳极贡献（对称电池分测）后，方可归因于阴极界面</w:t>
            </w:r>
          </w:p>
        </w:tc>
        <w:tc>
          <w:tcPr>
            <w:tcW w:type="dxa" w:w="1247"/>
          </w:tcPr>
          <w:p>
            <w:pPr>
              <w:spacing w:line="276" w:lineRule="auto" w:after="0" w:before="0"/>
              <w:jc w:val="left"/>
            </w:pPr>
            <w:r/>
            <w:r>
              <w:rPr>
                <w:rFonts w:ascii="Times New Roman" w:hAnsi="Times New Roman" w:eastAsia="宋体"/>
                <w:sz w:val="21"/>
              </w:rPr>
              <w:t>≥500 h 测试 + 后测 STEM-EDS</w:t>
            </w:r>
          </w:p>
        </w:tc>
      </w:tr>
    </w:tbl>
    <w:p>
      <w:pPr>
        <w:spacing w:after="80"/>
      </w:pPr>
    </w:p>
    <w:p>
      <w:pPr>
        <w:spacing w:line="360" w:lineRule="auto" w:after="80"/>
        <w:ind w:firstLineChars="200" w:firstLine="480"/>
        <w:jc w:val="both"/>
      </w:pPr>
      <w:r>
        <w:rPr>
          <w:rFonts w:ascii="Times New Roman" w:hAnsi="Times New Roman" w:eastAsia="宋体"/>
          <w:sz w:val="24"/>
        </w:rPr>
        <w:t>该评估给出三条明确的证据边界。M2 与 M4 具备「直接」等级的潜力，但前提是 STEM-EDS 与 XPS 提供定量数据而非定性对比；M1、M3 在本文拟议阶段只能列为间接证据，尤其 M3 与 M2 在同一频段相互重叠，若不设计判别实验则无法区分空间电荷层效应与杂质相效应 [7][8]。M5、M6 的强度依赖 M4 的成立与更长时间测试，因此摘要与结论中凡涉及机制的表述均以 consistent with / hypothesis 处理，不使用确证性措辞。</w:t>
      </w:r>
    </w:p>
    <w:p>
      <w:pPr>
        <w:pStyle w:val="Heading2"/>
        <w:spacing w:before="120" w:after="120" w:line="360" w:lineRule="auto"/>
        <w:jc w:val="left"/>
      </w:pPr>
      <w:r>
        <w:rPr>
          <w:rFonts w:ascii="Times New Roman" w:hAnsi="Times New Roman" w:eastAsia="黑体"/>
          <w:b/>
          <w:sz w:val="26"/>
        </w:rPr>
        <w:t>4.2 文献对比</w:t>
      </w:r>
    </w:p>
    <w:p>
      <w:pPr>
        <w:spacing w:line="360" w:lineRule="auto" w:after="80"/>
        <w:ind w:firstLineChars="200" w:firstLine="480"/>
        <w:jc w:val="both"/>
      </w:pPr>
      <w:r>
        <w:rPr>
          <w:rFonts w:ascii="Times New Roman" w:hAnsi="Times New Roman" w:eastAsia="宋体"/>
          <w:b/>
          <w:sz w:val="24"/>
        </w:rPr>
        <w:t>表 T9（用途：同条件、逐列对齐的性能对标；未报告项写 N.R.，不估填）</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tblGrid>
      <w:tr>
        <w:tc>
          <w:tcPr>
            <w:tcW w:type="dxa" w:w="672"/>
          </w:tcPr>
          <w:p>
            <w:pPr>
              <w:spacing w:line="276" w:lineRule="auto" w:after="0" w:before="0"/>
              <w:jc w:val="center"/>
            </w:pPr>
            <w:r/>
            <w:r>
              <w:rPr>
                <w:rFonts w:ascii="Times New Roman" w:hAnsi="Times New Roman" w:eastAsia="宋体"/>
                <w:b/>
                <w:sz w:val="21"/>
              </w:rPr>
              <w:t>行</w:t>
            </w:r>
          </w:p>
        </w:tc>
        <w:tc>
          <w:tcPr>
            <w:tcW w:type="dxa" w:w="672"/>
          </w:tcPr>
          <w:p>
            <w:pPr>
              <w:spacing w:line="276" w:lineRule="auto" w:after="0" w:before="0"/>
              <w:jc w:val="center"/>
            </w:pPr>
            <w:r/>
            <w:r>
              <w:rPr>
                <w:rFonts w:ascii="Times New Roman" w:hAnsi="Times New Roman" w:eastAsia="宋体"/>
                <w:b/>
                <w:sz w:val="21"/>
              </w:rPr>
              <w:t>来源</w:t>
            </w:r>
          </w:p>
        </w:tc>
        <w:tc>
          <w:tcPr>
            <w:tcW w:type="dxa" w:w="672"/>
          </w:tcPr>
          <w:p>
            <w:pPr>
              <w:spacing w:line="276" w:lineRule="auto" w:after="0" w:before="0"/>
              <w:jc w:val="center"/>
            </w:pPr>
            <w:r/>
            <w:r>
              <w:rPr>
                <w:rFonts w:ascii="Times New Roman" w:hAnsi="Times New Roman" w:eastAsia="宋体"/>
                <w:b/>
                <w:sz w:val="21"/>
              </w:rPr>
              <w:t>电解质体系（结构）</w:t>
            </w:r>
          </w:p>
        </w:tc>
        <w:tc>
          <w:tcPr>
            <w:tcW w:type="dxa" w:w="672"/>
          </w:tcPr>
          <w:p>
            <w:pPr>
              <w:spacing w:line="276" w:lineRule="auto" w:after="0" w:before="0"/>
              <w:jc w:val="center"/>
            </w:pPr>
            <w:r/>
            <w:r>
              <w:rPr>
                <w:rFonts w:ascii="Times New Roman" w:hAnsi="Times New Roman" w:eastAsia="宋体"/>
                <w:b/>
                <w:sz w:val="21"/>
              </w:rPr>
              <w:t>组成</w:t>
            </w:r>
          </w:p>
        </w:tc>
        <w:tc>
          <w:tcPr>
            <w:tcW w:type="dxa" w:w="672"/>
          </w:tcPr>
          <w:p>
            <w:pPr>
              <w:spacing w:line="276" w:lineRule="auto" w:after="0" w:before="0"/>
              <w:jc w:val="center"/>
            </w:pPr>
            <w:r/>
            <w:r>
              <w:rPr>
                <w:rFonts w:ascii="Times New Roman" w:hAnsi="Times New Roman" w:eastAsia="宋体"/>
                <w:b/>
                <w:sz w:val="21"/>
              </w:rPr>
              <w:t>厚度 / μm</w:t>
            </w:r>
          </w:p>
        </w:tc>
        <w:tc>
          <w:tcPr>
            <w:tcW w:type="dxa" w:w="672"/>
          </w:tcPr>
          <w:p>
            <w:pPr>
              <w:spacing w:line="276" w:lineRule="auto" w:after="0" w:before="0"/>
              <w:jc w:val="center"/>
            </w:pPr>
            <w:r/>
            <w:r>
              <w:rPr>
                <w:rFonts w:ascii="Times New Roman" w:hAnsi="Times New Roman" w:eastAsia="宋体"/>
                <w:b/>
                <w:sz w:val="21"/>
              </w:rPr>
              <w:t>烧结或制备</w:t>
            </w:r>
          </w:p>
        </w:tc>
        <w:tc>
          <w:tcPr>
            <w:tcW w:type="dxa" w:w="672"/>
          </w:tcPr>
          <w:p>
            <w:pPr>
              <w:spacing w:line="276" w:lineRule="auto" w:after="0" w:before="0"/>
              <w:jc w:val="center"/>
            </w:pPr>
            <w:r/>
            <w:r>
              <w:rPr>
                <w:rFonts w:ascii="Times New Roman" w:hAnsi="Times New Roman" w:eastAsia="宋体"/>
                <w:b/>
                <w:sz w:val="21"/>
              </w:rPr>
              <w:t>测试温度 / °C</w:t>
            </w:r>
          </w:p>
        </w:tc>
        <w:tc>
          <w:tcPr>
            <w:tcW w:type="dxa" w:w="672"/>
          </w:tcPr>
          <w:p>
            <w:pPr>
              <w:spacing w:line="276" w:lineRule="auto" w:after="0" w:before="0"/>
              <w:jc w:val="center"/>
            </w:pPr>
            <w:r/>
            <w:r>
              <w:rPr>
                <w:rFonts w:ascii="Times New Roman" w:hAnsi="Times New Roman" w:eastAsia="宋体"/>
                <w:b/>
                <w:sz w:val="21"/>
              </w:rPr>
              <w:t>燃料/气氛</w:t>
            </w:r>
          </w:p>
        </w:tc>
        <w:tc>
          <w:tcPr>
            <w:tcW w:type="dxa" w:w="672"/>
          </w:tcPr>
          <w:p>
            <w:pPr>
              <w:spacing w:line="276" w:lineRule="auto" w:after="0" w:before="0"/>
              <w:jc w:val="center"/>
            </w:pPr>
            <w:r/>
            <w:r>
              <w:rPr>
                <w:rFonts w:ascii="Times New Roman" w:hAnsi="Times New Roman" w:eastAsia="宋体"/>
                <w:b/>
                <w:sz w:val="21"/>
              </w:rPr>
              <w:t>OCV / V</w:t>
            </w:r>
          </w:p>
        </w:tc>
        <w:tc>
          <w:tcPr>
            <w:tcW w:type="dxa" w:w="672"/>
          </w:tcPr>
          <w:p>
            <w:pPr>
              <w:spacing w:line="276" w:lineRule="auto" w:after="0" w:before="0"/>
              <w:jc w:val="center"/>
            </w:pPr>
            <w:r/>
            <w:r>
              <w:rPr>
                <w:rFonts w:ascii="Times New Roman" w:hAnsi="Times New Roman" w:eastAsia="宋体"/>
                <w:b/>
                <w:sz w:val="21"/>
              </w:rPr>
              <w:t>PPD / mW·cm⁻²</w:t>
            </w:r>
          </w:p>
        </w:tc>
        <w:tc>
          <w:tcPr>
            <w:tcW w:type="dxa" w:w="672"/>
          </w:tcPr>
          <w:p>
            <w:pPr>
              <w:spacing w:line="276" w:lineRule="auto" w:after="0" w:before="0"/>
              <w:jc w:val="center"/>
            </w:pPr>
            <w:r/>
            <w:r>
              <w:rPr>
                <w:rFonts w:ascii="Times New Roman" w:hAnsi="Times New Roman" w:eastAsia="宋体"/>
                <w:b/>
                <w:sz w:val="21"/>
              </w:rPr>
              <w:t>ASR / Ω·cm²</w:t>
            </w:r>
          </w:p>
        </w:tc>
        <w:tc>
          <w:tcPr>
            <w:tcW w:type="dxa" w:w="672"/>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 xml:space="preserve"> 或 t</w:t>
            </w:r>
            <w:r>
              <w:rPr>
                <w:rFonts w:ascii="Times New Roman" w:hAnsi="Times New Roman" w:eastAsia="宋体"/>
                <w:sz w:val="21"/>
                <w:vertAlign w:val="subscript"/>
              </w:rPr>
              <w:t>ion</w:t>
            </w:r>
          </w:p>
        </w:tc>
        <w:tc>
          <w:tcPr>
            <w:tcW w:type="dxa" w:w="672"/>
          </w:tcPr>
          <w:p>
            <w:pPr>
              <w:spacing w:line="276" w:lineRule="auto" w:after="0" w:before="0"/>
              <w:jc w:val="center"/>
            </w:pPr>
            <w:r/>
            <w:r>
              <w:rPr>
                <w:rFonts w:ascii="Times New Roman" w:hAnsi="Times New Roman" w:eastAsia="宋体"/>
                <w:b/>
                <w:sz w:val="21"/>
              </w:rPr>
              <w:t>备注</w:t>
            </w:r>
          </w:p>
        </w:tc>
      </w:tr>
      <w:tr>
        <w:tc>
          <w:tcPr>
            <w:tcW w:type="dxa" w:w="672"/>
          </w:tcPr>
          <w:p>
            <w:pPr>
              <w:spacing w:line="276" w:lineRule="auto" w:after="0" w:before="0"/>
              <w:jc w:val="left"/>
            </w:pPr>
            <w:r/>
            <w:r>
              <w:rPr>
                <w:rFonts w:ascii="Times New Roman" w:hAnsi="Times New Roman" w:eastAsia="宋体"/>
                <w:sz w:val="21"/>
              </w:rPr>
              <w:t>1</w:t>
            </w:r>
          </w:p>
        </w:tc>
        <w:tc>
          <w:tcPr>
            <w:tcW w:type="dxa" w:w="672"/>
          </w:tcPr>
          <w:p>
            <w:pPr>
              <w:spacing w:line="276" w:lineRule="auto" w:after="0" w:before="0"/>
              <w:jc w:val="left"/>
            </w:pPr>
            <w:r/>
            <w:r>
              <w:rPr>
                <w:rFonts w:ascii="Times New Roman" w:hAnsi="Times New Roman" w:eastAsia="宋体"/>
                <w:sz w:val="21"/>
              </w:rPr>
              <w:t>本工作</w:t>
            </w:r>
          </w:p>
        </w:tc>
        <w:tc>
          <w:tcPr>
            <w:tcW w:type="dxa" w:w="672"/>
          </w:tcPr>
          <w:p>
            <w:pPr>
              <w:spacing w:line="276" w:lineRule="auto" w:after="0" w:before="0"/>
              <w:jc w:val="left"/>
            </w:pPr>
            <w:r/>
            <w:r>
              <w:rPr>
                <w:rFonts w:ascii="Times New Roman" w:hAnsi="Times New Roman" w:eastAsia="宋体"/>
                <w:sz w:val="21"/>
              </w:rPr>
              <w:t>单层 GDC–Ca</w:t>
            </w:r>
          </w:p>
        </w:tc>
        <w:tc>
          <w:tcPr>
            <w:tcW w:type="dxa" w:w="672"/>
          </w:tcPr>
          <w:p>
            <w:pPr>
              <w:spacing w:line="276" w:lineRule="auto" w:after="0" w:before="0"/>
              <w:jc w:val="left"/>
            </w:pPr>
            <w:r/>
            <w:r>
              <w:rPr>
                <w:rFonts w:ascii="Times New Roman" w:hAnsi="Times New Roman" w:eastAsia="宋体"/>
                <w:sz w:val="21"/>
              </w:rPr>
              <w:t>Ce₀.₇₈Gd₀.₂₀Ca₀.₀₂O₂₋δ</w:t>
            </w:r>
          </w:p>
        </w:tc>
        <w:tc>
          <w:tcPr>
            <w:tcW w:type="dxa" w:w="672"/>
          </w:tcPr>
          <w:p>
            <w:pPr>
              <w:spacing w:line="276" w:lineRule="auto" w:after="0" w:before="0"/>
              <w:jc w:val="left"/>
            </w:pPr>
            <w:r/>
            <w:r>
              <w:rPr>
                <w:rFonts w:ascii="Times New Roman" w:hAnsi="Times New Roman" w:eastAsia="宋体"/>
                <w:sz w:val="21"/>
              </w:rPr>
              <w:t>6</w:t>
            </w:r>
          </w:p>
        </w:tc>
        <w:tc>
          <w:tcPr>
            <w:tcW w:type="dxa" w:w="672"/>
          </w:tcPr>
          <w:p>
            <w:pPr>
              <w:spacing w:line="276" w:lineRule="auto" w:after="0" w:before="0"/>
              <w:jc w:val="left"/>
            </w:pPr>
            <w:r/>
            <w:r>
              <w:rPr>
                <w:rFonts w:ascii="Times New Roman" w:hAnsi="Times New Roman" w:eastAsia="宋体"/>
                <w:sz w:val="21"/>
              </w:rPr>
              <w:t>1300 °C/4 h 共烧</w:t>
            </w:r>
          </w:p>
        </w:tc>
        <w:tc>
          <w:tcPr>
            <w:tcW w:type="dxa" w:w="672"/>
          </w:tcPr>
          <w:p>
            <w:pPr>
              <w:spacing w:line="276" w:lineRule="auto" w:after="0" w:before="0"/>
              <w:jc w:val="left"/>
            </w:pPr>
            <w:r/>
            <w:r>
              <w:rPr>
                <w:rFonts w:ascii="Times New Roman" w:hAnsi="Times New Roman" w:eastAsia="宋体"/>
                <w:sz w:val="21"/>
              </w:rPr>
              <w:t>600</w:t>
            </w:r>
          </w:p>
        </w:tc>
        <w:tc>
          <w:tcPr>
            <w:tcW w:type="dxa" w:w="672"/>
          </w:tcPr>
          <w:p>
            <w:pPr>
              <w:spacing w:line="276" w:lineRule="auto" w:after="0" w:before="0"/>
              <w:jc w:val="left"/>
            </w:pPr>
            <w:r/>
            <w:r>
              <w:rPr>
                <w:rFonts w:ascii="Times New Roman" w:hAnsi="Times New Roman" w:eastAsia="宋体"/>
                <w:sz w:val="21"/>
              </w:rPr>
              <w:t>97% H₂–3% H₂O/空气</w:t>
            </w:r>
          </w:p>
        </w:tc>
        <w:tc>
          <w:tcPr>
            <w:tcW w:type="dxa" w:w="672"/>
          </w:tcPr>
          <w:p>
            <w:pPr>
              <w:spacing w:line="276" w:lineRule="auto" w:after="0" w:before="0"/>
              <w:jc w:val="left"/>
            </w:pPr>
            <w:r/>
            <w:r>
              <w:rPr>
                <w:rFonts w:ascii="Times New Roman" w:hAnsi="Times New Roman" w:eastAsia="宋体"/>
                <w:sz w:val="21"/>
              </w:rPr>
              <w:t>0.94</w:t>
            </w:r>
          </w:p>
        </w:tc>
        <w:tc>
          <w:tcPr>
            <w:tcW w:type="dxa" w:w="672"/>
          </w:tcPr>
          <w:p>
            <w:pPr>
              <w:spacing w:line="276" w:lineRule="auto" w:after="0" w:before="0"/>
              <w:jc w:val="left"/>
            </w:pPr>
            <w:r/>
            <w:r>
              <w:rPr>
                <w:rFonts w:ascii="Times New Roman" w:hAnsi="Times New Roman" w:eastAsia="宋体"/>
                <w:sz w:val="21"/>
              </w:rPr>
              <w:t>860</w:t>
            </w:r>
          </w:p>
        </w:tc>
        <w:tc>
          <w:tcPr>
            <w:tcW w:type="dxa" w:w="672"/>
          </w:tcPr>
          <w:p>
            <w:pPr>
              <w:spacing w:line="276" w:lineRule="auto" w:after="0" w:before="0"/>
              <w:jc w:val="left"/>
            </w:pPr>
            <w:r/>
            <w:r>
              <w:rPr>
                <w:rFonts w:ascii="Times New Roman" w:hAnsi="Times New Roman" w:eastAsia="宋体"/>
                <w:sz w:val="21"/>
              </w:rPr>
              <w:t>0.25</w:t>
            </w:r>
          </w:p>
        </w:tc>
        <w:tc>
          <w:tcPr>
            <w:tcW w:type="dxa" w:w="672"/>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 9.0×10⁻⁴ S·cm⁻¹；t</w:t>
            </w:r>
            <w:r>
              <w:rPr>
                <w:rFonts w:ascii="Times New Roman" w:hAnsi="Times New Roman" w:eastAsia="宋体"/>
                <w:sz w:val="21"/>
                <w:vertAlign w:val="subscript"/>
              </w:rPr>
              <w:t>ion</w:t>
            </w:r>
            <w:r>
              <w:rPr>
                <w:rFonts w:ascii="Times New Roman" w:hAnsi="Times New Roman" w:eastAsia="宋体"/>
                <w:sz w:val="21"/>
              </w:rPr>
              <w:t xml:space="preserve"> = 0.955</w:t>
            </w:r>
          </w:p>
        </w:tc>
        <w:tc>
          <w:tcPr>
            <w:tcW w:type="dxa" w:w="672"/>
          </w:tcPr>
          <w:p>
            <w:pPr>
              <w:spacing w:line="276" w:lineRule="auto" w:after="0" w:before="0"/>
              <w:jc w:val="left"/>
            </w:pPr>
            <w:r/>
            <w:r>
              <w:rPr>
                <w:rFonts w:ascii="Times New Roman" w:hAnsi="Times New Roman" w:eastAsia="宋体"/>
                <w:sz w:val="21"/>
              </w:rPr>
              <w:t>拟议值；单层</w:t>
            </w:r>
          </w:p>
        </w:tc>
      </w:tr>
      <w:tr>
        <w:tc>
          <w:tcPr>
            <w:tcW w:type="dxa" w:w="672"/>
          </w:tcPr>
          <w:p>
            <w:pPr>
              <w:spacing w:line="276" w:lineRule="auto" w:after="0" w:before="0"/>
              <w:jc w:val="left"/>
            </w:pPr>
            <w:r/>
            <w:r>
              <w:rPr>
                <w:rFonts w:ascii="Times New Roman" w:hAnsi="Times New Roman" w:eastAsia="宋体"/>
                <w:sz w:val="21"/>
              </w:rPr>
              <w:t>2</w:t>
            </w:r>
          </w:p>
        </w:tc>
        <w:tc>
          <w:tcPr>
            <w:tcW w:type="dxa" w:w="672"/>
          </w:tcPr>
          <w:p>
            <w:pPr>
              <w:spacing w:line="276" w:lineRule="auto" w:after="0" w:before="0"/>
              <w:jc w:val="left"/>
            </w:pPr>
            <w:r/>
            <w:r>
              <w:rPr>
                <w:rFonts w:ascii="Times New Roman" w:hAnsi="Times New Roman" w:eastAsia="宋体"/>
                <w:sz w:val="21"/>
              </w:rPr>
              <w:t>[1]</w:t>
            </w:r>
          </w:p>
        </w:tc>
        <w:tc>
          <w:tcPr>
            <w:tcW w:type="dxa" w:w="672"/>
          </w:tcPr>
          <w:p>
            <w:pPr>
              <w:spacing w:line="276" w:lineRule="auto" w:after="0" w:before="0"/>
              <w:jc w:val="left"/>
            </w:pPr>
            <w:r/>
            <w:r>
              <w:rPr>
                <w:rFonts w:ascii="Times New Roman" w:hAnsi="Times New Roman" w:eastAsia="宋体"/>
                <w:sz w:val="21"/>
              </w:rPr>
              <w:t>单层 GDC 薄膜</w:t>
            </w:r>
          </w:p>
        </w:tc>
        <w:tc>
          <w:tcPr>
            <w:tcW w:type="dxa" w:w="672"/>
          </w:tcPr>
          <w:p>
            <w:pPr>
              <w:spacing w:line="276" w:lineRule="auto" w:after="0" w:before="0"/>
              <w:jc w:val="left"/>
            </w:pPr>
            <w:r/>
            <w:r>
              <w:rPr>
                <w:rFonts w:ascii="Times New Roman" w:hAnsi="Times New Roman" w:eastAsia="宋体"/>
                <w:sz w:val="21"/>
              </w:rPr>
              <w:t>GDC（磁控溅射）</w:t>
            </w:r>
          </w:p>
        </w:tc>
        <w:tc>
          <w:tcPr>
            <w:tcW w:type="dxa" w:w="672"/>
          </w:tcPr>
          <w:p>
            <w:pPr>
              <w:spacing w:line="276" w:lineRule="auto" w:after="0" w:before="0"/>
              <w:jc w:val="left"/>
            </w:pPr>
            <w:r/>
            <w:r>
              <w:rPr>
                <w:rFonts w:ascii="Times New Roman" w:hAnsi="Times New Roman" w:eastAsia="宋体"/>
                <w:sz w:val="21"/>
              </w:rPr>
              <w:t>3</w:t>
            </w:r>
          </w:p>
        </w:tc>
        <w:tc>
          <w:tcPr>
            <w:tcW w:type="dxa" w:w="672"/>
          </w:tcPr>
          <w:p>
            <w:pPr>
              <w:spacing w:line="276" w:lineRule="auto" w:after="0" w:before="0"/>
              <w:jc w:val="left"/>
            </w:pPr>
            <w:r/>
            <w:r>
              <w:rPr>
                <w:rFonts w:ascii="Times New Roman" w:hAnsi="Times New Roman" w:eastAsia="宋体"/>
                <w:sz w:val="21"/>
              </w:rPr>
              <w:t>磁控溅射</w:t>
            </w:r>
          </w:p>
        </w:tc>
        <w:tc>
          <w:tcPr>
            <w:tcW w:type="dxa" w:w="672"/>
          </w:tcPr>
          <w:p>
            <w:pPr>
              <w:spacing w:line="276" w:lineRule="auto" w:after="0" w:before="0"/>
              <w:jc w:val="left"/>
            </w:pPr>
            <w:r/>
            <w:r>
              <w:rPr>
                <w:rFonts w:ascii="Times New Roman" w:hAnsi="Times New Roman" w:eastAsia="宋体"/>
                <w:sz w:val="21"/>
              </w:rPr>
              <w:t>800（600–800 区间，600 °C 值 N.R.）</w:t>
            </w:r>
          </w:p>
        </w:tc>
        <w:tc>
          <w:tcPr>
            <w:tcW w:type="dxa" w:w="672"/>
          </w:tcPr>
          <w:p>
            <w:pPr>
              <w:spacing w:line="276" w:lineRule="auto" w:after="0" w:before="0"/>
              <w:jc w:val="left"/>
            </w:pPr>
            <w:r/>
            <w:r>
              <w:rPr>
                <w:rFonts w:ascii="Times New Roman" w:hAnsi="Times New Roman" w:eastAsia="宋体"/>
                <w:sz w:val="21"/>
              </w:rPr>
              <w:t>阳极支撑电池</w:t>
            </w:r>
          </w:p>
        </w:tc>
        <w:tc>
          <w:tcPr>
            <w:tcW w:type="dxa" w:w="672"/>
          </w:tcPr>
          <w:p>
            <w:pPr>
              <w:spacing w:line="276" w:lineRule="auto" w:after="0" w:before="0"/>
              <w:jc w:val="left"/>
            </w:pPr>
            <w:r/>
            <w:r>
              <w:rPr>
                <w:rFonts w:ascii="Times New Roman" w:hAnsi="Times New Roman" w:eastAsia="宋体"/>
                <w:sz w:val="21"/>
              </w:rPr>
              <w:t>&gt; 0.9（800 °C）</w:t>
            </w:r>
          </w:p>
        </w:tc>
        <w:tc>
          <w:tcPr>
            <w:tcW w:type="dxa" w:w="672"/>
          </w:tcPr>
          <w:p>
            <w:pPr>
              <w:spacing w:line="276" w:lineRule="auto" w:after="0" w:before="0"/>
              <w:jc w:val="left"/>
            </w:pPr>
            <w:r/>
            <w:r>
              <w:rPr>
                <w:rFonts w:ascii="Times New Roman" w:hAnsi="Times New Roman" w:eastAsia="宋体"/>
                <w:sz w:val="21"/>
              </w:rPr>
              <w:t>2000（800 °C）</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电子电导为性能损失来源（未给数值）</w:t>
            </w:r>
          </w:p>
        </w:tc>
        <w:tc>
          <w:tcPr>
            <w:tcW w:type="dxa" w:w="672"/>
          </w:tcPr>
          <w:p>
            <w:pPr>
              <w:spacing w:line="276" w:lineRule="auto" w:after="0" w:before="0"/>
              <w:jc w:val="left"/>
            </w:pPr>
            <w:r/>
            <w:r>
              <w:rPr>
                <w:rFonts w:ascii="Times New Roman" w:hAnsi="Times New Roman" w:eastAsia="宋体"/>
                <w:sz w:val="21"/>
              </w:rPr>
              <w:t>薄膜路线对标；温度高于本工作</w:t>
            </w:r>
          </w:p>
        </w:tc>
      </w:tr>
      <w:tr>
        <w:tc>
          <w:tcPr>
            <w:tcW w:type="dxa" w:w="672"/>
          </w:tcPr>
          <w:p>
            <w:pPr>
              <w:spacing w:line="276" w:lineRule="auto" w:after="0" w:before="0"/>
              <w:jc w:val="left"/>
            </w:pPr>
            <w:r/>
            <w:r>
              <w:rPr>
                <w:rFonts w:ascii="Times New Roman" w:hAnsi="Times New Roman" w:eastAsia="宋体"/>
                <w:sz w:val="21"/>
              </w:rPr>
              <w:t>3</w:t>
            </w:r>
          </w:p>
        </w:tc>
        <w:tc>
          <w:tcPr>
            <w:tcW w:type="dxa" w:w="672"/>
          </w:tcPr>
          <w:p>
            <w:pPr>
              <w:spacing w:line="276" w:lineRule="auto" w:after="0" w:before="0"/>
              <w:jc w:val="left"/>
            </w:pPr>
            <w:r/>
            <w:r>
              <w:rPr>
                <w:rFonts w:ascii="Times New Roman" w:hAnsi="Times New Roman" w:eastAsia="宋体"/>
                <w:sz w:val="21"/>
              </w:rPr>
              <w:t>[2]</w:t>
            </w:r>
          </w:p>
        </w:tc>
        <w:tc>
          <w:tcPr>
            <w:tcW w:type="dxa" w:w="672"/>
          </w:tcPr>
          <w:p>
            <w:pPr>
              <w:spacing w:line="276" w:lineRule="auto" w:after="0" w:before="0"/>
              <w:jc w:val="left"/>
            </w:pPr>
            <w:r/>
            <w:r>
              <w:rPr>
                <w:rFonts w:ascii="Times New Roman" w:hAnsi="Times New Roman" w:eastAsia="宋体"/>
                <w:sz w:val="21"/>
              </w:rPr>
              <w:t>YSZ/GDC 双层</w:t>
            </w:r>
          </w:p>
        </w:tc>
        <w:tc>
          <w:tcPr>
            <w:tcW w:type="dxa" w:w="672"/>
          </w:tcPr>
          <w:p>
            <w:pPr>
              <w:spacing w:line="276" w:lineRule="auto" w:after="0" w:before="0"/>
              <w:jc w:val="left"/>
            </w:pPr>
            <w:r/>
            <w:r>
              <w:rPr>
                <w:rFonts w:ascii="Times New Roman" w:hAnsi="Times New Roman" w:eastAsia="宋体"/>
                <w:sz w:val="21"/>
              </w:rPr>
              <w:t>YSZ + GDC</w:t>
            </w:r>
          </w:p>
        </w:tc>
        <w:tc>
          <w:tcPr>
            <w:tcW w:type="dxa" w:w="672"/>
          </w:tcPr>
          <w:p>
            <w:pPr>
              <w:spacing w:line="276" w:lineRule="auto" w:after="0" w:before="0"/>
              <w:jc w:val="left"/>
            </w:pPr>
            <w:r/>
            <w:r>
              <w:rPr>
                <w:rFonts w:ascii="Times New Roman" w:hAnsi="Times New Roman" w:eastAsia="宋体"/>
                <w:sz w:val="21"/>
              </w:rPr>
              <w:t>N.R.（双层，湿法共烧）</w:t>
            </w:r>
          </w:p>
        </w:tc>
        <w:tc>
          <w:tcPr>
            <w:tcW w:type="dxa" w:w="672"/>
          </w:tcPr>
          <w:p>
            <w:pPr>
              <w:spacing w:line="276" w:lineRule="auto" w:after="0" w:before="0"/>
              <w:jc w:val="left"/>
            </w:pPr>
            <w:r/>
            <w:r>
              <w:rPr>
                <w:rFonts w:ascii="Times New Roman" w:hAnsi="Times New Roman" w:eastAsia="宋体"/>
                <w:sz w:val="21"/>
              </w:rPr>
              <w:t>湿陶瓷共烧</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阳极支撑电池</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未报告</w:t>
            </w:r>
          </w:p>
        </w:tc>
        <w:tc>
          <w:tcPr>
            <w:tcW w:type="dxa" w:w="672"/>
          </w:tcPr>
          <w:p>
            <w:pPr>
              <w:spacing w:line="276" w:lineRule="auto" w:after="0" w:before="0"/>
              <w:jc w:val="left"/>
            </w:pPr>
            <w:r/>
            <w:r>
              <w:rPr>
                <w:rFonts w:ascii="Times New Roman" w:hAnsi="Times New Roman" w:eastAsia="宋体"/>
                <w:b/>
                <w:sz w:val="21"/>
              </w:rPr>
              <w:t>结构对照</w:t>
            </w:r>
            <w:r>
              <w:rPr>
                <w:rFonts w:ascii="Times New Roman" w:hAnsi="Times New Roman" w:eastAsia="宋体"/>
                <w:sz w:val="21"/>
              </w:rPr>
              <w:t>；OCV/界面电阻/共烧温度须核原文后回填</w:t>
            </w:r>
          </w:p>
        </w:tc>
      </w:tr>
      <w:tr>
        <w:tc>
          <w:tcPr>
            <w:tcW w:type="dxa" w:w="672"/>
          </w:tcPr>
          <w:p>
            <w:pPr>
              <w:spacing w:line="276" w:lineRule="auto" w:after="0" w:before="0"/>
              <w:jc w:val="left"/>
            </w:pPr>
            <w:r/>
            <w:r>
              <w:rPr>
                <w:rFonts w:ascii="Times New Roman" w:hAnsi="Times New Roman" w:eastAsia="宋体"/>
                <w:sz w:val="21"/>
              </w:rPr>
              <w:t>4</w:t>
            </w:r>
          </w:p>
        </w:tc>
        <w:tc>
          <w:tcPr>
            <w:tcW w:type="dxa" w:w="672"/>
          </w:tcPr>
          <w:p>
            <w:pPr>
              <w:spacing w:line="276" w:lineRule="auto" w:after="0" w:before="0"/>
              <w:jc w:val="left"/>
            </w:pPr>
            <w:r/>
            <w:r>
              <w:rPr>
                <w:rFonts w:ascii="Times New Roman" w:hAnsi="Times New Roman" w:eastAsia="宋体"/>
                <w:sz w:val="21"/>
              </w:rPr>
              <w:t>[5]</w:t>
            </w:r>
          </w:p>
        </w:tc>
        <w:tc>
          <w:tcPr>
            <w:tcW w:type="dxa" w:w="672"/>
          </w:tcPr>
          <w:p>
            <w:pPr>
              <w:spacing w:line="276" w:lineRule="auto" w:after="0" w:before="0"/>
              <w:jc w:val="left"/>
            </w:pPr>
            <w:r/>
            <w:r>
              <w:rPr>
                <w:rFonts w:ascii="Times New Roman" w:hAnsi="Times New Roman" w:eastAsia="宋体"/>
                <w:sz w:val="21"/>
              </w:rPr>
              <w:t>GDC（电子电导）</w:t>
            </w:r>
          </w:p>
        </w:tc>
        <w:tc>
          <w:tcPr>
            <w:tcW w:type="dxa" w:w="672"/>
          </w:tcPr>
          <w:p>
            <w:pPr>
              <w:spacing w:line="276" w:lineRule="auto" w:after="0" w:before="0"/>
              <w:jc w:val="left"/>
            </w:pPr>
            <w:r/>
            <w:r>
              <w:rPr>
                <w:rFonts w:ascii="Times New Roman" w:hAnsi="Times New Roman" w:eastAsia="宋体"/>
                <w:sz w:val="21"/>
              </w:rPr>
              <w:t>Gd 掺杂 CeO₂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DC 部分极化</w:t>
            </w:r>
          </w:p>
        </w:tc>
        <w:tc>
          <w:tcPr>
            <w:tcW w:type="dxa" w:w="672"/>
          </w:tcPr>
          <w:p>
            <w:pPr>
              <w:spacing w:line="276" w:lineRule="auto" w:after="0" w:before="0"/>
              <w:jc w:val="left"/>
            </w:pPr>
            <w:r/>
            <w:r>
              <w:rPr>
                <w:rFonts w:ascii="Times New Roman" w:hAnsi="Times New Roman" w:eastAsia="宋体"/>
                <w:sz w:val="21"/>
              </w:rPr>
              <w:t>N.R.（方法学）</w:t>
            </w:r>
          </w:p>
        </w:tc>
        <w:tc>
          <w:tcPr>
            <w:tcW w:type="dxa" w:w="672"/>
          </w:tcPr>
          <w:p>
            <w:pPr>
              <w:spacing w:line="276" w:lineRule="auto" w:after="0" w:before="0"/>
              <w:jc w:val="left"/>
            </w:pPr>
            <w:r/>
            <w:r>
              <w:rPr>
                <w:rFonts w:ascii="Times New Roman" w:hAnsi="Times New Roman" w:eastAsia="宋体"/>
                <w:sz w:val="21"/>
              </w:rPr>
              <w:t>受控 pO₂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量级与 pO₂ 依赖</w:t>
            </w:r>
          </w:p>
        </w:tc>
        <w:tc>
          <w:tcPr>
            <w:tcW w:type="dxa" w:w="672"/>
          </w:tcPr>
          <w:p>
            <w:pPr>
              <w:spacing w:line="276" w:lineRule="auto" w:after="0" w:before="0"/>
              <w:jc w:val="left"/>
            </w:pPr>
            <w:r/>
            <w:r>
              <w:rPr>
                <w:rFonts w:ascii="Times New Roman" w:hAnsi="Times New Roman" w:eastAsia="宋体"/>
                <w:b/>
                <w:sz w:val="21"/>
              </w:rPr>
              <w:t>判据 1 的方法学锚点</w:t>
            </w:r>
            <w:r>
              <w:rPr>
                <w:rFonts w:ascii="Times New Roman" w:hAnsi="Times New Roman" w:eastAsia="宋体"/>
                <w:sz w:val="21"/>
              </w:rPr>
              <w:t>；数值须核原文</w:t>
            </w:r>
          </w:p>
        </w:tc>
      </w:tr>
      <w:tr>
        <w:tc>
          <w:tcPr>
            <w:tcW w:type="dxa" w:w="672"/>
          </w:tcPr>
          <w:p>
            <w:pPr>
              <w:spacing w:line="276" w:lineRule="auto" w:after="0" w:before="0"/>
              <w:jc w:val="left"/>
            </w:pPr>
            <w:r/>
            <w:r>
              <w:rPr>
                <w:rFonts w:ascii="Times New Roman" w:hAnsi="Times New Roman" w:eastAsia="宋体"/>
                <w:sz w:val="21"/>
              </w:rPr>
              <w:t>5</w:t>
            </w:r>
          </w:p>
        </w:tc>
        <w:tc>
          <w:tcPr>
            <w:tcW w:type="dxa" w:w="672"/>
          </w:tcPr>
          <w:p>
            <w:pPr>
              <w:spacing w:line="276" w:lineRule="auto" w:after="0" w:before="0"/>
              <w:jc w:val="left"/>
            </w:pPr>
            <w:r/>
            <w:r>
              <w:rPr>
                <w:rFonts w:ascii="Times New Roman" w:hAnsi="Times New Roman" w:eastAsia="宋体"/>
                <w:sz w:val="21"/>
              </w:rPr>
              <w:t>[7]</w:t>
            </w:r>
          </w:p>
        </w:tc>
        <w:tc>
          <w:tcPr>
            <w:tcW w:type="dxa" w:w="672"/>
          </w:tcPr>
          <w:p>
            <w:pPr>
              <w:spacing w:line="276" w:lineRule="auto" w:after="0" w:before="0"/>
              <w:jc w:val="left"/>
            </w:pPr>
            <w:r/>
            <w:r>
              <w:rPr>
                <w:rFonts w:ascii="Times New Roman" w:hAnsi="Times New Roman" w:eastAsia="宋体"/>
                <w:sz w:val="21"/>
              </w:rPr>
              <w:t>受主掺杂 CeO₂</w:t>
            </w:r>
          </w:p>
        </w:tc>
        <w:tc>
          <w:tcPr>
            <w:tcW w:type="dxa" w:w="672"/>
          </w:tcPr>
          <w:p>
            <w:pPr>
              <w:spacing w:line="276" w:lineRule="auto" w:after="0" w:before="0"/>
              <w:jc w:val="left"/>
            </w:pPr>
            <w:r/>
            <w:r>
              <w:rPr>
                <w:rFonts w:ascii="Times New Roman" w:hAnsi="Times New Roman" w:eastAsia="宋体"/>
                <w:sz w:val="21"/>
              </w:rPr>
              <w:t>受主掺杂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空间电荷层模型</w:t>
            </w:r>
          </w:p>
        </w:tc>
        <w:tc>
          <w:tcPr>
            <w:tcW w:type="dxa" w:w="672"/>
          </w:tcPr>
          <w:p>
            <w:pPr>
              <w:spacing w:line="276" w:lineRule="auto" w:after="0" w:before="0"/>
              <w:jc w:val="left"/>
            </w:pPr>
            <w:r/>
            <w:r>
              <w:rPr>
                <w:rFonts w:ascii="Times New Roman" w:hAnsi="Times New Roman" w:eastAsia="宋体"/>
                <w:sz w:val="21"/>
              </w:rPr>
              <w:t>计算/低温区</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晶界空间电荷层离子电导</w:t>
            </w:r>
          </w:p>
        </w:tc>
        <w:tc>
          <w:tcPr>
            <w:tcW w:type="dxa" w:w="672"/>
          </w:tcPr>
          <w:p>
            <w:pPr>
              <w:spacing w:line="276" w:lineRule="auto" w:after="0" w:before="0"/>
              <w:jc w:val="left"/>
            </w:pPr>
            <w:r/>
            <w:r>
              <w:rPr>
                <w:rFonts w:ascii="Times New Roman" w:hAnsi="Times New Roman" w:eastAsia="宋体"/>
                <w:sz w:val="21"/>
              </w:rPr>
              <w:t>机制定性对标（M3）</w:t>
            </w:r>
          </w:p>
        </w:tc>
      </w:tr>
      <w:tr>
        <w:tc>
          <w:tcPr>
            <w:tcW w:type="dxa" w:w="672"/>
          </w:tcPr>
          <w:p>
            <w:pPr>
              <w:spacing w:line="276" w:lineRule="auto" w:after="0" w:before="0"/>
              <w:jc w:val="left"/>
            </w:pPr>
            <w:r/>
            <w:r>
              <w:rPr>
                <w:rFonts w:ascii="Times New Roman" w:hAnsi="Times New Roman" w:eastAsia="宋体"/>
                <w:sz w:val="21"/>
              </w:rPr>
              <w:t>6</w:t>
            </w:r>
          </w:p>
        </w:tc>
        <w:tc>
          <w:tcPr>
            <w:tcW w:type="dxa" w:w="672"/>
          </w:tcPr>
          <w:p>
            <w:pPr>
              <w:spacing w:line="276" w:lineRule="auto" w:after="0" w:before="0"/>
              <w:jc w:val="left"/>
            </w:pPr>
            <w:r/>
            <w:r>
              <w:rPr>
                <w:rFonts w:ascii="Times New Roman" w:hAnsi="Times New Roman" w:eastAsia="宋体"/>
                <w:sz w:val="21"/>
              </w:rPr>
              <w:t>[8]</w:t>
            </w:r>
          </w:p>
        </w:tc>
        <w:tc>
          <w:tcPr>
            <w:tcW w:type="dxa" w:w="672"/>
          </w:tcPr>
          <w:p>
            <w:pPr>
              <w:spacing w:line="276" w:lineRule="auto" w:after="0" w:before="0"/>
              <w:jc w:val="left"/>
            </w:pPr>
            <w:r/>
            <w:r>
              <w:rPr>
                <w:rFonts w:ascii="Times New Roman" w:hAnsi="Times New Roman" w:eastAsia="宋体"/>
                <w:sz w:val="21"/>
              </w:rPr>
              <w:t>受主掺杂 ZrO₂/CeO₂</w:t>
            </w:r>
          </w:p>
        </w:tc>
        <w:tc>
          <w:tcPr>
            <w:tcW w:type="dxa" w:w="672"/>
          </w:tcPr>
          <w:p>
            <w:pPr>
              <w:spacing w:line="276" w:lineRule="auto" w:after="0" w:before="0"/>
              <w:jc w:val="left"/>
            </w:pPr>
            <w:r/>
            <w:r>
              <w:rPr>
                <w:rFonts w:ascii="Times New Roman" w:hAnsi="Times New Roman" w:eastAsia="宋体"/>
                <w:sz w:val="21"/>
              </w:rPr>
              <w:t>受主掺杂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综述</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晶界电阻占比</w:t>
            </w:r>
          </w:p>
        </w:tc>
        <w:tc>
          <w:tcPr>
            <w:tcW w:type="dxa" w:w="672"/>
          </w:tcPr>
          <w:p>
            <w:pPr>
              <w:spacing w:line="276" w:lineRule="auto" w:after="0" w:before="0"/>
              <w:jc w:val="left"/>
            </w:pPr>
            <w:r/>
            <w:r>
              <w:rPr>
                <w:rFonts w:ascii="Times New Roman" w:hAnsi="Times New Roman" w:eastAsia="宋体"/>
                <w:sz w:val="21"/>
              </w:rPr>
              <w:t>机制与致密化关系对标（M2/M6）</w:t>
            </w:r>
          </w:p>
        </w:tc>
      </w:tr>
      <w:tr>
        <w:tc>
          <w:tcPr>
            <w:tcW w:type="dxa" w:w="672"/>
          </w:tcPr>
          <w:p>
            <w:pPr>
              <w:spacing w:line="276" w:lineRule="auto" w:after="0" w:before="0"/>
              <w:jc w:val="left"/>
            </w:pPr>
            <w:r/>
            <w:r>
              <w:rPr>
                <w:rFonts w:ascii="Times New Roman" w:hAnsi="Times New Roman" w:eastAsia="宋体"/>
                <w:sz w:val="21"/>
              </w:rPr>
              <w:t>7</w:t>
            </w:r>
          </w:p>
        </w:tc>
        <w:tc>
          <w:tcPr>
            <w:tcW w:type="dxa" w:w="672"/>
          </w:tcPr>
          <w:p>
            <w:pPr>
              <w:spacing w:line="276" w:lineRule="auto" w:after="0" w:before="0"/>
              <w:jc w:val="left"/>
            </w:pPr>
            <w:r/>
            <w:r>
              <w:rPr>
                <w:rFonts w:ascii="Times New Roman" w:hAnsi="Times New Roman" w:eastAsia="宋体"/>
                <w:sz w:val="21"/>
              </w:rPr>
              <w:t>[9]</w:t>
            </w:r>
          </w:p>
        </w:tc>
        <w:tc>
          <w:tcPr>
            <w:tcW w:type="dxa" w:w="672"/>
          </w:tcPr>
          <w:p>
            <w:pPr>
              <w:spacing w:line="276" w:lineRule="auto" w:after="0" w:before="0"/>
              <w:jc w:val="left"/>
            </w:pPr>
            <w:r/>
            <w:r>
              <w:rPr>
                <w:rFonts w:ascii="Times New Roman" w:hAnsi="Times New Roman" w:eastAsia="宋体"/>
                <w:sz w:val="21"/>
              </w:rPr>
              <w:t>CeO₂ 基电解质改性谱系</w:t>
            </w:r>
          </w:p>
        </w:tc>
        <w:tc>
          <w:tcPr>
            <w:tcW w:type="dxa" w:w="672"/>
          </w:tcPr>
          <w:p>
            <w:pPr>
              <w:spacing w:line="276" w:lineRule="auto" w:after="0" w:before="0"/>
              <w:jc w:val="left"/>
            </w:pPr>
            <w:r/>
            <w:r>
              <w:rPr>
                <w:rFonts w:ascii="Times New Roman" w:hAnsi="Times New Roman" w:eastAsia="宋体"/>
                <w:sz w:val="21"/>
              </w:rPr>
              <w:t>单掺/双掺/多掺、复合、包覆</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综述</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用于定位本工作在改性谱系中的位置</w:t>
            </w:r>
          </w:p>
        </w:tc>
      </w:tr>
      <w:tr>
        <w:tc>
          <w:tcPr>
            <w:tcW w:type="dxa" w:w="672"/>
          </w:tcPr>
          <w:p>
            <w:pPr>
              <w:spacing w:line="276" w:lineRule="auto" w:after="0" w:before="0"/>
              <w:jc w:val="left"/>
            </w:pPr>
            <w:r/>
            <w:r>
              <w:rPr>
                <w:rFonts w:ascii="Times New Roman" w:hAnsi="Times New Roman" w:eastAsia="宋体"/>
                <w:sz w:val="21"/>
              </w:rPr>
              <w:t>8</w:t>
            </w:r>
          </w:p>
        </w:tc>
        <w:tc>
          <w:tcPr>
            <w:tcW w:type="dxa" w:w="672"/>
          </w:tcPr>
          <w:p>
            <w:pPr>
              <w:spacing w:line="276" w:lineRule="auto" w:after="0" w:before="0"/>
              <w:jc w:val="left"/>
            </w:pPr>
            <w:r/>
            <w:r>
              <w:rPr>
                <w:rFonts w:ascii="Times New Roman" w:hAnsi="Times New Roman" w:eastAsia="宋体"/>
                <w:sz w:val="21"/>
              </w:rPr>
              <w:t>[10]</w:t>
            </w:r>
          </w:p>
        </w:tc>
        <w:tc>
          <w:tcPr>
            <w:tcW w:type="dxa" w:w="672"/>
          </w:tcPr>
          <w:p>
            <w:pPr>
              <w:spacing w:line="276" w:lineRule="auto" w:after="0" w:before="0"/>
              <w:jc w:val="left"/>
            </w:pPr>
            <w:r/>
            <w:r>
              <w:rPr>
                <w:rFonts w:ascii="Times New Roman" w:hAnsi="Times New Roman" w:eastAsia="宋体"/>
                <w:sz w:val="21"/>
              </w:rPr>
              <w:t>阳极支撑质子导体电池</w:t>
            </w:r>
          </w:p>
        </w:tc>
        <w:tc>
          <w:tcPr>
            <w:tcW w:type="dxa" w:w="672"/>
          </w:tcPr>
          <w:p>
            <w:pPr>
              <w:spacing w:line="276" w:lineRule="auto" w:after="0" w:before="0"/>
              <w:jc w:val="left"/>
            </w:pPr>
            <w:r/>
            <w:r>
              <w:rPr>
                <w:rFonts w:ascii="Times New Roman" w:hAnsi="Times New Roman" w:eastAsia="宋体"/>
                <w:sz w:val="21"/>
              </w:rPr>
              <w:t>质子导体（非 CeO₂）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阳极支撑制备</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未报告</w:t>
            </w:r>
          </w:p>
        </w:tc>
        <w:tc>
          <w:tcPr>
            <w:tcW w:type="dxa" w:w="672"/>
          </w:tcPr>
          <w:p>
            <w:pPr>
              <w:spacing w:line="276" w:lineRule="auto" w:after="0" w:before="0"/>
              <w:jc w:val="left"/>
            </w:pPr>
            <w:r/>
            <w:r>
              <w:rPr>
                <w:rFonts w:ascii="Times New Roman" w:hAnsi="Times New Roman" w:eastAsia="宋体"/>
                <w:b/>
                <w:sz w:val="21"/>
              </w:rPr>
              <w:t>体系不同，仅作工艺对标</w:t>
            </w:r>
          </w:p>
        </w:tc>
      </w:tr>
    </w:tbl>
    <w:p>
      <w:pPr>
        <w:spacing w:after="80"/>
      </w:pPr>
    </w:p>
    <w:p>
      <w:pPr>
        <w:spacing w:line="360" w:lineRule="auto" w:after="80"/>
        <w:ind w:firstLineChars="200" w:firstLine="480"/>
        <w:jc w:val="both"/>
      </w:pPr>
      <w:r>
        <w:rPr>
          <w:rFonts w:ascii="Times New Roman" w:hAnsi="Times New Roman" w:eastAsia="宋体"/>
          <w:sz w:val="24"/>
        </w:rPr>
        <w:t>对标纪律有三条。第一，逐列对齐条件后再比较：行 2 的 PPD 对应 800 °C，与本工作的 600 °C 不可直接比较，其意义在于说明 GDC 薄膜路线的功率上限 [1]；行 8 属质子导体体系，只用于工艺思路参照 [10]。第二，未在原文报告中出现的数值一律写 N.R.，投稿前须逐条核验原文回填，本文不填入任何估计值——这是「声称—证据一致性」的必要条件，也是当前白名单覆盖不足的直接后果：Co/Fe 助烧剂、碱土共掺 GDC 的既有报道、LSCF/LSM 阴极与共烧工艺、烧结动力学与 DRT 正则化原始方法学文献均缺失承重引用，若引用领域知识替代将构成伪引用。第三，本工作的三条判据在表中均能找到对照行：判据 1 对应行 4，判据 2 对应行 6、行 7，判据 3 对应行 2、行 3。</w:t>
      </w:r>
    </w:p>
    <w:p>
      <w:pPr>
        <w:spacing w:line="360" w:lineRule="auto" w:after="80"/>
        <w:ind w:firstLineChars="200" w:firstLine="480"/>
        <w:jc w:val="both"/>
      </w:pPr>
      <w:r>
        <w:rPr>
          <w:rFonts w:ascii="Times New Roman" w:hAnsi="Times New Roman" w:eastAsia="宋体"/>
          <w:sz w:val="24"/>
        </w:rPr>
        <w:t>已核验的部分事实可总结为：GDC 单层电解质的功率损失主要由电子电导贡献，而其体相导电优势足以在高温下补偿该损失 [1]；晶界电阻在受主掺杂 CeO₂ 中兼具空间电荷层与杂质相两种来源，两者在同一频段重叠 [7][8]；8YSZ 的 Hebb-Wagner 部分电导方法给出电子与空穴活化能 1.70 ± 0.06 eV 与 3.99 ± 0.17 eV、离子电导活化能 0.80 ± 0.10 eV，说明该方法适用于 700–1000 °C、pO₂ 跨 0.21–10⁻²³ atm 的宽区间 [6]，这也是本文在 600 °C 条件下借用该方法学时的可行性依据。DRT 与传输线模型的结合已被用于分离 YSZ 基电池在 775–850 °C 的电极过程 [3]，而 DRT 对数据质量、噪声与正则化参数的敏感性已有系统讨论 [4]，因此本文把 DRT 峰位的不确定度与等效电路归属的交叉验证作为晶界与电极过程分离的必要环节，而非仅依赖单一拟合。</w:t>
      </w:r>
    </w:p>
    <w:p>
      <w:pPr>
        <w:pStyle w:val="Heading2"/>
        <w:spacing w:before="120" w:after="120" w:line="360" w:lineRule="auto"/>
        <w:jc w:val="left"/>
      </w:pPr>
      <w:r>
        <w:rPr>
          <w:rFonts w:ascii="Times New Roman" w:hAnsi="Times New Roman" w:eastAsia="黑体"/>
          <w:b/>
          <w:sz w:val="26"/>
        </w:rPr>
        <w:t>4.3 局限与工程意义</w:t>
      </w:r>
    </w:p>
    <w:p>
      <w:pPr>
        <w:spacing w:line="360" w:lineRule="auto" w:after="80"/>
        <w:ind w:firstLineChars="200" w:firstLine="480"/>
        <w:jc w:val="both"/>
      </w:pPr>
      <w:r>
        <w:rPr>
          <w:rFonts w:ascii="Times New Roman" w:hAnsi="Times New Roman" w:eastAsia="宋体"/>
          <w:sz w:val="24"/>
        </w:rPr>
        <w:t>单层方案与亚微米阻挡层方案在长期热循环下均存在热失配与界面反应风险，本文的 100 h 数据不足以评估这一点。Ca 共掺对体相电导可能存在的上限尚未探明：Ca 含量由 1 at% 增至 5 at% 时，总电导率（1.43×10⁻² → 1.76×10⁻² S·cm⁻¹）虽继续上升但晶粒粗化与第二相风险同步增加，最优含量区间须由变组分系列与晶界定量表征共同界定。从扣式电池到实际电堆的放大过程中，共烧收缩匹配、阳极支撑体强度与大面积厚度均匀性都可能改变本文的结论强度。此外，如 4.2 节所述，白名单文献的覆盖度限制了对「同步优化」的文献定位精度，这一局限只能通过补齐承重引用而非扩大推断来缓解。</w:t>
      </w:r>
    </w:p>
    <w:p>
      <w:pPr>
        <w:pStyle w:val="Heading1"/>
        <w:spacing w:before="200" w:after="120" w:line="360" w:lineRule="auto"/>
        <w:jc w:val="left"/>
      </w:pPr>
      <w:r>
        <w:rPr>
          <w:rFonts w:ascii="Times New Roman" w:hAnsi="Times New Roman" w:eastAsia="黑体"/>
          <w:b/>
          <w:sz w:val="28"/>
        </w:rPr>
        <w:t>5 结论</w:t>
      </w:r>
    </w:p>
    <w:p>
      <w:pPr>
        <w:spacing w:line="360" w:lineRule="auto" w:after="80"/>
        <w:ind w:firstLineChars="200" w:firstLine="480"/>
        <w:jc w:val="both"/>
      </w:pPr>
      <w:r>
        <w:rPr>
          <w:rFonts w:ascii="Times New Roman" w:hAnsi="Times New Roman" w:eastAsia="宋体"/>
          <w:sz w:val="24"/>
        </w:rPr>
        <w:t>（1）判据 1 拟议成立：600 °C、5% H₂/Ar（pO₂ ≈ 10⁻²¹ atm）下 GDC20-Ca2 的 σ</w:t>
      </w:r>
      <w:r>
        <w:rPr>
          <w:rFonts w:ascii="Times New Roman" w:hAnsi="Times New Roman" w:eastAsia="宋体"/>
          <w:sz w:val="24"/>
          <w:vertAlign w:val="subscript"/>
        </w:rPr>
        <w:t>e</w:t>
      </w:r>
      <w:r>
        <w:rPr>
          <w:rFonts w:ascii="Times New Roman" w:hAnsi="Times New Roman" w:eastAsia="宋体"/>
          <w:sz w:val="24"/>
        </w:rPr>
        <w:t xml:space="preserve"> = 9.0×10⁻⁴ S·cm⁻¹ ≤ 0.01 S·cm⁻¹，σ</w:t>
      </w:r>
      <w:r>
        <w:rPr>
          <w:rFonts w:ascii="Times New Roman" w:hAnsi="Times New Roman" w:eastAsia="宋体"/>
          <w:sz w:val="24"/>
          <w:vertAlign w:val="subscript"/>
        </w:rPr>
        <w:t>i</w:t>
      </w:r>
      <w:r>
        <w:rPr>
          <w:rFonts w:ascii="Times New Roman" w:hAnsi="Times New Roman" w:eastAsia="宋体"/>
          <w:sz w:val="24"/>
        </w:rPr>
        <w:t xml:space="preserve"> = 1.90×10⁻² S·cm⁻¹、σ</w:t>
      </w:r>
      <w:r>
        <w:rPr>
          <w:rFonts w:ascii="Times New Roman" w:hAnsi="Times New Roman" w:eastAsia="宋体"/>
          <w:sz w:val="24"/>
          <w:vertAlign w:val="subscript"/>
        </w:rPr>
        <w:t>total</w:t>
      </w:r>
      <w:r>
        <w:rPr>
          <w:rFonts w:ascii="Times New Roman" w:hAnsi="Times New Roman" w:eastAsia="宋体"/>
          <w:sz w:val="24"/>
        </w:rPr>
        <w:t xml:space="preserve"> = 1.99×10⁻² S·cm⁻¹，t</w:t>
      </w:r>
      <w:r>
        <w:rPr>
          <w:rFonts w:ascii="Times New Roman" w:hAnsi="Times New Roman" w:eastAsia="宋体"/>
          <w:sz w:val="24"/>
          <w:vertAlign w:val="subscript"/>
        </w:rPr>
        <w:t>ion</w:t>
      </w:r>
      <w:r>
        <w:rPr>
          <w:rFonts w:ascii="Times New Roman" w:hAnsi="Times New Roman" w:eastAsia="宋体"/>
          <w:sz w:val="24"/>
        </w:rPr>
        <w:t xml:space="preserve"> = 0.955 ≥ 0.95；σ</w:t>
      </w:r>
      <w:r>
        <w:rPr>
          <w:rFonts w:ascii="Times New Roman" w:hAnsi="Times New Roman" w:eastAsia="宋体"/>
          <w:sz w:val="24"/>
          <w:vertAlign w:val="subscript"/>
        </w:rPr>
        <w:t>e</w:t>
      </w:r>
      <w:r>
        <w:rPr>
          <w:rFonts w:ascii="Times New Roman" w:hAnsi="Times New Roman" w:eastAsia="宋体"/>
          <w:sz w:val="24"/>
        </w:rPr>
        <w:t>–pO₂ 斜率 −0.249 ± 0.007 与 Ce³⁺ 小极化子导电的 −1/4 依赖一致 [5]。（2）判据 2 拟议成立：1300 °C/4 h 烧结的相对密度 97.9%（理论密度 7.24 g·cm⁻³），较 1400 °C 常规烧结对照组仅低 0.6 个百分点，且该温度下可与阳极共烧工艺匹配 [2]；1250 °C/4 h 仅 94.6%，未达门槛。（3）判据 3 拟议成立：600 °C 对称电池 ASR 0.047 Ω·cm² ≤ 0.15 Ω·cm²；单电池 OCV 0.94 V ≥ 0.90 V、PPD 0.86 W·cm⁻² ≥ 0.8 W·cm⁻²；100 h、0.5 A·cm⁻² 恒流下衰减 12 μV·h⁻¹（1.2 mV/780 mV = 0.154%·(100 h)⁻¹）——</w:t>
      </w:r>
      <w:r>
        <w:rPr>
          <w:rFonts w:ascii="Times New Roman" w:hAnsi="Times New Roman" w:eastAsia="宋体"/>
          <w:b/>
          <w:sz w:val="24"/>
        </w:rPr>
        <w:t>该结果仅构成短期稳定性结论，长期稳定性尚无数据支持</w:t>
      </w:r>
      <w:r>
        <w:rPr>
          <w:rFonts w:ascii="Times New Roman" w:hAnsi="Times New Roman" w:eastAsia="宋体"/>
          <w:sz w:val="24"/>
        </w:rPr>
        <w:t>。（4）机制结论的证据分级为：Ce³⁺ 还原受抑制导致的电子电导下降（M4）与 OCV 提升的漏电归因（M5）具备直接证据潜力，但须 XPS 与 σ</w:t>
      </w:r>
      <w:r>
        <w:rPr>
          <w:rFonts w:ascii="Times New Roman" w:hAnsi="Times New Roman" w:eastAsia="宋体"/>
          <w:sz w:val="24"/>
          <w:vertAlign w:val="subscript"/>
        </w:rPr>
        <w:t>e</w:t>
      </w:r>
      <w:r>
        <w:rPr>
          <w:rFonts w:ascii="Times New Roman" w:hAnsi="Times New Roman" w:eastAsia="宋体"/>
          <w:sz w:val="24"/>
        </w:rPr>
        <w:t xml:space="preserve"> 的定量互证；Ca 促进致密化（M1）与空间电荷层缓解（M3）在当前为间接证据，且 M3 与晶界杂质机制（M2）需判别实验方可区分；100 h 衰减的归因（M6）仍为 hypothesis（与 T8 对应）。（5）工程含义与下一步：以 Ca 共掺替代 Co 助烧剂可在避免晶粒粗化的前提下实现低温致密化；下一步需确定 Ca 含量上限、补齐 STEM-EDS 与变温 XPS 定量表征，并将稳定性测试延长至 500–1000 h，同时完成放大与电堆级验证。以上全部数值均为</w:t>
      </w:r>
      <w:r>
        <w:rPr>
          <w:rFonts w:ascii="Times New Roman" w:hAnsi="Times New Roman" w:eastAsia="宋体"/>
          <w:b/>
          <w:sz w:val="24"/>
        </w:rPr>
        <w:t>拟议值，待实验确认</w:t>
      </w:r>
      <w:r>
        <w:rPr>
          <w:rFonts w:ascii="Times New Roman" w:hAnsi="Times New Roman" w:eastAsia="宋体"/>
          <w:sz w:val="24"/>
        </w:rPr>
        <w:t>。</w:t>
      </w:r>
    </w:p>
    <w:p>
      <w:pPr>
        <w:spacing w:line="360" w:lineRule="auto" w:after="80"/>
        <w:ind w:firstLineChars="200" w:firstLine="480"/>
        <w:jc w:val="both"/>
      </w:pPr>
      <w:r>
        <w:rPr>
          <w:rFonts w:ascii="Times New Roman" w:hAnsi="Times New Roman" w:eastAsia="宋体"/>
          <w:b/>
          <w:sz w:val="24"/>
        </w:rPr>
        <w:t>图</w:t>
      </w:r>
      <w:r>
        <w:rPr>
          <w:rFonts w:ascii="Times New Roman" w:hAnsi="Times New Roman" w:eastAsia="宋体"/>
          <w:sz w:val="24"/>
        </w:rPr>
        <w:t>：Fig 1 XRD 全谱与 (111) 峰放大（T1）；Fig 2 收缩率/相对密度/晶粒尺寸 vs 烧结温度（T2）；Fig 3 ln(σT)–1/T Arrhenius（空气与还原气氛分列，T3）；Fig 4 Nyquist + DRT（600 °C，空气，T4）；Fig 5 σ</w:t>
      </w:r>
      <w:r>
        <w:rPr>
          <w:rFonts w:ascii="Times New Roman" w:hAnsi="Times New Roman" w:eastAsia="宋体"/>
          <w:sz w:val="24"/>
          <w:vertAlign w:val="subscript"/>
        </w:rPr>
        <w:t>e</w:t>
      </w:r>
      <w:r>
        <w:rPr>
          <w:rFonts w:ascii="Times New Roman" w:hAnsi="Times New Roman" w:eastAsia="宋体"/>
          <w:sz w:val="24"/>
        </w:rPr>
        <w:t>、σ</w:t>
      </w:r>
      <w:r>
        <w:rPr>
          <w:rFonts w:ascii="Times New Roman" w:hAnsi="Times New Roman" w:eastAsia="宋体"/>
          <w:sz w:val="24"/>
          <w:vertAlign w:val="subscript"/>
        </w:rPr>
        <w:t>i</w:t>
      </w:r>
      <w:r>
        <w:rPr>
          <w:rFonts w:ascii="Times New Roman" w:hAnsi="Times New Roman" w:eastAsia="宋体"/>
          <w:sz w:val="24"/>
        </w:rPr>
        <w:t>–pO₂ 双对数（含 −1/4 斜率拟合，T5）；Fig 6 I–V–P 曲线族（500–700 °C，T6）；Fig 7 100 h 恒流电压–时间与衰减率（T7）；Fig 8 后测 XRD/SEM 与 XPS Ce 3d（T7、T8）。补充材料 S1 ICP 组成对照、S2 Rietveld 参数、S3 EIS 原始数据、S4 重复性与不确定度。</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