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eastAsia="黑体"/>
          <w:b/>
          <w:sz w:val="34"/>
        </w:rPr>
        <w:t>钙共掺二氧化铈（GDC-Ca）电解质的低温致密化、晶界电导与电子漏电协同调控：面向中温固态氧化物燃料电池</w:t>
      </w:r>
    </w:p>
    <w:p>
      <w:pPr>
        <w:spacing w:line="360" w:lineRule="auto" w:after="80"/>
        <w:ind w:left="454" w:right="454"/>
        <w:jc w:val="both"/>
      </w:pPr>
      <w:r>
        <w:rPr>
          <w:rFonts w:ascii="Times New Roman" w:hAnsi="Times New Roman" w:eastAsia="黑体"/>
          <w:b/>
          <w:sz w:val="22"/>
        </w:rPr>
        <w:t xml:space="preserve">Abstract. </w:t>
      </w:r>
      <w:r>
        <w:rPr>
          <w:rFonts w:ascii="Times New Roman" w:hAnsi="Times New Roman" w:eastAsia="宋体"/>
          <w:sz w:val="22"/>
        </w:rPr>
        <w:t>Intermediate-temperature solid oxide fuel cells (IT-SOFCs) with Gd-doped ceria (GDC) electrolytes are simultaneously constrained by three coupled limitations: electronic leakage in reducing atmospheres, a grain-boundary resistance that often exceeds half of the total electrolyte resistance, and densification temperatures (≥1400 °C) that conflict with co-firing of electrodes. A single-measure strategy is proposed here: co-doping GDC with 2 mol% Ca (Ce₀.₇₈Gd₀.₂₀Ca₀.₀₂O₂₋δ) is designed to act on densification, grain-boundary chemistry and charge transport simultaneously. The design targets are a single fluorite phase with ≥97% relative density after 1300 °C/4 h sintering; a grain-boundary resistance fraction reduced from a proposed 72.7% (Ca-free GDC20) to 49.4% at 600 °C in air; σ</w:t>
      </w:r>
      <w:r>
        <w:rPr>
          <w:rFonts w:ascii="Times New Roman" w:hAnsi="Times New Roman" w:eastAsia="宋体"/>
          <w:sz w:val="22"/>
          <w:vertAlign w:val="subscript"/>
        </w:rPr>
        <w:t>total</w:t>
      </w:r>
      <w:r>
        <w:rPr>
          <w:rFonts w:ascii="Times New Roman" w:hAnsi="Times New Roman" w:eastAsia="宋体"/>
          <w:sz w:val="22"/>
        </w:rPr>
        <w:t xml:space="preserve"> ≈ 2.0 × 10⁻² S·cm⁻¹, σ</w:t>
      </w:r>
      <w:r>
        <w:rPr>
          <w:rFonts w:ascii="Times New Roman" w:hAnsi="Times New Roman" w:eastAsia="宋体"/>
          <w:sz w:val="22"/>
          <w:vertAlign w:val="subscript"/>
        </w:rPr>
        <w:t>e</w:t>
      </w:r>
      <w:r>
        <w:rPr>
          <w:rFonts w:ascii="Times New Roman" w:hAnsi="Times New Roman" w:eastAsia="宋体"/>
          <w:sz w:val="22"/>
        </w:rPr>
        <w:t xml:space="preserve"> ≈ 9.0 × 10⁻⁴ S·cm⁻¹ and t</w:t>
      </w:r>
      <w:r>
        <w:rPr>
          <w:rFonts w:ascii="Times New Roman" w:hAnsi="Times New Roman" w:eastAsia="宋体"/>
          <w:sz w:val="22"/>
          <w:vertAlign w:val="subscript"/>
        </w:rPr>
        <w:t>ion</w:t>
      </w:r>
      <w:r>
        <w:rPr>
          <w:rFonts w:ascii="Times New Roman" w:hAnsi="Times New Roman" w:eastAsia="宋体"/>
          <w:sz w:val="22"/>
        </w:rPr>
        <w:t xml:space="preserve"> ≈ 0.955 at 600 °C in 5% H₂–Ar (σ</w:t>
      </w:r>
      <w:r>
        <w:rPr>
          <w:rFonts w:ascii="Times New Roman" w:hAnsi="Times New Roman" w:eastAsia="宋体"/>
          <w:sz w:val="22"/>
          <w:vertAlign w:val="subscript"/>
        </w:rPr>
        <w:t>ion</w:t>
      </w:r>
      <w:r>
        <w:rPr>
          <w:rFonts w:ascii="Times New Roman" w:hAnsi="Times New Roman" w:eastAsia="宋体"/>
          <w:sz w:val="22"/>
        </w:rPr>
        <w:t xml:space="preserve"> = σ</w:t>
      </w:r>
      <w:r>
        <w:rPr>
          <w:rFonts w:ascii="Times New Roman" w:hAnsi="Times New Roman" w:eastAsia="宋体"/>
          <w:sz w:val="22"/>
          <w:vertAlign w:val="subscript"/>
        </w:rPr>
        <w:t>total</w:t>
      </w:r>
      <w:r>
        <w:rPr>
          <w:rFonts w:ascii="Times New Roman" w:hAnsi="Times New Roman" w:eastAsia="宋体"/>
          <w:sz w:val="22"/>
        </w:rPr>
        <w:t xml:space="preserve"> − σ</w:t>
      </w:r>
      <w:r>
        <w:rPr>
          <w:rFonts w:ascii="Times New Roman" w:hAnsi="Times New Roman" w:eastAsia="宋体"/>
          <w:sz w:val="22"/>
          <w:vertAlign w:val="subscript"/>
        </w:rPr>
        <w:t>e</w:t>
      </w:r>
      <w:r>
        <w:rPr>
          <w:rFonts w:ascii="Times New Roman" w:hAnsi="Times New Roman" w:eastAsia="宋体"/>
          <w:sz w:val="22"/>
        </w:rPr>
        <w:t>); a symmetric-cell electrolyte ASR of 0.141 Ω·cm² at 600 °C (30 μm membrane); and, for a 6 μm-electrolyte anode-supported cell, OCV = 0.940 ± 0.008 V and PPD = 0.86 ± 0.05 W·cm⁻² at 600 °C with 12 ± 3 μV·h⁻¹ voltage decay over 100 h (short-term). All numerical values are proposed design targets to be confirmed experimentally. The intended distinction from bilayer GDC/YSZ architectures and from single-index optimisation routes is a simplified single-layer configuration achieving simultaneous improvement of the three indices.</w:t>
      </w:r>
    </w:p>
    <w:p>
      <w:pPr>
        <w:spacing w:line="360" w:lineRule="auto" w:before="80" w:after="200"/>
        <w:ind w:left="454" w:right="454"/>
        <w:jc w:val="both"/>
      </w:pPr>
      <w:r>
        <w:rPr>
          <w:rFonts w:ascii="Times New Roman" w:hAnsi="Times New Roman" w:eastAsia="黑体"/>
          <w:b/>
          <w:sz w:val="22"/>
        </w:rPr>
        <w:t xml:space="preserve">Keywords: </w:t>
      </w:r>
      <w:r>
        <w:rPr>
          <w:rFonts w:ascii="Times New Roman" w:hAnsi="Times New Roman" w:eastAsia="宋体"/>
          <w:sz w:val="22"/>
        </w:rPr>
        <w:t>IT-SOFC; GDC; Ca co-doping; grain-boundary resistance; electronic leakage; low-temperature densification</w:t>
      </w:r>
    </w:p>
    <w:p>
      <w:pPr>
        <w:pStyle w:val="Heading1"/>
        <w:spacing w:before="200" w:after="120" w:line="360" w:lineRule="auto"/>
        <w:jc w:val="left"/>
      </w:pPr>
      <w:r>
        <w:rPr>
          <w:rFonts w:ascii="Times New Roman" w:hAnsi="Times New Roman" w:eastAsia="黑体"/>
          <w:b/>
          <w:sz w:val="28"/>
        </w:rPr>
        <w:t>1. Introduction</w:t>
      </w:r>
    </w:p>
    <w:p>
      <w:pPr>
        <w:spacing w:line="360" w:lineRule="auto" w:after="80"/>
        <w:ind w:firstLineChars="200" w:firstLine="480"/>
        <w:jc w:val="both"/>
      </w:pPr>
      <w:r>
        <w:rPr>
          <w:rFonts w:ascii="Times New Roman" w:hAnsi="Times New Roman" w:eastAsia="宋体"/>
          <w:sz w:val="24"/>
        </w:rPr>
        <w:t>中温化的核心障碍已从电极动力学转向电解质。把工作温度降到 500–700 °C 可以放宽连接体与密封材料的选择、抑制电极退化，但电解质面积比电阻随温度指数上升，成为主要过电位来源。Gd 掺杂 CeO₂（GDC）在这一温区的氧离子电导显著优于 YSZ，因而被视为 IT-SOFC 的首选电解质体系；薄膜化路线已经把 3 μm 级 GDC 薄膜的单电池做到 800 °C 下 OCV &gt; 0.9 V、功率密度约 2 W·cm⁻² [1]，说明几何降阻是有效的。但薄膜化不改变材料本征的三重问题，只是把问题推迟到更薄的尺度上暴露。</w:t>
      </w:r>
    </w:p>
    <w:p>
      <w:pPr>
        <w:spacing w:line="360" w:lineRule="auto" w:after="80"/>
        <w:ind w:firstLineChars="200" w:firstLine="480"/>
        <w:jc w:val="both"/>
      </w:pPr>
      <w:r>
        <w:rPr>
          <w:rFonts w:ascii="Times New Roman" w:hAnsi="Times New Roman" w:eastAsia="宋体"/>
          <w:sz w:val="24"/>
        </w:rPr>
        <w:t>三重问题的相互牵制值得单独说明。还原气氛下 Ce⁴⁺ 部分还原为 Ce³⁺，在带隙中引入小极化子型电子载流子，形成 n 型电导并把 OCV 压到 Nernst 值以下，其量级与 pO₂ 依赖已被系统测量 [5]，DC 部分极化法为这类弱电子电导的定量提供了可靠手段 [3]。受主掺杂 ceria 的晶界电阻在总电阻中常占 50–70%，其来源包括晶界空间电荷层对氧空位的耗尽以及 Si、Al 等杂质在晶界的富集 [13,4]。而 ≥1400 °C 的致密化要求与 NiO-GDC 阳极、LSCF 基阴极的共烧窗口冲突；Co 基助烧剂虽然把致密化温度拉低，却以晶界输运性能劣化为代价，在纳米晶 GDC 中这一点已被明确报道 [16]，浸渗辅助烧结等替代路线同样显示烧结路径直接改写晶界行为 [7]。多元共掺是绕开单一手段局限的思路，已有 Gd-Bi-M 共掺体系在 750 °C 空气中致密化并给出约 8 × 10⁻³ S·cm⁻¹ 量级的电导 [6]，掺杂 ceria 的结构—电导基本关系也已建立 [14]。但现有报道多以单一指标为优化目标，致密化温度、晶界电阻与电子漏电三者同步改善的证据仍然稀缺——这正是本文的切入点。</w:t>
      </w:r>
    </w:p>
    <w:p>
      <w:pPr>
        <w:spacing w:line="360" w:lineRule="auto" w:after="80"/>
        <w:ind w:firstLineChars="200" w:firstLine="480"/>
        <w:jc w:val="both"/>
      </w:pPr>
      <w:r>
        <w:rPr>
          <w:rFonts w:ascii="Times New Roman" w:hAnsi="Times New Roman" w:eastAsia="宋体"/>
          <w:sz w:val="24"/>
        </w:rPr>
        <w:t>抑制漏电另有成熟方案：在 GDC 与阴极之间引入 YSZ 阻挡层，或直接采用 YSZ/GDC 双层电解质。湿法共烧制备的阳极支撑 YSZ/GDC 双层电池确实获得了 OCV 收益 [10]，代价是额外界面电阻、热膨胀与化学相容性约束以及共烧工艺复杂度上升。若能用成分设计在同一层内同时解决致密化、晶界与漏电，结构即可简化。碱土掺杂 ceria 的缺陷—性能耦合研究为这一思路提供了支撑：Ca²⁺ 取代 Ce⁴⁺ 只引入一个氧空位、不引入可变价离子，且其离子半径（CN = 8 时约 1.12 Å）大于 Ce⁴⁺（约 0.97 Å），倾向于在晶界与缺陷化学上产生与稀土掺杂不同的行为 [15]。</w:t>
      </w:r>
    </w:p>
    <w:p>
      <w:pPr>
        <w:spacing w:line="360" w:lineRule="auto" w:after="80"/>
        <w:ind w:firstLineChars="200" w:firstLine="480"/>
        <w:jc w:val="both"/>
      </w:pPr>
      <w:r>
        <w:rPr>
          <w:rFonts w:ascii="Times New Roman" w:hAnsi="Times New Roman" w:eastAsia="宋体"/>
          <w:sz w:val="24"/>
        </w:rPr>
        <w:t>由此，本文要回答的问题是：</w:t>
      </w:r>
      <w:r>
        <w:rPr>
          <w:rFonts w:ascii="Times New Roman" w:hAnsi="Times New Roman" w:eastAsia="宋体"/>
          <w:b/>
          <w:sz w:val="24"/>
        </w:rPr>
        <w:t>在不牺牲体相氧离子电导的前提下，能否用单一 Ca 共掺同时压低电子电导、降低晶界电阻并把致密化温度降到 1300 °C 以下。</w:t>
      </w:r>
      <w:r>
        <w:rPr>
          <w:rFonts w:ascii="Times New Roman" w:hAnsi="Times New Roman" w:eastAsia="宋体"/>
          <w:sz w:val="24"/>
        </w:rPr>
        <w:t xml:space="preserve"> 判据事先给定为三条：① 600 °C、5% H₂–Ar 下 σ</w:t>
      </w:r>
      <w:r>
        <w:rPr>
          <w:rFonts w:ascii="Times New Roman" w:hAnsi="Times New Roman" w:eastAsia="宋体"/>
          <w:sz w:val="24"/>
          <w:vertAlign w:val="subscript"/>
        </w:rPr>
        <w:t>e</w:t>
      </w:r>
      <w:r>
        <w:rPr>
          <w:rFonts w:ascii="Times New Roman" w:hAnsi="Times New Roman" w:eastAsia="宋体"/>
          <w:sz w:val="24"/>
        </w:rPr>
        <w:t xml:space="preserve"> ≤ 0.01 S·cm⁻¹ 且 t</w:t>
      </w:r>
      <w:r>
        <w:rPr>
          <w:rFonts w:ascii="Times New Roman" w:hAnsi="Times New Roman" w:eastAsia="宋体"/>
          <w:sz w:val="24"/>
          <w:vertAlign w:val="subscript"/>
        </w:rPr>
        <w:t>ion</w:t>
      </w:r>
      <w:r>
        <w:rPr>
          <w:rFonts w:ascii="Times New Roman" w:hAnsi="Times New Roman" w:eastAsia="宋体"/>
          <w:sz w:val="24"/>
        </w:rPr>
        <w:t xml:space="preserve"> ≥ 0.95；② 烧结温度 ≤1300 °C 时相对密度 ≥97%（与 NiO 阳极共烧兼容）；③ 对称电池 ASR ≤ 0.15 Ω·cm²（30 μm 电解质膜、600 °C），单电池 OCV ≥ 0.90 V、PPD ≥ 0.8 W·cm⁻²、100 h 恒流短期稳定。方法学上以 EIS 结合 DRT 分离体相与晶界贡献，并用传输线模型校验 [2,11]，其中正则化参数的可靠性按已有贝叶斯正则化框架评估以避免过拟合 [9]；电子电导用 Hebb-Wagner 极化与 DC 部分极化两条独立路径测定 [12,3]；单电池采用 NiO-GDC|GDC-Ca|LSCF-GDC 构型，并以阻挡层组与无阻挡层组对照，以判断结构简化的可行性；电极/电解质界面微结构对功率输出的影响按已有匹配研究处理 [8]。</w:t>
      </w:r>
    </w:p>
    <w:p>
      <w:pPr>
        <w:pStyle w:val="Heading1"/>
        <w:spacing w:before="200" w:after="120" w:line="360" w:lineRule="auto"/>
        <w:jc w:val="left"/>
      </w:pPr>
      <w:r>
        <w:rPr>
          <w:rFonts w:ascii="Times New Roman" w:hAnsi="Times New Roman" w:eastAsia="黑体"/>
          <w:b/>
          <w:sz w:val="28"/>
        </w:rPr>
        <w:t>2. Experimental</w:t>
      </w:r>
    </w:p>
    <w:p>
      <w:pPr>
        <w:pStyle w:val="Heading2"/>
        <w:spacing w:before="120" w:after="120" w:line="360" w:lineRule="auto"/>
        <w:jc w:val="left"/>
      </w:pPr>
      <w:r>
        <w:rPr>
          <w:rFonts w:ascii="Times New Roman" w:hAnsi="Times New Roman" w:eastAsia="黑体"/>
          <w:b/>
          <w:sz w:val="26"/>
        </w:rPr>
        <w:t>2.1 粉体合成与陶瓷制备</w:t>
      </w:r>
    </w:p>
    <w:p>
      <w:pPr>
        <w:spacing w:line="360" w:lineRule="auto" w:after="80"/>
        <w:ind w:firstLineChars="200" w:firstLine="480"/>
        <w:jc w:val="both"/>
      </w:pPr>
      <w:r>
        <w:rPr>
          <w:rFonts w:ascii="Times New Roman" w:hAnsi="Times New Roman" w:eastAsia="宋体"/>
          <w:sz w:val="24"/>
        </w:rPr>
        <w:t>采用硝酸盐-甘氨酸燃烧法合成 Ce₁₋ₓ₋ᵧGdₓCaᵧO₂₋δ 粉体，金属硝酸盐按化学计量比溶于去离子水，甘氨酸与总金属离子摩尔比 1.6:1，溶液加热至自燃后 600 °C 保温 2 h 去除残碳。主线成分为 x = 0.20、y = 0.02（记为 GDC20-Ca2），y 系列为 0、0.01、0.02、0.05，Gd 含量对照为 x = 0.10（GDC10-Ca2）。粉体经 200 MPa 干压成形，烧结制度为 1250/1300/1350 °C、保温 2–5 h、升温 3 K·min⁻¹。对照组包括 1 mol% Co₃O₄ 助烧剂组（1250 °C）与 1400 °C 常规烧结组，样品命名固定为 GDC20-Ca2、GDC20-Ca2-1250/-1350、GDC20-Ca2-Co、GDC20-Co、GDC20-1400、GDC10-Ca2。助烧剂与常规高温组的设置是为了把"致密化温度下降"与"晶界性能劣化"两个效果在数据上分离 [16,7]。相对密度用阿基米德法（25 °C，去离子水）测定，理论密度按各样品自身组成摩尔质量与其 Rietveld 精修晶格常数计算。</w:t>
      </w:r>
    </w:p>
    <w:p>
      <w:pPr>
        <w:pStyle w:val="Heading2"/>
        <w:spacing w:before="120" w:after="120" w:line="360" w:lineRule="auto"/>
        <w:jc w:val="left"/>
      </w:pPr>
      <w:r>
        <w:rPr>
          <w:rFonts w:ascii="Times New Roman" w:hAnsi="Times New Roman" w:eastAsia="黑体"/>
          <w:b/>
          <w:sz w:val="26"/>
        </w:rPr>
        <w:t>2.2 结构与微区表征</w:t>
      </w:r>
    </w:p>
    <w:p>
      <w:pPr>
        <w:spacing w:line="360" w:lineRule="auto" w:after="80"/>
        <w:ind w:firstLineChars="200" w:firstLine="480"/>
        <w:jc w:val="both"/>
      </w:pPr>
      <w:r>
        <w:rPr>
          <w:rFonts w:ascii="Times New Roman" w:hAnsi="Times New Roman" w:eastAsia="宋体"/>
          <w:sz w:val="24"/>
        </w:rPr>
        <w:t>XRD（Cu Kα，室温）配合 Rietveld 精修给出物相、晶格参数、晶粒尺寸与固溶度判据；SEM 断面与表面给出晶粒尺寸与气孔率；STEM-EDS 晶界线扫/面扫给出 Ca 与 Si、Al 的偏析情况；XPS Ce 3d 给出 Ce³⁺ 分数；Raman 给出 F₂g 与缺陷带强度比；TGA 在还原气氛下的失重用于估算氧空位浓度。这些表征与 4.1 节机制的对应关系是明确的：XRD/Raman 服务于体相缺陷与晶格判据（M5），SEM 与 STEM-EDS 服务于低温致密化与晶界杂质清除（M1、M2），XPS Ce 3d 与 TGA 服务于电子载流子来源（M4），晶界电容与活化能数据服务于空间电荷层判定（M3）——晶界电学的解释必须有微区化学数据支撑，否则无法区分杂质效应与空间电荷效应 [13,4]。</w:t>
      </w:r>
    </w:p>
    <w:p>
      <w:pPr>
        <w:pStyle w:val="Heading2"/>
        <w:spacing w:before="120" w:after="120" w:line="360" w:lineRule="auto"/>
        <w:jc w:val="left"/>
      </w:pPr>
      <w:r>
        <w:rPr>
          <w:rFonts w:ascii="Times New Roman" w:hAnsi="Times New Roman" w:eastAsia="黑体"/>
          <w:b/>
          <w:sz w:val="26"/>
        </w:rPr>
        <w:t>2.3 电学性能测试</w:t>
      </w:r>
    </w:p>
    <w:p>
      <w:pPr>
        <w:spacing w:line="360" w:lineRule="auto" w:after="80"/>
        <w:ind w:firstLineChars="200" w:firstLine="480"/>
        <w:jc w:val="both"/>
      </w:pPr>
      <w:r>
        <w:rPr>
          <w:rFonts w:ascii="Times New Roman" w:hAnsi="Times New Roman" w:eastAsia="宋体"/>
          <w:sz w:val="24"/>
        </w:rPr>
        <w:t>EIS 在 400–700 °C、空气与 5% H₂–Ar（3% H₂O 加湿，600 °C 时 pO₂ ≈ 1 × 10⁻²⁰ atm）下采集，频率 10⁵–10⁻² Hz，扰动 10 mV，谱线用等效电路与传输线模型联合校验 [2]，体相/晶界/电极三个以上弛豫过程的归属由 DRT 分解给出 [11]，正则化参数的选取按贝叶斯框架的可靠性判据确定 [9]。电子电导以 Hebb-Wagner 极化（离子阻塞电极）与 DC 部分极化两条路径独立测定 [12,3]，并按 σ</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total</w:t>
      </w:r>
      <w:r>
        <w:rPr>
          <w:rFonts w:ascii="Times New Roman" w:hAnsi="Times New Roman" w:eastAsia="宋体"/>
          <w:sz w:val="24"/>
        </w:rPr>
        <w:t xml:space="preserve"> − σ</w:t>
      </w:r>
      <w:r>
        <w:rPr>
          <w:rFonts w:ascii="Times New Roman" w:hAnsi="Times New Roman" w:eastAsia="宋体"/>
          <w:sz w:val="24"/>
          <w:vertAlign w:val="subscript"/>
        </w:rPr>
        <w:t>e</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ion</w:t>
      </w:r>
      <w:r>
        <w:rPr>
          <w:rFonts w:ascii="Times New Roman" w:hAnsi="Times New Roman" w:eastAsia="宋体"/>
          <w:sz w:val="24"/>
        </w:rPr>
        <w:t>/σ</w:t>
      </w:r>
      <w:r>
        <w:rPr>
          <w:rFonts w:ascii="Times New Roman" w:hAnsi="Times New Roman" w:eastAsia="宋体"/>
          <w:sz w:val="24"/>
          <w:vertAlign w:val="subscript"/>
        </w:rPr>
        <w:t>total</w:t>
      </w:r>
      <w:r>
        <w:rPr>
          <w:rFonts w:ascii="Times New Roman" w:hAnsi="Times New Roman" w:eastAsia="宋体"/>
          <w:sz w:val="24"/>
        </w:rPr>
        <w:t xml:space="preserve"> 换算迁移数，σ</w:t>
      </w:r>
      <w:r>
        <w:rPr>
          <w:rFonts w:ascii="Times New Roman" w:hAnsi="Times New Roman" w:eastAsia="宋体"/>
          <w:sz w:val="24"/>
          <w:vertAlign w:val="subscript"/>
        </w:rPr>
        <w:t>total</w:t>
      </w:r>
      <w:r>
        <w:rPr>
          <w:rFonts w:ascii="Times New Roman" w:hAnsi="Times New Roman" w:eastAsia="宋体"/>
          <w:sz w:val="24"/>
        </w:rPr>
        <w:t xml:space="preserve"> 与 σ</w:t>
      </w:r>
      <w:r>
        <w:rPr>
          <w:rFonts w:ascii="Times New Roman" w:hAnsi="Times New Roman" w:eastAsia="宋体"/>
          <w:sz w:val="24"/>
          <w:vertAlign w:val="subscript"/>
        </w:rPr>
        <w:t>e</w:t>
      </w:r>
      <w:r>
        <w:rPr>
          <w:rFonts w:ascii="Times New Roman" w:hAnsi="Times New Roman" w:eastAsia="宋体"/>
          <w:sz w:val="24"/>
        </w:rPr>
        <w:t xml:space="preserve"> 均为同一试样、同一温度、同一气氛下的独立测量量，避免用拟合差值充数。对称电池采用 LSCF-GDC 电极/30 μm 流延 GDC-Ca 电解质膜/对称电极构型，电解质面积比电阻按 ASR = L/σ（L 以 cm 计，L = 0.003 cm）核算。电学测试的重复数为 3 个独立试样（n = 3），结果以 mean ± SD 表示。</w:t>
      </w:r>
    </w:p>
    <w:p>
      <w:pPr>
        <w:pStyle w:val="Heading2"/>
        <w:spacing w:before="120" w:after="120" w:line="360" w:lineRule="auto"/>
        <w:jc w:val="left"/>
      </w:pPr>
      <w:r>
        <w:rPr>
          <w:rFonts w:ascii="Times New Roman" w:hAnsi="Times New Roman" w:eastAsia="黑体"/>
          <w:b/>
          <w:sz w:val="26"/>
        </w:rPr>
        <w:t>2.4 单电池构建与电化学测试</w:t>
      </w:r>
    </w:p>
    <w:p>
      <w:pPr>
        <w:spacing w:line="360" w:lineRule="auto" w:after="80"/>
        <w:ind w:firstLineChars="200" w:firstLine="480"/>
        <w:jc w:val="both"/>
      </w:pPr>
      <w:r>
        <w:rPr>
          <w:rFonts w:ascii="Times New Roman" w:hAnsi="Times New Roman" w:eastAsia="宋体"/>
          <w:sz w:val="24"/>
        </w:rPr>
        <w:t>阳极支撑单电池由 NiO-GDC 阳极支撑体（约 400 μm）、6 μm GDC-Ca 电解质与 LSCF-GDC 阴极组成。构型分组是本工作的关键设计：Cell-1（GDC20-Ca2，无阻挡层）、Cell-2（GDC20-Ca2 ＋ 0.3 μm YSZ 阻挡层）、Cell-3（GDC20-1400，无阻挡层）、Cell-4（GDC20-Ca2-Co，无阻挡层）、Cell-5（GDC10-Ca2，无阻挡层）。无阻挡层与超薄阻挡层两组对照直接决定了结构简化主张能否成立，也是把 OCV 增益归因于漏电抑制（而非单纯厚度效应）的判据 [10]。测试条件为加湿 H₂（3% H₂O）燃料、静态空气氧化剂、600/650/700 °C，记录 OCV、I–V、I–P、ASR 与 100 h 恒流稳定性。OCV、PPD 与衰减率以 n = 5 片同批次电池为统计单元，误差按 mean ± SD 给出，n &lt; 5 时改用 Student-t 保守估计；本工作电池统计量为 n = 5，故 95% 置信区间按 t(0.975, 4) = 2.776 计。电极/电解质界面微结构对功率的影响按已有 LSCF-GDC 匹配研究的口径处理 [8]，单电池测试与报告格式参照薄膜 GDC 单电池的既有基准 [1]。</w:t>
      </w:r>
    </w:p>
    <w:p>
      <w:pPr>
        <w:pStyle w:val="Heading1"/>
        <w:spacing w:before="200" w:after="120" w:line="360" w:lineRule="auto"/>
        <w:jc w:val="left"/>
      </w:pPr>
      <w:r>
        <w:rPr>
          <w:rFonts w:ascii="Times New Roman" w:hAnsi="Times New Roman" w:eastAsia="黑体"/>
          <w:b/>
          <w:sz w:val="28"/>
        </w:rPr>
        <w:t>3. Results</w:t>
      </w:r>
    </w:p>
    <w:p>
      <w:pPr>
        <w:spacing w:line="360" w:lineRule="auto" w:after="80"/>
        <w:ind w:firstLineChars="200" w:firstLine="480"/>
        <w:jc w:val="both"/>
      </w:pPr>
      <w:r>
        <w:rPr>
          <w:rFonts w:ascii="Times New Roman" w:hAnsi="Times New Roman" w:eastAsia="宋体"/>
          <w:sz w:val="24"/>
        </w:rPr>
        <w:t>全表统一给出数值、单位、测试条件、重复次数 n 与误差；所有依拟议数值给出的结果均在表内或表注标注「拟议值，待实验确认 / proposed, to be confirmed experimently」。</w:t>
      </w:r>
    </w:p>
    <w:p>
      <w:pPr>
        <w:pStyle w:val="Heading2"/>
        <w:spacing w:before="120" w:after="120" w:line="360" w:lineRule="auto"/>
        <w:jc w:val="left"/>
      </w:pPr>
      <w:r>
        <w:rPr>
          <w:rFonts w:ascii="Times New Roman" w:hAnsi="Times New Roman" w:eastAsia="黑体"/>
          <w:b/>
          <w:sz w:val="26"/>
        </w:rPr>
        <w:t>3.1 物相组成与低温致密化行为</w:t>
      </w:r>
    </w:p>
    <w:p>
      <w:pPr>
        <w:spacing w:line="360" w:lineRule="auto" w:after="80"/>
        <w:ind w:firstLineChars="200" w:firstLine="480"/>
        <w:jc w:val="both"/>
      </w:pPr>
      <w:r>
        <w:rPr>
          <w:rFonts w:ascii="Times New Roman" w:hAnsi="Times New Roman" w:eastAsia="宋体"/>
          <w:sz w:val="24"/>
        </w:rPr>
        <w:t>Ca 掺入后所有 y = 0–0.05 样品均只检出萤石结构物相，未出现可分辨的第二相，Rietveld 精修给出的晶格参数随掺杂量的变化与"Ca²⁺（CN = 8，约 1.12 Å 大于 Ce⁴⁺ 约 0.97 Å）取代导致的膨胀"方向一致，但氧空位引入的收缩效应可能部分抵消该膨胀，因此本文不对共掺后 a 的相对变化方向作先验断言，方向性以待精修确认（拟议值，待实验确认）。致密化行为是本节的重点：GDC20-Ca2 在 1300 °C/4 h 达到 97.9% 相对密度，而 GDC20（无 Ca）在同样制度下仅 89.2%，须升温至 1400 °C 才达到 97.5%（拟议值，待实验确认）。这一组对比是"与 NiO 阳极共烧兼容"论证的数据支点——1300 °C 落在阳极共烧窗口内，1400 °C 则已越界。Co 助烧组在 1250 °C 即达到 97.2%，说明致密化本身可以更容易地实现，其代价在 3.3 节显现。</w:t>
      </w:r>
    </w:p>
    <w:p>
      <w:pPr>
        <w:spacing w:line="360" w:lineRule="auto" w:after="80"/>
        <w:ind w:firstLineChars="200" w:firstLine="480"/>
        <w:jc w:val="both"/>
      </w:pPr>
      <w:r>
        <w:rPr>
          <w:rFonts w:ascii="Times New Roman" w:hAnsi="Times New Roman" w:eastAsia="宋体"/>
          <w:b/>
          <w:sz w:val="24"/>
        </w:rPr>
        <w:t>表 1｜样品组成与工艺设计矩阵</w:t>
      </w:r>
      <w:r>
        <w:rPr>
          <w:rFonts w:ascii="Times New Roman" w:hAnsi="Times New Roman" w:eastAsia="宋体"/>
          <w:sz w:val="24"/>
        </w:rPr>
        <w:t>（设计参数，无需重复数；命名与对照索引）</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Pr>
          <w:p>
            <w:pPr>
              <w:spacing w:line="276" w:lineRule="auto" w:after="0" w:before="0"/>
              <w:jc w:val="center"/>
            </w:pPr>
            <w:r/>
            <w:r>
              <w:rPr>
                <w:rFonts w:ascii="Times New Roman" w:hAnsi="Times New Roman" w:eastAsia="宋体"/>
                <w:b/>
                <w:sz w:val="21"/>
              </w:rPr>
              <w:t>样品编号</w:t>
            </w:r>
          </w:p>
        </w:tc>
        <w:tc>
          <w:tcPr>
            <w:tcW w:type="dxa" w:w="1247"/>
          </w:tcPr>
          <w:p>
            <w:pPr>
              <w:spacing w:line="276" w:lineRule="auto" w:after="0" w:before="0"/>
              <w:jc w:val="center"/>
            </w:pPr>
            <w:r/>
            <w:r>
              <w:rPr>
                <w:rFonts w:ascii="Times New Roman" w:hAnsi="Times New Roman" w:eastAsia="宋体"/>
                <w:b/>
                <w:sz w:val="21"/>
              </w:rPr>
              <w:t>Gd (x)</w:t>
            </w:r>
          </w:p>
        </w:tc>
        <w:tc>
          <w:tcPr>
            <w:tcW w:type="dxa" w:w="1247"/>
          </w:tcPr>
          <w:p>
            <w:pPr>
              <w:spacing w:line="276" w:lineRule="auto" w:after="0" w:before="0"/>
              <w:jc w:val="center"/>
            </w:pPr>
            <w:r/>
            <w:r>
              <w:rPr>
                <w:rFonts w:ascii="Times New Roman" w:hAnsi="Times New Roman" w:eastAsia="宋体"/>
                <w:b/>
                <w:sz w:val="21"/>
              </w:rPr>
              <w:t>Ca (y)</w:t>
            </w:r>
          </w:p>
        </w:tc>
        <w:tc>
          <w:tcPr>
            <w:tcW w:type="dxa" w:w="1247"/>
          </w:tcPr>
          <w:p>
            <w:pPr>
              <w:spacing w:line="276" w:lineRule="auto" w:after="0" w:before="0"/>
              <w:jc w:val="center"/>
            </w:pPr>
            <w:r/>
            <w:r>
              <w:rPr>
                <w:rFonts w:ascii="Times New Roman" w:hAnsi="Times New Roman" w:eastAsia="宋体"/>
                <w:b/>
                <w:sz w:val="21"/>
              </w:rPr>
              <w:t>助烧剂</w:t>
            </w:r>
          </w:p>
        </w:tc>
        <w:tc>
          <w:tcPr>
            <w:tcW w:type="dxa" w:w="1247"/>
          </w:tcPr>
          <w:p>
            <w:pPr>
              <w:spacing w:line="276" w:lineRule="auto" w:after="0" w:before="0"/>
              <w:jc w:val="center"/>
            </w:pPr>
            <w:r/>
            <w:r>
              <w:rPr>
                <w:rFonts w:ascii="Times New Roman" w:hAnsi="Times New Roman" w:eastAsia="宋体"/>
                <w:b/>
                <w:sz w:val="21"/>
              </w:rPr>
              <w:t>烧结温度 (°C)</w:t>
            </w:r>
          </w:p>
        </w:tc>
        <w:tc>
          <w:tcPr>
            <w:tcW w:type="dxa" w:w="1247"/>
          </w:tcPr>
          <w:p>
            <w:pPr>
              <w:spacing w:line="276" w:lineRule="auto" w:after="0" w:before="0"/>
              <w:jc w:val="center"/>
            </w:pPr>
            <w:r/>
            <w:r>
              <w:rPr>
                <w:rFonts w:ascii="Times New Roman" w:hAnsi="Times New Roman" w:eastAsia="宋体"/>
                <w:b/>
                <w:sz w:val="21"/>
              </w:rPr>
              <w:t>保温 (h)</w:t>
            </w:r>
          </w:p>
        </w:tc>
        <w:tc>
          <w:tcPr>
            <w:tcW w:type="dxa" w:w="1247"/>
          </w:tcPr>
          <w:p>
            <w:pPr>
              <w:spacing w:line="276" w:lineRule="auto" w:after="0" w:before="0"/>
              <w:jc w:val="center"/>
            </w:pPr>
            <w:r/>
            <w:r>
              <w:rPr>
                <w:rFonts w:ascii="Times New Roman" w:hAnsi="Times New Roman" w:eastAsia="宋体"/>
                <w:b/>
                <w:sz w:val="21"/>
              </w:rPr>
              <w:t>设计用途</w:t>
            </w:r>
          </w:p>
        </w:tc>
      </w:tr>
      <w:tr>
        <w:tc>
          <w:tcPr>
            <w:tcW w:type="dxa" w:w="1247"/>
          </w:tcPr>
          <w:p>
            <w:pPr>
              <w:spacing w:line="276" w:lineRule="auto" w:after="0" w:before="0"/>
              <w:jc w:val="left"/>
            </w:pPr>
            <w:r/>
            <w:r>
              <w:rPr>
                <w:rFonts w:ascii="Times New Roman" w:hAnsi="Times New Roman" w:eastAsia="宋体"/>
                <w:sz w:val="21"/>
              </w:rPr>
              <w:t>GDC20 (GDC20-Ca0)</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1300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主线对照（无 Ca）</w:t>
            </w:r>
          </w:p>
        </w:tc>
      </w:tr>
      <w:tr>
        <w:tc>
          <w:tcPr>
            <w:tcW w:type="dxa" w:w="1247"/>
          </w:tcPr>
          <w:p>
            <w:pPr>
              <w:spacing w:line="276" w:lineRule="auto" w:after="0" w:before="0"/>
              <w:jc w:val="left"/>
            </w:pPr>
            <w:r/>
            <w:r>
              <w:rPr>
                <w:rFonts w:ascii="Times New Roman" w:hAnsi="Times New Roman" w:eastAsia="宋体"/>
                <w:sz w:val="21"/>
              </w:rPr>
              <w:t>GDC20-Ca1</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0.01</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1300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y 系列下沿</w:t>
            </w:r>
          </w:p>
        </w:tc>
      </w:tr>
      <w:tr>
        <w:tc>
          <w:tcPr>
            <w:tcW w:type="dxa" w:w="1247"/>
          </w:tcPr>
          <w:p>
            <w:pPr>
              <w:spacing w:line="276" w:lineRule="auto" w:after="0" w:before="0"/>
              <w:jc w:val="left"/>
            </w:pPr>
            <w:r/>
            <w:r>
              <w:rPr>
                <w:rFonts w:ascii="Times New Roman" w:hAnsi="Times New Roman" w:eastAsia="宋体"/>
                <w:b/>
                <w:sz w:val="21"/>
              </w:rPr>
              <w:t>GDC20-Ca2</w:t>
            </w:r>
          </w:p>
        </w:tc>
        <w:tc>
          <w:tcPr>
            <w:tcW w:type="dxa" w:w="1247"/>
          </w:tcPr>
          <w:p>
            <w:pPr>
              <w:spacing w:line="276" w:lineRule="auto" w:after="0" w:before="0"/>
              <w:jc w:val="left"/>
            </w:pPr>
            <w:r/>
            <w:r>
              <w:rPr>
                <w:rFonts w:ascii="Times New Roman" w:hAnsi="Times New Roman" w:eastAsia="宋体"/>
                <w:b/>
                <w:sz w:val="21"/>
              </w:rPr>
              <w:t>0.20</w:t>
            </w:r>
          </w:p>
        </w:tc>
        <w:tc>
          <w:tcPr>
            <w:tcW w:type="dxa" w:w="1247"/>
          </w:tcPr>
          <w:p>
            <w:pPr>
              <w:spacing w:line="276" w:lineRule="auto" w:after="0" w:before="0"/>
              <w:jc w:val="left"/>
            </w:pPr>
            <w:r/>
            <w:r>
              <w:rPr>
                <w:rFonts w:ascii="Times New Roman" w:hAnsi="Times New Roman" w:eastAsia="宋体"/>
                <w:b/>
                <w:sz w:val="21"/>
              </w:rPr>
              <w:t>0.02</w:t>
            </w:r>
          </w:p>
        </w:tc>
        <w:tc>
          <w:tcPr>
            <w:tcW w:type="dxa" w:w="1247"/>
          </w:tcPr>
          <w:p>
            <w:pPr>
              <w:spacing w:line="276" w:lineRule="auto" w:after="0" w:before="0"/>
              <w:jc w:val="left"/>
            </w:pPr>
            <w:r/>
            <w:r>
              <w:rPr>
                <w:rFonts w:ascii="Times New Roman" w:hAnsi="Times New Roman" w:eastAsia="宋体"/>
                <w:b/>
                <w:sz w:val="21"/>
              </w:rPr>
              <w:t>无</w:t>
            </w:r>
          </w:p>
        </w:tc>
        <w:tc>
          <w:tcPr>
            <w:tcW w:type="dxa" w:w="1247"/>
          </w:tcPr>
          <w:p>
            <w:pPr>
              <w:spacing w:line="276" w:lineRule="auto" w:after="0" w:before="0"/>
              <w:jc w:val="left"/>
            </w:pPr>
            <w:r/>
            <w:r>
              <w:rPr>
                <w:rFonts w:ascii="Times New Roman" w:hAnsi="Times New Roman" w:eastAsia="宋体"/>
                <w:b/>
                <w:sz w:val="21"/>
              </w:rPr>
              <w:t>1300</w:t>
            </w:r>
          </w:p>
        </w:tc>
        <w:tc>
          <w:tcPr>
            <w:tcW w:type="dxa" w:w="1247"/>
          </w:tcPr>
          <w:p>
            <w:pPr>
              <w:spacing w:line="276" w:lineRule="auto" w:after="0" w:before="0"/>
              <w:jc w:val="left"/>
            </w:pPr>
            <w:r/>
            <w:r>
              <w:rPr>
                <w:rFonts w:ascii="Times New Roman" w:hAnsi="Times New Roman" w:eastAsia="宋体"/>
                <w:b/>
                <w:sz w:val="21"/>
              </w:rPr>
              <w:t>4</w:t>
            </w:r>
          </w:p>
        </w:tc>
        <w:tc>
          <w:tcPr>
            <w:tcW w:type="dxa" w:w="1247"/>
          </w:tcPr>
          <w:p>
            <w:pPr>
              <w:spacing w:line="276" w:lineRule="auto" w:after="0" w:before="0"/>
              <w:jc w:val="left"/>
            </w:pPr>
            <w:r/>
            <w:r>
              <w:rPr>
                <w:rFonts w:ascii="Times New Roman" w:hAnsi="Times New Roman" w:eastAsia="宋体"/>
                <w:b/>
                <w:sz w:val="21"/>
              </w:rPr>
              <w:t>主试样</w:t>
            </w:r>
          </w:p>
        </w:tc>
      </w:tr>
      <w:tr>
        <w:tc>
          <w:tcPr>
            <w:tcW w:type="dxa" w:w="1247"/>
          </w:tcPr>
          <w:p>
            <w:pPr>
              <w:spacing w:line="276" w:lineRule="auto" w:after="0" w:before="0"/>
              <w:jc w:val="left"/>
            </w:pPr>
            <w:r/>
            <w:r>
              <w:rPr>
                <w:rFonts w:ascii="Times New Roman" w:hAnsi="Times New Roman" w:eastAsia="宋体"/>
                <w:sz w:val="21"/>
              </w:rPr>
              <w:t>GDC20-Ca5</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0.05</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1300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y 系列上沿（过掺风险）</w:t>
            </w:r>
          </w:p>
        </w:tc>
      </w:tr>
      <w:tr>
        <w:tc>
          <w:tcPr>
            <w:tcW w:type="dxa" w:w="1247"/>
          </w:tcPr>
          <w:p>
            <w:pPr>
              <w:spacing w:line="276" w:lineRule="auto" w:after="0" w:before="0"/>
              <w:jc w:val="left"/>
            </w:pPr>
            <w:r/>
            <w:r>
              <w:rPr>
                <w:rFonts w:ascii="Times New Roman" w:hAnsi="Times New Roman" w:eastAsia="宋体"/>
                <w:sz w:val="21"/>
              </w:rPr>
              <w:t>GDC20-Ca2-1250</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0.02</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1250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致密化窗口下沿</w:t>
            </w:r>
          </w:p>
        </w:tc>
      </w:tr>
      <w:tr>
        <w:tc>
          <w:tcPr>
            <w:tcW w:type="dxa" w:w="1247"/>
          </w:tcPr>
          <w:p>
            <w:pPr>
              <w:spacing w:line="276" w:lineRule="auto" w:after="0" w:before="0"/>
              <w:jc w:val="left"/>
            </w:pPr>
            <w:r/>
            <w:r>
              <w:rPr>
                <w:rFonts w:ascii="Times New Roman" w:hAnsi="Times New Roman" w:eastAsia="宋体"/>
                <w:sz w:val="21"/>
              </w:rPr>
              <w:t>GDC20-Ca2-1350</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0.02</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1350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致密化窗口上沿</w:t>
            </w:r>
          </w:p>
        </w:tc>
      </w:tr>
      <w:tr>
        <w:tc>
          <w:tcPr>
            <w:tcW w:type="dxa" w:w="1247"/>
          </w:tcPr>
          <w:p>
            <w:pPr>
              <w:spacing w:line="276" w:lineRule="auto" w:after="0" w:before="0"/>
              <w:jc w:val="left"/>
            </w:pPr>
            <w:r/>
            <w:r>
              <w:rPr>
                <w:rFonts w:ascii="Times New Roman" w:hAnsi="Times New Roman" w:eastAsia="宋体"/>
                <w:sz w:val="21"/>
              </w:rPr>
              <w:t>GDC20-Ca2-Co</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0.02</w:t>
            </w:r>
          </w:p>
        </w:tc>
        <w:tc>
          <w:tcPr>
            <w:tcW w:type="dxa" w:w="1247"/>
          </w:tcPr>
          <w:p>
            <w:pPr>
              <w:spacing w:line="276" w:lineRule="auto" w:after="0" w:before="0"/>
              <w:jc w:val="left"/>
            </w:pPr>
            <w:r/>
            <w:r>
              <w:rPr>
                <w:rFonts w:ascii="Times New Roman" w:hAnsi="Times New Roman" w:eastAsia="宋体"/>
                <w:sz w:val="21"/>
              </w:rPr>
              <w:t>1 mol% Co₃O₄</w:t>
            </w:r>
          </w:p>
        </w:tc>
        <w:tc>
          <w:tcPr>
            <w:tcW w:type="dxa" w:w="1247"/>
          </w:tcPr>
          <w:p>
            <w:pPr>
              <w:spacing w:line="276" w:lineRule="auto" w:after="0" w:before="0"/>
              <w:jc w:val="left"/>
            </w:pPr>
            <w:r/>
            <w:r>
              <w:rPr>
                <w:rFonts w:ascii="Times New Roman" w:hAnsi="Times New Roman" w:eastAsia="宋体"/>
                <w:sz w:val="21"/>
              </w:rPr>
              <w:t>1250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助烧剂对照（含 Ca）</w:t>
            </w:r>
          </w:p>
        </w:tc>
      </w:tr>
      <w:tr>
        <w:tc>
          <w:tcPr>
            <w:tcW w:type="dxa" w:w="1247"/>
          </w:tcPr>
          <w:p>
            <w:pPr>
              <w:spacing w:line="276" w:lineRule="auto" w:after="0" w:before="0"/>
              <w:jc w:val="left"/>
            </w:pPr>
            <w:r/>
            <w:r>
              <w:rPr>
                <w:rFonts w:ascii="Times New Roman" w:hAnsi="Times New Roman" w:eastAsia="宋体"/>
                <w:sz w:val="21"/>
              </w:rPr>
              <w:t>GDC20-Co</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w:t>
            </w:r>
          </w:p>
        </w:tc>
        <w:tc>
          <w:tcPr>
            <w:tcW w:type="dxa" w:w="1247"/>
          </w:tcPr>
          <w:p>
            <w:pPr>
              <w:spacing w:line="276" w:lineRule="auto" w:after="0" w:before="0"/>
              <w:jc w:val="left"/>
            </w:pPr>
            <w:r/>
            <w:r>
              <w:rPr>
                <w:rFonts w:ascii="Times New Roman" w:hAnsi="Times New Roman" w:eastAsia="宋体"/>
                <w:sz w:val="21"/>
              </w:rPr>
              <w:t>1 mol% Co₃O₄</w:t>
            </w:r>
          </w:p>
        </w:tc>
        <w:tc>
          <w:tcPr>
            <w:tcW w:type="dxa" w:w="1247"/>
          </w:tcPr>
          <w:p>
            <w:pPr>
              <w:spacing w:line="276" w:lineRule="auto" w:after="0" w:before="0"/>
              <w:jc w:val="left"/>
            </w:pPr>
            <w:r/>
            <w:r>
              <w:rPr>
                <w:rFonts w:ascii="Times New Roman" w:hAnsi="Times New Roman" w:eastAsia="宋体"/>
                <w:sz w:val="21"/>
              </w:rPr>
              <w:t>1250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助烧剂对照（无 Ca）</w:t>
            </w:r>
          </w:p>
        </w:tc>
      </w:tr>
      <w:tr>
        <w:tc>
          <w:tcPr>
            <w:tcW w:type="dxa" w:w="1247"/>
          </w:tcPr>
          <w:p>
            <w:pPr>
              <w:spacing w:line="276" w:lineRule="auto" w:after="0" w:before="0"/>
              <w:jc w:val="left"/>
            </w:pPr>
            <w:r/>
            <w:r>
              <w:rPr>
                <w:rFonts w:ascii="Times New Roman" w:hAnsi="Times New Roman" w:eastAsia="宋体"/>
                <w:sz w:val="21"/>
              </w:rPr>
              <w:t>GDC20-1400</w:t>
            </w:r>
          </w:p>
        </w:tc>
        <w:tc>
          <w:tcPr>
            <w:tcW w:type="dxa" w:w="1247"/>
          </w:tcPr>
          <w:p>
            <w:pPr>
              <w:spacing w:line="276" w:lineRule="auto" w:after="0" w:before="0"/>
              <w:jc w:val="left"/>
            </w:pPr>
            <w:r/>
            <w:r>
              <w:rPr>
                <w:rFonts w:ascii="Times New Roman" w:hAnsi="Times New Roman" w:eastAsia="宋体"/>
                <w:sz w:val="21"/>
              </w:rPr>
              <w:t>0.20</w:t>
            </w:r>
          </w:p>
        </w:tc>
        <w:tc>
          <w:tcPr>
            <w:tcW w:type="dxa" w:w="1247"/>
          </w:tcPr>
          <w:p>
            <w:pPr>
              <w:spacing w:line="276" w:lineRule="auto" w:after="0" w:before="0"/>
              <w:jc w:val="left"/>
            </w:pPr>
            <w:r/>
            <w:r>
              <w:rPr>
                <w:rFonts w:ascii="Times New Roman" w:hAnsi="Times New Roman" w:eastAsia="宋体"/>
                <w:sz w:val="21"/>
              </w:rPr>
              <w:t>0</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1400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常规高温烧结对照</w:t>
            </w:r>
          </w:p>
        </w:tc>
      </w:tr>
      <w:tr>
        <w:tc>
          <w:tcPr>
            <w:tcW w:type="dxa" w:w="1247"/>
          </w:tcPr>
          <w:p>
            <w:pPr>
              <w:spacing w:line="276" w:lineRule="auto" w:after="0" w:before="0"/>
              <w:jc w:val="left"/>
            </w:pPr>
            <w:r/>
            <w:r>
              <w:rPr>
                <w:rFonts w:ascii="Times New Roman" w:hAnsi="Times New Roman" w:eastAsia="宋体"/>
                <w:sz w:val="21"/>
              </w:rPr>
              <w:t>GDC10-Ca2</w:t>
            </w:r>
          </w:p>
        </w:tc>
        <w:tc>
          <w:tcPr>
            <w:tcW w:type="dxa" w:w="1247"/>
          </w:tcPr>
          <w:p>
            <w:pPr>
              <w:spacing w:line="276" w:lineRule="auto" w:after="0" w:before="0"/>
              <w:jc w:val="left"/>
            </w:pPr>
            <w:r/>
            <w:r>
              <w:rPr>
                <w:rFonts w:ascii="Times New Roman" w:hAnsi="Times New Roman" w:eastAsia="宋体"/>
                <w:sz w:val="21"/>
              </w:rPr>
              <w:t>0.10</w:t>
            </w:r>
          </w:p>
        </w:tc>
        <w:tc>
          <w:tcPr>
            <w:tcW w:type="dxa" w:w="1247"/>
          </w:tcPr>
          <w:p>
            <w:pPr>
              <w:spacing w:line="276" w:lineRule="auto" w:after="0" w:before="0"/>
              <w:jc w:val="left"/>
            </w:pPr>
            <w:r/>
            <w:r>
              <w:rPr>
                <w:rFonts w:ascii="Times New Roman" w:hAnsi="Times New Roman" w:eastAsia="宋体"/>
                <w:sz w:val="21"/>
              </w:rPr>
              <w:t>0.02</w:t>
            </w:r>
          </w:p>
        </w:tc>
        <w:tc>
          <w:tcPr>
            <w:tcW w:type="dxa" w:w="1247"/>
          </w:tcPr>
          <w:p>
            <w:pPr>
              <w:spacing w:line="276" w:lineRule="auto" w:after="0" w:before="0"/>
              <w:jc w:val="left"/>
            </w:pPr>
            <w:r/>
            <w:r>
              <w:rPr>
                <w:rFonts w:ascii="Times New Roman" w:hAnsi="Times New Roman" w:eastAsia="宋体"/>
                <w:sz w:val="21"/>
              </w:rPr>
              <w:t>无</w:t>
            </w:r>
          </w:p>
        </w:tc>
        <w:tc>
          <w:tcPr>
            <w:tcW w:type="dxa" w:w="1247"/>
          </w:tcPr>
          <w:p>
            <w:pPr>
              <w:spacing w:line="276" w:lineRule="auto" w:after="0" w:before="0"/>
              <w:jc w:val="left"/>
            </w:pPr>
            <w:r/>
            <w:r>
              <w:rPr>
                <w:rFonts w:ascii="Times New Roman" w:hAnsi="Times New Roman" w:eastAsia="宋体"/>
                <w:sz w:val="21"/>
              </w:rPr>
              <w:t>1300</w:t>
            </w:r>
          </w:p>
        </w:tc>
        <w:tc>
          <w:tcPr>
            <w:tcW w:type="dxa" w:w="1247"/>
          </w:tcPr>
          <w:p>
            <w:pPr>
              <w:spacing w:line="276" w:lineRule="auto" w:after="0" w:before="0"/>
              <w:jc w:val="left"/>
            </w:pPr>
            <w:r/>
            <w:r>
              <w:rPr>
                <w:rFonts w:ascii="Times New Roman" w:hAnsi="Times New Roman" w:eastAsia="宋体"/>
                <w:sz w:val="21"/>
              </w:rPr>
              <w:t>4</w:t>
            </w:r>
          </w:p>
        </w:tc>
        <w:tc>
          <w:tcPr>
            <w:tcW w:type="dxa" w:w="1247"/>
          </w:tcPr>
          <w:p>
            <w:pPr>
              <w:spacing w:line="276" w:lineRule="auto" w:after="0" w:before="0"/>
              <w:jc w:val="left"/>
            </w:pPr>
            <w:r/>
            <w:r>
              <w:rPr>
                <w:rFonts w:ascii="Times New Roman" w:hAnsi="Times New Roman" w:eastAsia="宋体"/>
                <w:sz w:val="21"/>
              </w:rPr>
              <w:t>Gd 含量对照</w:t>
            </w:r>
          </w:p>
        </w:tc>
      </w:tr>
    </w:tbl>
    <w:p>
      <w:pPr>
        <w:spacing w:after="80"/>
      </w:pPr>
    </w:p>
    <w:p>
      <w:pPr>
        <w:spacing w:line="360" w:lineRule="auto" w:after="80"/>
        <w:ind w:firstLineChars="200" w:firstLine="480"/>
        <w:jc w:val="both"/>
      </w:pPr>
      <w:r>
        <w:rPr>
          <w:rFonts w:ascii="Times New Roman" w:hAnsi="Times New Roman" w:eastAsia="宋体"/>
          <w:b/>
          <w:sz w:val="24"/>
        </w:rPr>
        <w:t>表 2｜XRD / Rietveld 物相与晶格参数</w:t>
      </w:r>
      <w:r>
        <w:rPr>
          <w:rFonts w:ascii="Times New Roman" w:hAnsi="Times New Roman" w:eastAsia="宋体"/>
          <w:sz w:val="24"/>
        </w:rPr>
        <w:t>（室温，Cu Kα；n = 3 次独立制样，mean ± SD；拟议值，待实验确认；建议以补充材料呈现）</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检出物相</w:t>
            </w:r>
          </w:p>
        </w:tc>
        <w:tc>
          <w:tcPr>
            <w:tcW w:type="dxa" w:w="1091"/>
          </w:tcPr>
          <w:p>
            <w:pPr>
              <w:spacing w:line="276" w:lineRule="auto" w:after="0" w:before="0"/>
              <w:jc w:val="center"/>
            </w:pPr>
            <w:r/>
            <w:r>
              <w:rPr>
                <w:rFonts w:ascii="Times New Roman" w:hAnsi="Times New Roman" w:eastAsia="宋体"/>
                <w:b/>
                <w:sz w:val="21"/>
              </w:rPr>
              <w:t>空间群</w:t>
            </w:r>
          </w:p>
        </w:tc>
        <w:tc>
          <w:tcPr>
            <w:tcW w:type="dxa" w:w="1091"/>
          </w:tcPr>
          <w:p>
            <w:pPr>
              <w:spacing w:line="276" w:lineRule="auto" w:after="0" w:before="0"/>
              <w:jc w:val="center"/>
            </w:pPr>
            <w:r/>
            <w:r>
              <w:rPr>
                <w:rFonts w:ascii="Times New Roman" w:hAnsi="Times New Roman" w:eastAsia="宋体"/>
                <w:b/>
                <w:sz w:val="21"/>
              </w:rPr>
              <w:t>a (Å)</w:t>
            </w:r>
          </w:p>
        </w:tc>
        <w:tc>
          <w:tcPr>
            <w:tcW w:type="dxa" w:w="1091"/>
          </w:tcPr>
          <w:p>
            <w:pPr>
              <w:spacing w:line="276" w:lineRule="auto" w:after="0" w:before="0"/>
              <w:jc w:val="center"/>
            </w:pPr>
            <w:r/>
            <w:r>
              <w:rPr>
                <w:rFonts w:ascii="Times New Roman" w:hAnsi="Times New Roman" w:eastAsia="宋体"/>
                <w:b/>
                <w:sz w:val="21"/>
              </w:rPr>
              <w:t>V (Å³)</w:t>
            </w:r>
          </w:p>
        </w:tc>
        <w:tc>
          <w:tcPr>
            <w:tcW w:type="dxa" w:w="1091"/>
          </w:tcPr>
          <w:p>
            <w:pPr>
              <w:spacing w:line="276" w:lineRule="auto" w:after="0" w:before="0"/>
              <w:jc w:val="center"/>
            </w:pPr>
            <w:r/>
            <w:r>
              <w:rPr>
                <w:rFonts w:ascii="Times New Roman" w:hAnsi="Times New Roman" w:eastAsia="宋体"/>
                <w:b/>
                <w:sz w:val="21"/>
              </w:rPr>
              <w:t>晶粒尺寸 (nm)</w:t>
            </w:r>
          </w:p>
        </w:tc>
        <w:tc>
          <w:tcPr>
            <w:tcW w:type="dxa" w:w="1091"/>
          </w:tcPr>
          <w:p>
            <w:pPr>
              <w:spacing w:line="276" w:lineRule="auto" w:after="0" w:before="0"/>
              <w:jc w:val="center"/>
            </w:pPr>
            <w:r/>
            <w:r>
              <w:rPr>
                <w:rFonts w:ascii="Times New Roman" w:hAnsi="Times New Roman" w:eastAsia="宋体"/>
                <w:b/>
                <w:sz w:val="21"/>
              </w:rPr>
              <w:t>Rwp (%)</w:t>
            </w:r>
          </w:p>
        </w:tc>
        <w:tc>
          <w:tcPr>
            <w:tcW w:type="dxa" w:w="1091"/>
          </w:tcPr>
          <w:p>
            <w:pPr>
              <w:spacing w:line="276" w:lineRule="auto" w:after="0" w:before="0"/>
              <w:jc w:val="center"/>
            </w:pPr>
            <w:r/>
            <w:r>
              <w:rPr>
                <w:rFonts w:ascii="Times New Roman" w:hAnsi="Times New Roman" w:eastAsia="宋体"/>
                <w:b/>
                <w:sz w:val="21"/>
              </w:rPr>
              <w:t>误差（a, mean ± SD, n=3）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萤石</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5.4230</w:t>
            </w:r>
          </w:p>
        </w:tc>
        <w:tc>
          <w:tcPr>
            <w:tcW w:type="dxa" w:w="1091"/>
          </w:tcPr>
          <w:p>
            <w:pPr>
              <w:spacing w:line="276" w:lineRule="auto" w:after="0" w:before="0"/>
              <w:jc w:val="left"/>
            </w:pPr>
            <w:r/>
            <w:r>
              <w:rPr>
                <w:rFonts w:ascii="Times New Roman" w:hAnsi="Times New Roman" w:eastAsia="宋体"/>
                <w:sz w:val="21"/>
              </w:rPr>
              <w:t>159.48</w:t>
            </w:r>
          </w:p>
        </w:tc>
        <w:tc>
          <w:tcPr>
            <w:tcW w:type="dxa" w:w="1091"/>
          </w:tcPr>
          <w:p>
            <w:pPr>
              <w:spacing w:line="276" w:lineRule="auto" w:after="0" w:before="0"/>
              <w:jc w:val="left"/>
            </w:pPr>
            <w:r/>
            <w:r>
              <w:rPr>
                <w:rFonts w:ascii="Times New Roman" w:hAnsi="Times New Roman" w:eastAsia="宋体"/>
                <w:sz w:val="21"/>
              </w:rPr>
              <w:t>42</w:t>
            </w:r>
          </w:p>
        </w:tc>
        <w:tc>
          <w:tcPr>
            <w:tcW w:type="dxa" w:w="1091"/>
          </w:tcPr>
          <w:p>
            <w:pPr>
              <w:spacing w:line="276" w:lineRule="auto" w:after="0" w:before="0"/>
              <w:jc w:val="left"/>
            </w:pPr>
            <w:r/>
            <w:r>
              <w:rPr>
                <w:rFonts w:ascii="Times New Roman" w:hAnsi="Times New Roman" w:eastAsia="宋体"/>
                <w:sz w:val="21"/>
              </w:rPr>
              <w:t>6.8</w:t>
            </w:r>
          </w:p>
        </w:tc>
        <w:tc>
          <w:tcPr>
            <w:tcW w:type="dxa" w:w="1091"/>
          </w:tcPr>
          <w:p>
            <w:pPr>
              <w:spacing w:line="276" w:lineRule="auto" w:after="0" w:before="0"/>
              <w:jc w:val="left"/>
            </w:pPr>
            <w:r/>
            <w:r>
              <w:rPr>
                <w:rFonts w:ascii="Times New Roman" w:hAnsi="Times New Roman" w:eastAsia="宋体"/>
                <w:sz w:val="21"/>
              </w:rPr>
              <w:t>±0.0012</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萤石</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5.4241</w:t>
            </w:r>
          </w:p>
        </w:tc>
        <w:tc>
          <w:tcPr>
            <w:tcW w:type="dxa" w:w="1091"/>
          </w:tcPr>
          <w:p>
            <w:pPr>
              <w:spacing w:line="276" w:lineRule="auto" w:after="0" w:before="0"/>
              <w:jc w:val="left"/>
            </w:pPr>
            <w:r/>
            <w:r>
              <w:rPr>
                <w:rFonts w:ascii="Times New Roman" w:hAnsi="Times New Roman" w:eastAsia="宋体"/>
                <w:sz w:val="21"/>
              </w:rPr>
              <w:t>159.58</w:t>
            </w:r>
          </w:p>
        </w:tc>
        <w:tc>
          <w:tcPr>
            <w:tcW w:type="dxa" w:w="1091"/>
          </w:tcPr>
          <w:p>
            <w:pPr>
              <w:spacing w:line="276" w:lineRule="auto" w:after="0" w:before="0"/>
              <w:jc w:val="left"/>
            </w:pPr>
            <w:r/>
            <w:r>
              <w:rPr>
                <w:rFonts w:ascii="Times New Roman" w:hAnsi="Times New Roman" w:eastAsia="宋体"/>
                <w:sz w:val="21"/>
              </w:rPr>
              <w:t>45</w:t>
            </w:r>
          </w:p>
        </w:tc>
        <w:tc>
          <w:tcPr>
            <w:tcW w:type="dxa" w:w="1091"/>
          </w:tcPr>
          <w:p>
            <w:pPr>
              <w:spacing w:line="276" w:lineRule="auto" w:after="0" w:before="0"/>
              <w:jc w:val="left"/>
            </w:pPr>
            <w:r/>
            <w:r>
              <w:rPr>
                <w:rFonts w:ascii="Times New Roman" w:hAnsi="Times New Roman" w:eastAsia="宋体"/>
                <w:sz w:val="21"/>
              </w:rPr>
              <w:t>6.5</w:t>
            </w:r>
          </w:p>
        </w:tc>
        <w:tc>
          <w:tcPr>
            <w:tcW w:type="dxa" w:w="1091"/>
          </w:tcPr>
          <w:p>
            <w:pPr>
              <w:spacing w:line="276" w:lineRule="auto" w:after="0" w:before="0"/>
              <w:jc w:val="left"/>
            </w:pPr>
            <w:r/>
            <w:r>
              <w:rPr>
                <w:rFonts w:ascii="Times New Roman" w:hAnsi="Times New Roman" w:eastAsia="宋体"/>
                <w:sz w:val="21"/>
              </w:rPr>
              <w:t>±0.0011</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萤石</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5.4253</w:t>
            </w:r>
          </w:p>
        </w:tc>
        <w:tc>
          <w:tcPr>
            <w:tcW w:type="dxa" w:w="1091"/>
          </w:tcPr>
          <w:p>
            <w:pPr>
              <w:spacing w:line="276" w:lineRule="auto" w:after="0" w:before="0"/>
              <w:jc w:val="left"/>
            </w:pPr>
            <w:r/>
            <w:r>
              <w:rPr>
                <w:rFonts w:ascii="Times New Roman" w:hAnsi="Times New Roman" w:eastAsia="宋体"/>
                <w:sz w:val="21"/>
              </w:rPr>
              <w:t>159.69</w:t>
            </w:r>
          </w:p>
        </w:tc>
        <w:tc>
          <w:tcPr>
            <w:tcW w:type="dxa" w:w="1091"/>
          </w:tcPr>
          <w:p>
            <w:pPr>
              <w:spacing w:line="276" w:lineRule="auto" w:after="0" w:before="0"/>
              <w:jc w:val="left"/>
            </w:pPr>
            <w:r/>
            <w:r>
              <w:rPr>
                <w:rFonts w:ascii="Times New Roman" w:hAnsi="Times New Roman" w:eastAsia="宋体"/>
                <w:sz w:val="21"/>
              </w:rPr>
              <w:t>47</w:t>
            </w:r>
          </w:p>
        </w:tc>
        <w:tc>
          <w:tcPr>
            <w:tcW w:type="dxa" w:w="1091"/>
          </w:tcPr>
          <w:p>
            <w:pPr>
              <w:spacing w:line="276" w:lineRule="auto" w:after="0" w:before="0"/>
              <w:jc w:val="left"/>
            </w:pPr>
            <w:r/>
            <w:r>
              <w:rPr>
                <w:rFonts w:ascii="Times New Roman" w:hAnsi="Times New Roman" w:eastAsia="宋体"/>
                <w:sz w:val="21"/>
              </w:rPr>
              <w:t>6.3</w:t>
            </w:r>
          </w:p>
        </w:tc>
        <w:tc>
          <w:tcPr>
            <w:tcW w:type="dxa" w:w="1091"/>
          </w:tcPr>
          <w:p>
            <w:pPr>
              <w:spacing w:line="276" w:lineRule="auto" w:after="0" w:before="0"/>
              <w:jc w:val="left"/>
            </w:pPr>
            <w:r/>
            <w:r>
              <w:rPr>
                <w:rFonts w:ascii="Times New Roman" w:hAnsi="Times New Roman" w:eastAsia="宋体"/>
                <w:sz w:val="21"/>
              </w:rPr>
              <w:t>±0.0010</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萤石（Ca 富集第二相信号待确认）</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5.4276</w:t>
            </w:r>
          </w:p>
        </w:tc>
        <w:tc>
          <w:tcPr>
            <w:tcW w:type="dxa" w:w="1091"/>
          </w:tcPr>
          <w:p>
            <w:pPr>
              <w:spacing w:line="276" w:lineRule="auto" w:after="0" w:before="0"/>
              <w:jc w:val="left"/>
            </w:pPr>
            <w:r/>
            <w:r>
              <w:rPr>
                <w:rFonts w:ascii="Times New Roman" w:hAnsi="Times New Roman" w:eastAsia="宋体"/>
                <w:sz w:val="21"/>
              </w:rPr>
              <w:t>159.88</w:t>
            </w:r>
          </w:p>
        </w:tc>
        <w:tc>
          <w:tcPr>
            <w:tcW w:type="dxa" w:w="1091"/>
          </w:tcPr>
          <w:p>
            <w:pPr>
              <w:spacing w:line="276" w:lineRule="auto" w:after="0" w:before="0"/>
              <w:jc w:val="left"/>
            </w:pPr>
            <w:r/>
            <w:r>
              <w:rPr>
                <w:rFonts w:ascii="Times New Roman" w:hAnsi="Times New Roman" w:eastAsia="宋体"/>
                <w:sz w:val="21"/>
              </w:rPr>
              <w:t>44</w:t>
            </w:r>
          </w:p>
        </w:tc>
        <w:tc>
          <w:tcPr>
            <w:tcW w:type="dxa" w:w="1091"/>
          </w:tcPr>
          <w:p>
            <w:pPr>
              <w:spacing w:line="276" w:lineRule="auto" w:after="0" w:before="0"/>
              <w:jc w:val="left"/>
            </w:pPr>
            <w:r/>
            <w:r>
              <w:rPr>
                <w:rFonts w:ascii="Times New Roman" w:hAnsi="Times New Roman" w:eastAsia="宋体"/>
                <w:sz w:val="21"/>
              </w:rPr>
              <w:t>7.1</w:t>
            </w:r>
          </w:p>
        </w:tc>
        <w:tc>
          <w:tcPr>
            <w:tcW w:type="dxa" w:w="1091"/>
          </w:tcPr>
          <w:p>
            <w:pPr>
              <w:spacing w:line="276" w:lineRule="auto" w:after="0" w:before="0"/>
              <w:jc w:val="left"/>
            </w:pPr>
            <w:r/>
            <w:r>
              <w:rPr>
                <w:rFonts w:ascii="Times New Roman" w:hAnsi="Times New Roman" w:eastAsia="宋体"/>
                <w:sz w:val="21"/>
              </w:rPr>
              <w:t>±0.0016</w:t>
            </w:r>
          </w:p>
        </w:tc>
      </w:tr>
      <w:tr>
        <w:tc>
          <w:tcPr>
            <w:tcW w:type="dxa" w:w="1091"/>
          </w:tcPr>
          <w:p>
            <w:pPr>
              <w:spacing w:line="276" w:lineRule="auto" w:after="0" w:before="0"/>
              <w:jc w:val="left"/>
            </w:pPr>
            <w:r/>
            <w:r>
              <w:rPr>
                <w:rFonts w:ascii="Times New Roman" w:hAnsi="Times New Roman" w:eastAsia="宋体"/>
                <w:sz w:val="21"/>
              </w:rPr>
              <w:t>GDC10-Ca2</w:t>
            </w:r>
          </w:p>
        </w:tc>
        <w:tc>
          <w:tcPr>
            <w:tcW w:type="dxa" w:w="1091"/>
          </w:tcPr>
          <w:p>
            <w:pPr>
              <w:spacing w:line="276" w:lineRule="auto" w:after="0" w:before="0"/>
              <w:jc w:val="left"/>
            </w:pPr>
            <w:r/>
            <w:r>
              <w:rPr>
                <w:rFonts w:ascii="Times New Roman" w:hAnsi="Times New Roman" w:eastAsia="宋体"/>
                <w:sz w:val="21"/>
              </w:rPr>
              <w:t>萤石</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5.4168</w:t>
            </w:r>
          </w:p>
        </w:tc>
        <w:tc>
          <w:tcPr>
            <w:tcW w:type="dxa" w:w="1091"/>
          </w:tcPr>
          <w:p>
            <w:pPr>
              <w:spacing w:line="276" w:lineRule="auto" w:after="0" w:before="0"/>
              <w:jc w:val="left"/>
            </w:pPr>
            <w:r/>
            <w:r>
              <w:rPr>
                <w:rFonts w:ascii="Times New Roman" w:hAnsi="Times New Roman" w:eastAsia="宋体"/>
                <w:sz w:val="21"/>
              </w:rPr>
              <w:t>158.93</w:t>
            </w:r>
          </w:p>
        </w:tc>
        <w:tc>
          <w:tcPr>
            <w:tcW w:type="dxa" w:w="1091"/>
          </w:tcPr>
          <w:p>
            <w:pPr>
              <w:spacing w:line="276" w:lineRule="auto" w:after="0" w:before="0"/>
              <w:jc w:val="left"/>
            </w:pPr>
            <w:r/>
            <w:r>
              <w:rPr>
                <w:rFonts w:ascii="Times New Roman" w:hAnsi="Times New Roman" w:eastAsia="宋体"/>
                <w:sz w:val="21"/>
              </w:rPr>
              <w:t>51</w:t>
            </w:r>
          </w:p>
        </w:tc>
        <w:tc>
          <w:tcPr>
            <w:tcW w:type="dxa" w:w="1091"/>
          </w:tcPr>
          <w:p>
            <w:pPr>
              <w:spacing w:line="276" w:lineRule="auto" w:after="0" w:before="0"/>
              <w:jc w:val="left"/>
            </w:pPr>
            <w:r/>
            <w:r>
              <w:rPr>
                <w:rFonts w:ascii="Times New Roman" w:hAnsi="Times New Roman" w:eastAsia="宋体"/>
                <w:sz w:val="21"/>
              </w:rPr>
              <w:t>6.9</w:t>
            </w:r>
          </w:p>
        </w:tc>
        <w:tc>
          <w:tcPr>
            <w:tcW w:type="dxa" w:w="1091"/>
          </w:tcPr>
          <w:p>
            <w:pPr>
              <w:spacing w:line="276" w:lineRule="auto" w:after="0" w:before="0"/>
              <w:jc w:val="left"/>
            </w:pPr>
            <w:r/>
            <w:r>
              <w:rPr>
                <w:rFonts w:ascii="Times New Roman" w:hAnsi="Times New Roman" w:eastAsia="宋体"/>
                <w:sz w:val="21"/>
              </w:rPr>
              <w:t>±0.0013</w:t>
            </w:r>
          </w:p>
        </w:tc>
      </w:tr>
    </w:tbl>
    <w:p>
      <w:pPr>
        <w:spacing w:after="80"/>
      </w:pPr>
    </w:p>
    <w:p>
      <w:pPr>
        <w:spacing w:line="360" w:lineRule="auto" w:after="80"/>
        <w:ind w:firstLineChars="200" w:firstLine="480"/>
        <w:jc w:val="both"/>
      </w:pPr>
      <w:r>
        <w:rPr>
          <w:rFonts w:ascii="Times New Roman" w:hAnsi="Times New Roman" w:eastAsia="宋体"/>
          <w:b/>
          <w:sz w:val="24"/>
        </w:rPr>
        <w:t>表 3｜致密化与显微结构参数</w:t>
      </w:r>
      <w:r>
        <w:rPr>
          <w:rFonts w:ascii="Times New Roman" w:hAnsi="Times New Roman" w:eastAsia="宋体"/>
          <w:sz w:val="24"/>
        </w:rPr>
        <w:t>（阿基米德法 25 °C；SEM 断面；n ≥ 3 试样，每试样 ≥200 晶粒；mean ± SD；拟议值，待实验确认）</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烧结温度 (°C)</w:t>
            </w:r>
          </w:p>
        </w:tc>
        <w:tc>
          <w:tcPr>
            <w:tcW w:type="dxa" w:w="1091"/>
          </w:tcPr>
          <w:p>
            <w:pPr>
              <w:spacing w:line="276" w:lineRule="auto" w:after="0" w:before="0"/>
              <w:jc w:val="center"/>
            </w:pPr>
            <w:r/>
            <w:r>
              <w:rPr>
                <w:rFonts w:ascii="Times New Roman" w:hAnsi="Times New Roman" w:eastAsia="宋体"/>
                <w:b/>
                <w:sz w:val="21"/>
              </w:rPr>
              <w:t>理论密度 ρ</w:t>
            </w:r>
            <w:r>
              <w:rPr>
                <w:rFonts w:ascii="Times New Roman" w:hAnsi="Times New Roman" w:eastAsia="宋体"/>
                <w:sz w:val="21"/>
                <w:vertAlign w:val="subscript"/>
              </w:rPr>
              <w:t>th</w:t>
            </w:r>
            <w:r>
              <w:rPr>
                <w:rFonts w:ascii="Times New Roman" w:hAnsi="Times New Roman" w:eastAsia="宋体"/>
                <w:b/>
                <w:sz w:val="21"/>
              </w:rPr>
              <w:t xml:space="preserve"> (g·cm⁻³)</w:t>
            </w:r>
          </w:p>
        </w:tc>
        <w:tc>
          <w:tcPr>
            <w:tcW w:type="dxa" w:w="1091"/>
          </w:tcPr>
          <w:p>
            <w:pPr>
              <w:spacing w:line="276" w:lineRule="auto" w:after="0" w:before="0"/>
              <w:jc w:val="center"/>
            </w:pPr>
            <w:r/>
            <w:r>
              <w:rPr>
                <w:rFonts w:ascii="Times New Roman" w:hAnsi="Times New Roman" w:eastAsia="宋体"/>
                <w:b/>
                <w:sz w:val="21"/>
              </w:rPr>
              <w:t>相对密度 (%)</w:t>
            </w:r>
          </w:p>
        </w:tc>
        <w:tc>
          <w:tcPr>
            <w:tcW w:type="dxa" w:w="1091"/>
          </w:tcPr>
          <w:p>
            <w:pPr>
              <w:spacing w:line="276" w:lineRule="auto" w:after="0" w:before="0"/>
              <w:jc w:val="center"/>
            </w:pPr>
            <w:r/>
            <w:r>
              <w:rPr>
                <w:rFonts w:ascii="Times New Roman" w:hAnsi="Times New Roman" w:eastAsia="宋体"/>
                <w:b/>
                <w:sz w:val="21"/>
              </w:rPr>
              <w:t>平均晶粒尺寸 (μm)</w:t>
            </w:r>
          </w:p>
        </w:tc>
        <w:tc>
          <w:tcPr>
            <w:tcW w:type="dxa" w:w="1091"/>
          </w:tcPr>
          <w:p>
            <w:pPr>
              <w:spacing w:line="276" w:lineRule="auto" w:after="0" w:before="0"/>
              <w:jc w:val="center"/>
            </w:pPr>
            <w:r/>
            <w:r>
              <w:rPr>
                <w:rFonts w:ascii="Times New Roman" w:hAnsi="Times New Roman" w:eastAsia="宋体"/>
                <w:b/>
                <w:sz w:val="21"/>
              </w:rPr>
              <w:t>气孔率 (%)</w:t>
            </w:r>
          </w:p>
        </w:tc>
        <w:tc>
          <w:tcPr>
            <w:tcW w:type="dxa" w:w="1091"/>
          </w:tcPr>
          <w:p>
            <w:pPr>
              <w:spacing w:line="276" w:lineRule="auto" w:after="0" w:before="0"/>
              <w:jc w:val="center"/>
            </w:pPr>
            <w:r/>
            <w:r>
              <w:rPr>
                <w:rFonts w:ascii="Times New Roman" w:hAnsi="Times New Roman" w:eastAsia="宋体"/>
                <w:b/>
                <w:sz w:val="21"/>
              </w:rPr>
              <w:t>晶界 Ca 富集因子（EDS 原子比）</w:t>
            </w:r>
          </w:p>
        </w:tc>
        <w:tc>
          <w:tcPr>
            <w:tcW w:type="dxa" w:w="1091"/>
          </w:tcPr>
          <w:p>
            <w:pPr>
              <w:spacing w:line="276" w:lineRule="auto" w:after="0" w:before="0"/>
              <w:jc w:val="center"/>
            </w:pPr>
            <w:r/>
            <w:r>
              <w:rPr>
                <w:rFonts w:ascii="Times New Roman" w:hAnsi="Times New Roman" w:eastAsia="宋体"/>
                <w:b/>
                <w:sz w:val="21"/>
              </w:rPr>
              <w:t>晶界 Si 峰 (at%)</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7.244</w:t>
            </w:r>
          </w:p>
        </w:tc>
        <w:tc>
          <w:tcPr>
            <w:tcW w:type="dxa" w:w="1091"/>
          </w:tcPr>
          <w:p>
            <w:pPr>
              <w:spacing w:line="276" w:lineRule="auto" w:after="0" w:before="0"/>
              <w:jc w:val="left"/>
            </w:pPr>
            <w:r/>
            <w:r>
              <w:rPr>
                <w:rFonts w:ascii="Times New Roman" w:hAnsi="Times New Roman" w:eastAsia="宋体"/>
                <w:sz w:val="21"/>
              </w:rPr>
              <w:t>89.2 ± 0.8</w:t>
            </w:r>
          </w:p>
        </w:tc>
        <w:tc>
          <w:tcPr>
            <w:tcW w:type="dxa" w:w="1091"/>
          </w:tcPr>
          <w:p>
            <w:pPr>
              <w:spacing w:line="276" w:lineRule="auto" w:after="0" w:before="0"/>
              <w:jc w:val="left"/>
            </w:pPr>
            <w:r/>
            <w:r>
              <w:rPr>
                <w:rFonts w:ascii="Times New Roman" w:hAnsi="Times New Roman" w:eastAsia="宋体"/>
                <w:sz w:val="21"/>
              </w:rPr>
              <w:t>0.32 ± 0.04</w:t>
            </w:r>
          </w:p>
        </w:tc>
        <w:tc>
          <w:tcPr>
            <w:tcW w:type="dxa" w:w="1091"/>
          </w:tcPr>
          <w:p>
            <w:pPr>
              <w:spacing w:line="276" w:lineRule="auto" w:after="0" w:before="0"/>
              <w:jc w:val="left"/>
            </w:pPr>
            <w:r/>
            <w:r>
              <w:rPr>
                <w:rFonts w:ascii="Times New Roman" w:hAnsi="Times New Roman" w:eastAsia="宋体"/>
                <w:sz w:val="21"/>
              </w:rPr>
              <w:t>9.5 ± 0.9</w:t>
            </w:r>
          </w:p>
        </w:tc>
        <w:tc>
          <w:tcPr>
            <w:tcW w:type="dxa" w:w="1091"/>
          </w:tcPr>
          <w:p>
            <w:pPr>
              <w:spacing w:line="276" w:lineRule="auto" w:after="0" w:before="0"/>
              <w:jc w:val="left"/>
            </w:pPr>
            <w:r/>
            <w:r>
              <w:rPr>
                <w:rFonts w:ascii="Times New Roman" w:hAnsi="Times New Roman" w:eastAsia="宋体"/>
                <w:sz w:val="21"/>
              </w:rPr>
              <w:t>1.0（Ca 低于 EDS 检出限 ≈0.2 at%）</w:t>
            </w:r>
          </w:p>
        </w:tc>
        <w:tc>
          <w:tcPr>
            <w:tcW w:type="dxa" w:w="1091"/>
          </w:tcPr>
          <w:p>
            <w:pPr>
              <w:spacing w:line="276" w:lineRule="auto" w:after="0" w:before="0"/>
              <w:jc w:val="left"/>
            </w:pPr>
            <w:r/>
            <w:r>
              <w:rPr>
                <w:rFonts w:ascii="Times New Roman" w:hAnsi="Times New Roman" w:eastAsia="宋体"/>
                <w:sz w:val="21"/>
              </w:rPr>
              <w:t>2.6 ± 0.3</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7.196</w:t>
            </w:r>
          </w:p>
        </w:tc>
        <w:tc>
          <w:tcPr>
            <w:tcW w:type="dxa" w:w="1091"/>
          </w:tcPr>
          <w:p>
            <w:pPr>
              <w:spacing w:line="276" w:lineRule="auto" w:after="0" w:before="0"/>
              <w:jc w:val="left"/>
            </w:pPr>
            <w:r/>
            <w:r>
              <w:rPr>
                <w:rFonts w:ascii="Times New Roman" w:hAnsi="Times New Roman" w:eastAsia="宋体"/>
                <w:sz w:val="21"/>
              </w:rPr>
              <w:t>95.6 ± 0.6</w:t>
            </w:r>
          </w:p>
        </w:tc>
        <w:tc>
          <w:tcPr>
            <w:tcW w:type="dxa" w:w="1091"/>
          </w:tcPr>
          <w:p>
            <w:pPr>
              <w:spacing w:line="276" w:lineRule="auto" w:after="0" w:before="0"/>
              <w:jc w:val="left"/>
            </w:pPr>
            <w:r/>
            <w:r>
              <w:rPr>
                <w:rFonts w:ascii="Times New Roman" w:hAnsi="Times New Roman" w:eastAsia="宋体"/>
                <w:sz w:val="21"/>
              </w:rPr>
              <w:t>0.28 ± 0.03</w:t>
            </w:r>
          </w:p>
        </w:tc>
        <w:tc>
          <w:tcPr>
            <w:tcW w:type="dxa" w:w="1091"/>
          </w:tcPr>
          <w:p>
            <w:pPr>
              <w:spacing w:line="276" w:lineRule="auto" w:after="0" w:before="0"/>
              <w:jc w:val="left"/>
            </w:pPr>
            <w:r/>
            <w:r>
              <w:rPr>
                <w:rFonts w:ascii="Times New Roman" w:hAnsi="Times New Roman" w:eastAsia="宋体"/>
                <w:sz w:val="21"/>
              </w:rPr>
              <w:t>4.0 ± 0.6</w:t>
            </w:r>
          </w:p>
        </w:tc>
        <w:tc>
          <w:tcPr>
            <w:tcW w:type="dxa" w:w="1091"/>
          </w:tcPr>
          <w:p>
            <w:pPr>
              <w:spacing w:line="276" w:lineRule="auto" w:after="0" w:before="0"/>
              <w:jc w:val="left"/>
            </w:pPr>
            <w:r/>
            <w:r>
              <w:rPr>
                <w:rFonts w:ascii="Times New Roman" w:hAnsi="Times New Roman" w:eastAsia="宋体"/>
                <w:sz w:val="21"/>
              </w:rPr>
              <w:t>2.6 ± 0.3</w:t>
            </w:r>
          </w:p>
        </w:tc>
        <w:tc>
          <w:tcPr>
            <w:tcW w:type="dxa" w:w="1091"/>
          </w:tcPr>
          <w:p>
            <w:pPr>
              <w:spacing w:line="276" w:lineRule="auto" w:after="0" w:before="0"/>
              <w:jc w:val="left"/>
            </w:pPr>
            <w:r/>
            <w:r>
              <w:rPr>
                <w:rFonts w:ascii="Times New Roman" w:hAnsi="Times New Roman" w:eastAsia="宋体"/>
                <w:sz w:val="21"/>
              </w:rPr>
              <w:t>1.9 ± 0.2</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7.145</w:t>
            </w:r>
          </w:p>
        </w:tc>
        <w:tc>
          <w:tcPr>
            <w:tcW w:type="dxa" w:w="1091"/>
          </w:tcPr>
          <w:p>
            <w:pPr>
              <w:spacing w:line="276" w:lineRule="auto" w:after="0" w:before="0"/>
              <w:jc w:val="left"/>
            </w:pPr>
            <w:r/>
            <w:r>
              <w:rPr>
                <w:rFonts w:ascii="Times New Roman" w:hAnsi="Times New Roman" w:eastAsia="宋体"/>
                <w:sz w:val="21"/>
              </w:rPr>
              <w:t>97.9 ± 0.4</w:t>
            </w:r>
          </w:p>
        </w:tc>
        <w:tc>
          <w:tcPr>
            <w:tcW w:type="dxa" w:w="1091"/>
          </w:tcPr>
          <w:p>
            <w:pPr>
              <w:spacing w:line="276" w:lineRule="auto" w:after="0" w:before="0"/>
              <w:jc w:val="left"/>
            </w:pPr>
            <w:r/>
            <w:r>
              <w:rPr>
                <w:rFonts w:ascii="Times New Roman" w:hAnsi="Times New Roman" w:eastAsia="宋体"/>
                <w:sz w:val="21"/>
              </w:rPr>
              <w:t>0.30 ± 0.03</w:t>
            </w:r>
          </w:p>
        </w:tc>
        <w:tc>
          <w:tcPr>
            <w:tcW w:type="dxa" w:w="1091"/>
          </w:tcPr>
          <w:p>
            <w:pPr>
              <w:spacing w:line="276" w:lineRule="auto" w:after="0" w:before="0"/>
              <w:jc w:val="left"/>
            </w:pPr>
            <w:r/>
            <w:r>
              <w:rPr>
                <w:rFonts w:ascii="Times New Roman" w:hAnsi="Times New Roman" w:eastAsia="宋体"/>
                <w:sz w:val="21"/>
              </w:rPr>
              <w:t>2.0 ± 0.4</w:t>
            </w:r>
          </w:p>
        </w:tc>
        <w:tc>
          <w:tcPr>
            <w:tcW w:type="dxa" w:w="1091"/>
          </w:tcPr>
          <w:p>
            <w:pPr>
              <w:spacing w:line="276" w:lineRule="auto" w:after="0" w:before="0"/>
              <w:jc w:val="left"/>
            </w:pPr>
            <w:r/>
            <w:r>
              <w:rPr>
                <w:rFonts w:ascii="Times New Roman" w:hAnsi="Times New Roman" w:eastAsia="宋体"/>
                <w:sz w:val="21"/>
              </w:rPr>
              <w:t>4.2 ± 0.4</w:t>
            </w:r>
          </w:p>
        </w:tc>
        <w:tc>
          <w:tcPr>
            <w:tcW w:type="dxa" w:w="1091"/>
          </w:tcPr>
          <w:p>
            <w:pPr>
              <w:spacing w:line="276" w:lineRule="auto" w:after="0" w:before="0"/>
              <w:jc w:val="left"/>
            </w:pPr>
            <w:r/>
            <w:r>
              <w:rPr>
                <w:rFonts w:ascii="Times New Roman" w:hAnsi="Times New Roman" w:eastAsia="宋体"/>
                <w:sz w:val="21"/>
              </w:rPr>
              <w:t>0.8 ± 0.1</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7.002</w:t>
            </w:r>
          </w:p>
        </w:tc>
        <w:tc>
          <w:tcPr>
            <w:tcW w:type="dxa" w:w="1091"/>
          </w:tcPr>
          <w:p>
            <w:pPr>
              <w:spacing w:line="276" w:lineRule="auto" w:after="0" w:before="0"/>
              <w:jc w:val="left"/>
            </w:pPr>
            <w:r/>
            <w:r>
              <w:rPr>
                <w:rFonts w:ascii="Times New Roman" w:hAnsi="Times New Roman" w:eastAsia="宋体"/>
                <w:sz w:val="21"/>
              </w:rPr>
              <w:t>98.3 ± 0.4</w:t>
            </w:r>
          </w:p>
        </w:tc>
        <w:tc>
          <w:tcPr>
            <w:tcW w:type="dxa" w:w="1091"/>
          </w:tcPr>
          <w:p>
            <w:pPr>
              <w:spacing w:line="276" w:lineRule="auto" w:after="0" w:before="0"/>
              <w:jc w:val="left"/>
            </w:pPr>
            <w:r/>
            <w:r>
              <w:rPr>
                <w:rFonts w:ascii="Times New Roman" w:hAnsi="Times New Roman" w:eastAsia="宋体"/>
                <w:sz w:val="21"/>
              </w:rPr>
              <w:t>0.35 ± 0.04</w:t>
            </w:r>
          </w:p>
        </w:tc>
        <w:tc>
          <w:tcPr>
            <w:tcW w:type="dxa" w:w="1091"/>
          </w:tcPr>
          <w:p>
            <w:pPr>
              <w:spacing w:line="276" w:lineRule="auto" w:after="0" w:before="0"/>
              <w:jc w:val="left"/>
            </w:pPr>
            <w:r/>
            <w:r>
              <w:rPr>
                <w:rFonts w:ascii="Times New Roman" w:hAnsi="Times New Roman" w:eastAsia="宋体"/>
                <w:sz w:val="21"/>
              </w:rPr>
              <w:t>1.7 ± 0.3</w:t>
            </w:r>
          </w:p>
        </w:tc>
        <w:tc>
          <w:tcPr>
            <w:tcW w:type="dxa" w:w="1091"/>
          </w:tcPr>
          <w:p>
            <w:pPr>
              <w:spacing w:line="276" w:lineRule="auto" w:after="0" w:before="0"/>
              <w:jc w:val="left"/>
            </w:pPr>
            <w:r/>
            <w:r>
              <w:rPr>
                <w:rFonts w:ascii="Times New Roman" w:hAnsi="Times New Roman" w:eastAsia="宋体"/>
                <w:sz w:val="21"/>
              </w:rPr>
              <w:t>5.1 ± 0.6</w:t>
            </w:r>
          </w:p>
        </w:tc>
        <w:tc>
          <w:tcPr>
            <w:tcW w:type="dxa" w:w="1091"/>
          </w:tcPr>
          <w:p>
            <w:pPr>
              <w:spacing w:line="276" w:lineRule="auto" w:after="0" w:before="0"/>
              <w:jc w:val="left"/>
            </w:pPr>
            <w:r/>
            <w:r>
              <w:rPr>
                <w:rFonts w:ascii="Times New Roman" w:hAnsi="Times New Roman" w:eastAsia="宋体"/>
                <w:sz w:val="21"/>
              </w:rPr>
              <w:t>0.7 ± 0.1</w:t>
            </w:r>
          </w:p>
        </w:tc>
      </w:tr>
      <w:tr>
        <w:tc>
          <w:tcPr>
            <w:tcW w:type="dxa" w:w="1091"/>
          </w:tcPr>
          <w:p>
            <w:pPr>
              <w:spacing w:line="276" w:lineRule="auto" w:after="0" w:before="0"/>
              <w:jc w:val="left"/>
            </w:pPr>
            <w:r/>
            <w:r>
              <w:rPr>
                <w:rFonts w:ascii="Times New Roman" w:hAnsi="Times New Roman" w:eastAsia="宋体"/>
                <w:sz w:val="21"/>
              </w:rPr>
              <w:t>GDC20-Ca2-1250</w:t>
            </w:r>
          </w:p>
        </w:tc>
        <w:tc>
          <w:tcPr>
            <w:tcW w:type="dxa" w:w="1091"/>
          </w:tcPr>
          <w:p>
            <w:pPr>
              <w:spacing w:line="276" w:lineRule="auto" w:after="0" w:before="0"/>
              <w:jc w:val="left"/>
            </w:pPr>
            <w:r/>
            <w:r>
              <w:rPr>
                <w:rFonts w:ascii="Times New Roman" w:hAnsi="Times New Roman" w:eastAsia="宋体"/>
                <w:sz w:val="21"/>
              </w:rPr>
              <w:t>1250</w:t>
            </w:r>
          </w:p>
        </w:tc>
        <w:tc>
          <w:tcPr>
            <w:tcW w:type="dxa" w:w="1091"/>
          </w:tcPr>
          <w:p>
            <w:pPr>
              <w:spacing w:line="276" w:lineRule="auto" w:after="0" w:before="0"/>
              <w:jc w:val="left"/>
            </w:pPr>
            <w:r/>
            <w:r>
              <w:rPr>
                <w:rFonts w:ascii="Times New Roman" w:hAnsi="Times New Roman" w:eastAsia="宋体"/>
                <w:sz w:val="21"/>
              </w:rPr>
              <w:t>7.145</w:t>
            </w:r>
          </w:p>
        </w:tc>
        <w:tc>
          <w:tcPr>
            <w:tcW w:type="dxa" w:w="1091"/>
          </w:tcPr>
          <w:p>
            <w:pPr>
              <w:spacing w:line="276" w:lineRule="auto" w:after="0" w:before="0"/>
              <w:jc w:val="left"/>
            </w:pPr>
            <w:r/>
            <w:r>
              <w:rPr>
                <w:rFonts w:ascii="Times New Roman" w:hAnsi="Times New Roman" w:eastAsia="宋体"/>
                <w:sz w:val="21"/>
              </w:rPr>
              <w:t>95.1 ± 0.7</w:t>
            </w:r>
          </w:p>
        </w:tc>
        <w:tc>
          <w:tcPr>
            <w:tcW w:type="dxa" w:w="1091"/>
          </w:tcPr>
          <w:p>
            <w:pPr>
              <w:spacing w:line="276" w:lineRule="auto" w:after="0" w:before="0"/>
              <w:jc w:val="left"/>
            </w:pPr>
            <w:r/>
            <w:r>
              <w:rPr>
                <w:rFonts w:ascii="Times New Roman" w:hAnsi="Times New Roman" w:eastAsia="宋体"/>
                <w:sz w:val="21"/>
              </w:rPr>
              <w:t>0.22 ± 0.03</w:t>
            </w:r>
          </w:p>
        </w:tc>
        <w:tc>
          <w:tcPr>
            <w:tcW w:type="dxa" w:w="1091"/>
          </w:tcPr>
          <w:p>
            <w:pPr>
              <w:spacing w:line="276" w:lineRule="auto" w:after="0" w:before="0"/>
              <w:jc w:val="left"/>
            </w:pPr>
            <w:r/>
            <w:r>
              <w:rPr>
                <w:rFonts w:ascii="Times New Roman" w:hAnsi="Times New Roman" w:eastAsia="宋体"/>
                <w:sz w:val="21"/>
              </w:rPr>
              <w:t>4.4 ± 0.7</w:t>
            </w:r>
          </w:p>
        </w:tc>
        <w:tc>
          <w:tcPr>
            <w:tcW w:type="dxa" w:w="1091"/>
          </w:tcPr>
          <w:p>
            <w:pPr>
              <w:spacing w:line="276" w:lineRule="auto" w:after="0" w:before="0"/>
              <w:jc w:val="left"/>
            </w:pPr>
            <w:r/>
            <w:r>
              <w:rPr>
                <w:rFonts w:ascii="Times New Roman" w:hAnsi="Times New Roman" w:eastAsia="宋体"/>
                <w:sz w:val="21"/>
              </w:rPr>
              <w:t>3.9 ± 0.4</w:t>
            </w:r>
          </w:p>
        </w:tc>
        <w:tc>
          <w:tcPr>
            <w:tcW w:type="dxa" w:w="1091"/>
          </w:tcPr>
          <w:p>
            <w:pPr>
              <w:spacing w:line="276" w:lineRule="auto" w:after="0" w:before="0"/>
              <w:jc w:val="left"/>
            </w:pPr>
            <w:r/>
            <w:r>
              <w:rPr>
                <w:rFonts w:ascii="Times New Roman" w:hAnsi="Times New Roman" w:eastAsia="宋体"/>
                <w:sz w:val="21"/>
              </w:rPr>
              <w:t>0.9 ± 0.1</w:t>
            </w:r>
          </w:p>
        </w:tc>
      </w:tr>
      <w:tr>
        <w:tc>
          <w:tcPr>
            <w:tcW w:type="dxa" w:w="1091"/>
          </w:tcPr>
          <w:p>
            <w:pPr>
              <w:spacing w:line="276" w:lineRule="auto" w:after="0" w:before="0"/>
              <w:jc w:val="left"/>
            </w:pPr>
            <w:r/>
            <w:r>
              <w:rPr>
                <w:rFonts w:ascii="Times New Roman" w:hAnsi="Times New Roman" w:eastAsia="宋体"/>
                <w:sz w:val="21"/>
              </w:rPr>
              <w:t>GDC20-Ca2-1350</w:t>
            </w:r>
          </w:p>
        </w:tc>
        <w:tc>
          <w:tcPr>
            <w:tcW w:type="dxa" w:w="1091"/>
          </w:tcPr>
          <w:p>
            <w:pPr>
              <w:spacing w:line="276" w:lineRule="auto" w:after="0" w:before="0"/>
              <w:jc w:val="left"/>
            </w:pPr>
            <w:r/>
            <w:r>
              <w:rPr>
                <w:rFonts w:ascii="Times New Roman" w:hAnsi="Times New Roman" w:eastAsia="宋体"/>
                <w:sz w:val="21"/>
              </w:rPr>
              <w:t>1350</w:t>
            </w:r>
          </w:p>
        </w:tc>
        <w:tc>
          <w:tcPr>
            <w:tcW w:type="dxa" w:w="1091"/>
          </w:tcPr>
          <w:p>
            <w:pPr>
              <w:spacing w:line="276" w:lineRule="auto" w:after="0" w:before="0"/>
              <w:jc w:val="left"/>
            </w:pPr>
            <w:r/>
            <w:r>
              <w:rPr>
                <w:rFonts w:ascii="Times New Roman" w:hAnsi="Times New Roman" w:eastAsia="宋体"/>
                <w:sz w:val="21"/>
              </w:rPr>
              <w:t>7.145</w:t>
            </w:r>
          </w:p>
        </w:tc>
        <w:tc>
          <w:tcPr>
            <w:tcW w:type="dxa" w:w="1091"/>
          </w:tcPr>
          <w:p>
            <w:pPr>
              <w:spacing w:line="276" w:lineRule="auto" w:after="0" w:before="0"/>
              <w:jc w:val="left"/>
            </w:pPr>
            <w:r/>
            <w:r>
              <w:rPr>
                <w:rFonts w:ascii="Times New Roman" w:hAnsi="Times New Roman" w:eastAsia="宋体"/>
                <w:sz w:val="21"/>
              </w:rPr>
              <w:t>98.4 ± 0.3</w:t>
            </w:r>
          </w:p>
        </w:tc>
        <w:tc>
          <w:tcPr>
            <w:tcW w:type="dxa" w:w="1091"/>
          </w:tcPr>
          <w:p>
            <w:pPr>
              <w:spacing w:line="276" w:lineRule="auto" w:after="0" w:before="0"/>
              <w:jc w:val="left"/>
            </w:pPr>
            <w:r/>
            <w:r>
              <w:rPr>
                <w:rFonts w:ascii="Times New Roman" w:hAnsi="Times New Roman" w:eastAsia="宋体"/>
                <w:sz w:val="21"/>
              </w:rPr>
              <w:t>0.41 ± 0.05</w:t>
            </w:r>
          </w:p>
        </w:tc>
        <w:tc>
          <w:tcPr>
            <w:tcW w:type="dxa" w:w="1091"/>
          </w:tcPr>
          <w:p>
            <w:pPr>
              <w:spacing w:line="276" w:lineRule="auto" w:after="0" w:before="0"/>
              <w:jc w:val="left"/>
            </w:pPr>
            <w:r/>
            <w:r>
              <w:rPr>
                <w:rFonts w:ascii="Times New Roman" w:hAnsi="Times New Roman" w:eastAsia="宋体"/>
                <w:sz w:val="21"/>
              </w:rPr>
              <w:t>1.6 ± 0.3</w:t>
            </w:r>
          </w:p>
        </w:tc>
        <w:tc>
          <w:tcPr>
            <w:tcW w:type="dxa" w:w="1091"/>
          </w:tcPr>
          <w:p>
            <w:pPr>
              <w:spacing w:line="276" w:lineRule="auto" w:after="0" w:before="0"/>
              <w:jc w:val="left"/>
            </w:pPr>
            <w:r/>
            <w:r>
              <w:rPr>
                <w:rFonts w:ascii="Times New Roman" w:hAnsi="Times New Roman" w:eastAsia="宋体"/>
                <w:sz w:val="21"/>
              </w:rPr>
              <w:t>4.4 ± 0.5</w:t>
            </w:r>
          </w:p>
        </w:tc>
        <w:tc>
          <w:tcPr>
            <w:tcW w:type="dxa" w:w="1091"/>
          </w:tcPr>
          <w:p>
            <w:pPr>
              <w:spacing w:line="276" w:lineRule="auto" w:after="0" w:before="0"/>
              <w:jc w:val="left"/>
            </w:pPr>
            <w:r/>
            <w:r>
              <w:rPr>
                <w:rFonts w:ascii="Times New Roman" w:hAnsi="Times New Roman" w:eastAsia="宋体"/>
                <w:sz w:val="21"/>
              </w:rPr>
              <w:t>0.8 ± 0.1</w:t>
            </w:r>
          </w:p>
        </w:tc>
      </w:tr>
      <w:tr>
        <w:tc>
          <w:tcPr>
            <w:tcW w:type="dxa" w:w="1091"/>
          </w:tcPr>
          <w:p>
            <w:pPr>
              <w:spacing w:line="276" w:lineRule="auto" w:after="0" w:before="0"/>
              <w:jc w:val="left"/>
            </w:pPr>
            <w:r/>
            <w:r>
              <w:rPr>
                <w:rFonts w:ascii="Times New Roman" w:hAnsi="Times New Roman" w:eastAsia="宋体"/>
                <w:sz w:val="21"/>
              </w:rPr>
              <w:t>GDC20-Ca2-Co</w:t>
            </w:r>
          </w:p>
        </w:tc>
        <w:tc>
          <w:tcPr>
            <w:tcW w:type="dxa" w:w="1091"/>
          </w:tcPr>
          <w:p>
            <w:pPr>
              <w:spacing w:line="276" w:lineRule="auto" w:after="0" w:before="0"/>
              <w:jc w:val="left"/>
            </w:pPr>
            <w:r/>
            <w:r>
              <w:rPr>
                <w:rFonts w:ascii="Times New Roman" w:hAnsi="Times New Roman" w:eastAsia="宋体"/>
                <w:sz w:val="21"/>
              </w:rPr>
              <w:t>1250</w:t>
            </w:r>
          </w:p>
        </w:tc>
        <w:tc>
          <w:tcPr>
            <w:tcW w:type="dxa" w:w="1091"/>
          </w:tcPr>
          <w:p>
            <w:pPr>
              <w:spacing w:line="276" w:lineRule="auto" w:after="0" w:before="0"/>
              <w:jc w:val="left"/>
            </w:pPr>
            <w:r/>
            <w:r>
              <w:rPr>
                <w:rFonts w:ascii="Times New Roman" w:hAnsi="Times New Roman" w:eastAsia="宋体"/>
                <w:sz w:val="21"/>
              </w:rPr>
              <w:t>7.145</w:t>
            </w:r>
          </w:p>
        </w:tc>
        <w:tc>
          <w:tcPr>
            <w:tcW w:type="dxa" w:w="1091"/>
          </w:tcPr>
          <w:p>
            <w:pPr>
              <w:spacing w:line="276" w:lineRule="auto" w:after="0" w:before="0"/>
              <w:jc w:val="left"/>
            </w:pPr>
            <w:r/>
            <w:r>
              <w:rPr>
                <w:rFonts w:ascii="Times New Roman" w:hAnsi="Times New Roman" w:eastAsia="宋体"/>
                <w:sz w:val="21"/>
              </w:rPr>
              <w:t>97.2 ± 0.5</w:t>
            </w:r>
          </w:p>
        </w:tc>
        <w:tc>
          <w:tcPr>
            <w:tcW w:type="dxa" w:w="1091"/>
          </w:tcPr>
          <w:p>
            <w:pPr>
              <w:spacing w:line="276" w:lineRule="auto" w:after="0" w:before="0"/>
              <w:jc w:val="left"/>
            </w:pPr>
            <w:r/>
            <w:r>
              <w:rPr>
                <w:rFonts w:ascii="Times New Roman" w:hAnsi="Times New Roman" w:eastAsia="宋体"/>
                <w:sz w:val="21"/>
              </w:rPr>
              <w:t>0.33 ± 0.04</w:t>
            </w:r>
          </w:p>
        </w:tc>
        <w:tc>
          <w:tcPr>
            <w:tcW w:type="dxa" w:w="1091"/>
          </w:tcPr>
          <w:p>
            <w:pPr>
              <w:spacing w:line="276" w:lineRule="auto" w:after="0" w:before="0"/>
              <w:jc w:val="left"/>
            </w:pPr>
            <w:r/>
            <w:r>
              <w:rPr>
                <w:rFonts w:ascii="Times New Roman" w:hAnsi="Times New Roman" w:eastAsia="宋体"/>
                <w:sz w:val="21"/>
              </w:rPr>
              <w:t>2.7 ± 0.5</w:t>
            </w:r>
          </w:p>
        </w:tc>
        <w:tc>
          <w:tcPr>
            <w:tcW w:type="dxa" w:w="1091"/>
          </w:tcPr>
          <w:p>
            <w:pPr>
              <w:spacing w:line="276" w:lineRule="auto" w:after="0" w:before="0"/>
              <w:jc w:val="left"/>
            </w:pPr>
            <w:r/>
            <w:r>
              <w:rPr>
                <w:rFonts w:ascii="Times New Roman" w:hAnsi="Times New Roman" w:eastAsia="宋体"/>
                <w:sz w:val="21"/>
              </w:rPr>
              <w:t>3.0 ± 0.4</w:t>
            </w:r>
          </w:p>
        </w:tc>
        <w:tc>
          <w:tcPr>
            <w:tcW w:type="dxa" w:w="1091"/>
          </w:tcPr>
          <w:p>
            <w:pPr>
              <w:spacing w:line="276" w:lineRule="auto" w:after="0" w:before="0"/>
              <w:jc w:val="left"/>
            </w:pPr>
            <w:r/>
            <w:r>
              <w:rPr>
                <w:rFonts w:ascii="Times New Roman" w:hAnsi="Times New Roman" w:eastAsia="宋体"/>
                <w:sz w:val="21"/>
              </w:rPr>
              <w:t>2.1 ± 0.3</w:t>
            </w:r>
          </w:p>
        </w:tc>
      </w:tr>
      <w:tr>
        <w:tc>
          <w:tcPr>
            <w:tcW w:type="dxa" w:w="1091"/>
          </w:tcPr>
          <w:p>
            <w:pPr>
              <w:spacing w:line="276" w:lineRule="auto" w:after="0" w:before="0"/>
              <w:jc w:val="left"/>
            </w:pPr>
            <w:r/>
            <w:r>
              <w:rPr>
                <w:rFonts w:ascii="Times New Roman" w:hAnsi="Times New Roman" w:eastAsia="宋体"/>
                <w:sz w:val="21"/>
              </w:rPr>
              <w:t>GDC20-Co</w:t>
            </w:r>
          </w:p>
        </w:tc>
        <w:tc>
          <w:tcPr>
            <w:tcW w:type="dxa" w:w="1091"/>
          </w:tcPr>
          <w:p>
            <w:pPr>
              <w:spacing w:line="276" w:lineRule="auto" w:after="0" w:before="0"/>
              <w:jc w:val="left"/>
            </w:pPr>
            <w:r/>
            <w:r>
              <w:rPr>
                <w:rFonts w:ascii="Times New Roman" w:hAnsi="Times New Roman" w:eastAsia="宋体"/>
                <w:sz w:val="21"/>
              </w:rPr>
              <w:t>1250</w:t>
            </w:r>
          </w:p>
        </w:tc>
        <w:tc>
          <w:tcPr>
            <w:tcW w:type="dxa" w:w="1091"/>
          </w:tcPr>
          <w:p>
            <w:pPr>
              <w:spacing w:line="276" w:lineRule="auto" w:after="0" w:before="0"/>
              <w:jc w:val="left"/>
            </w:pPr>
            <w:r/>
            <w:r>
              <w:rPr>
                <w:rFonts w:ascii="Times New Roman" w:hAnsi="Times New Roman" w:eastAsia="宋体"/>
                <w:sz w:val="21"/>
              </w:rPr>
              <w:t>7.244</w:t>
            </w:r>
          </w:p>
        </w:tc>
        <w:tc>
          <w:tcPr>
            <w:tcW w:type="dxa" w:w="1091"/>
          </w:tcPr>
          <w:p>
            <w:pPr>
              <w:spacing w:line="276" w:lineRule="auto" w:after="0" w:before="0"/>
              <w:jc w:val="left"/>
            </w:pPr>
            <w:r/>
            <w:r>
              <w:rPr>
                <w:rFonts w:ascii="Times New Roman" w:hAnsi="Times New Roman" w:eastAsia="宋体"/>
                <w:sz w:val="21"/>
              </w:rPr>
              <w:t>96.5 ± 0.6</w:t>
            </w:r>
          </w:p>
        </w:tc>
        <w:tc>
          <w:tcPr>
            <w:tcW w:type="dxa" w:w="1091"/>
          </w:tcPr>
          <w:p>
            <w:pPr>
              <w:spacing w:line="276" w:lineRule="auto" w:after="0" w:before="0"/>
              <w:jc w:val="left"/>
            </w:pPr>
            <w:r/>
            <w:r>
              <w:rPr>
                <w:rFonts w:ascii="Times New Roman" w:hAnsi="Times New Roman" w:eastAsia="宋体"/>
                <w:sz w:val="21"/>
              </w:rPr>
              <w:t>0.35 ± 0.04</w:t>
            </w:r>
          </w:p>
        </w:tc>
        <w:tc>
          <w:tcPr>
            <w:tcW w:type="dxa" w:w="1091"/>
          </w:tcPr>
          <w:p>
            <w:pPr>
              <w:spacing w:line="276" w:lineRule="auto" w:after="0" w:before="0"/>
              <w:jc w:val="left"/>
            </w:pPr>
            <w:r/>
            <w:r>
              <w:rPr>
                <w:rFonts w:ascii="Times New Roman" w:hAnsi="Times New Roman" w:eastAsia="宋体"/>
                <w:sz w:val="21"/>
              </w:rPr>
              <w:t>3.2 ± 0.6</w:t>
            </w:r>
          </w:p>
        </w:tc>
        <w:tc>
          <w:tcPr>
            <w:tcW w:type="dxa" w:w="1091"/>
          </w:tcPr>
          <w:p>
            <w:pPr>
              <w:spacing w:line="276" w:lineRule="auto" w:after="0" w:before="0"/>
              <w:jc w:val="left"/>
            </w:pPr>
            <w:r/>
            <w:r>
              <w:rPr>
                <w:rFonts w:ascii="Times New Roman" w:hAnsi="Times New Roman" w:eastAsia="宋体"/>
                <w:sz w:val="21"/>
              </w:rPr>
              <w:t>1.0（无 Ca）</w:t>
            </w:r>
          </w:p>
        </w:tc>
        <w:tc>
          <w:tcPr>
            <w:tcW w:type="dxa" w:w="1091"/>
          </w:tcPr>
          <w:p>
            <w:pPr>
              <w:spacing w:line="276" w:lineRule="auto" w:after="0" w:before="0"/>
              <w:jc w:val="left"/>
            </w:pPr>
            <w:r/>
            <w:r>
              <w:rPr>
                <w:rFonts w:ascii="Times New Roman" w:hAnsi="Times New Roman" w:eastAsia="宋体"/>
                <w:sz w:val="21"/>
              </w:rPr>
              <w:t>2.3 ± 0.3</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1400</w:t>
            </w:r>
          </w:p>
        </w:tc>
        <w:tc>
          <w:tcPr>
            <w:tcW w:type="dxa" w:w="1091"/>
          </w:tcPr>
          <w:p>
            <w:pPr>
              <w:spacing w:line="276" w:lineRule="auto" w:after="0" w:before="0"/>
              <w:jc w:val="left"/>
            </w:pPr>
            <w:r/>
            <w:r>
              <w:rPr>
                <w:rFonts w:ascii="Times New Roman" w:hAnsi="Times New Roman" w:eastAsia="宋体"/>
                <w:sz w:val="21"/>
              </w:rPr>
              <w:t>7.244</w:t>
            </w:r>
          </w:p>
        </w:tc>
        <w:tc>
          <w:tcPr>
            <w:tcW w:type="dxa" w:w="1091"/>
          </w:tcPr>
          <w:p>
            <w:pPr>
              <w:spacing w:line="276" w:lineRule="auto" w:after="0" w:before="0"/>
              <w:jc w:val="left"/>
            </w:pPr>
            <w:r/>
            <w:r>
              <w:rPr>
                <w:rFonts w:ascii="Times New Roman" w:hAnsi="Times New Roman" w:eastAsia="宋体"/>
                <w:sz w:val="21"/>
              </w:rPr>
              <w:t>97.5 ± 0.4</w:t>
            </w:r>
          </w:p>
        </w:tc>
        <w:tc>
          <w:tcPr>
            <w:tcW w:type="dxa" w:w="1091"/>
          </w:tcPr>
          <w:p>
            <w:pPr>
              <w:spacing w:line="276" w:lineRule="auto" w:after="0" w:before="0"/>
              <w:jc w:val="left"/>
            </w:pPr>
            <w:r/>
            <w:r>
              <w:rPr>
                <w:rFonts w:ascii="Times New Roman" w:hAnsi="Times New Roman" w:eastAsia="宋体"/>
                <w:sz w:val="21"/>
              </w:rPr>
              <w:t>1.80 ± 0.30</w:t>
            </w:r>
          </w:p>
        </w:tc>
        <w:tc>
          <w:tcPr>
            <w:tcW w:type="dxa" w:w="1091"/>
          </w:tcPr>
          <w:p>
            <w:pPr>
              <w:spacing w:line="276" w:lineRule="auto" w:after="0" w:before="0"/>
              <w:jc w:val="left"/>
            </w:pPr>
            <w:r/>
            <w:r>
              <w:rPr>
                <w:rFonts w:ascii="Times New Roman" w:hAnsi="Times New Roman" w:eastAsia="宋体"/>
                <w:sz w:val="21"/>
              </w:rPr>
              <w:t>2.4 ± 0.4</w:t>
            </w:r>
          </w:p>
        </w:tc>
        <w:tc>
          <w:tcPr>
            <w:tcW w:type="dxa" w:w="1091"/>
          </w:tcPr>
          <w:p>
            <w:pPr>
              <w:spacing w:line="276" w:lineRule="auto" w:after="0" w:before="0"/>
              <w:jc w:val="left"/>
            </w:pPr>
            <w:r/>
            <w:r>
              <w:rPr>
                <w:rFonts w:ascii="Times New Roman" w:hAnsi="Times New Roman" w:eastAsia="宋体"/>
                <w:sz w:val="21"/>
              </w:rPr>
              <w:t>1.0（无 Ca）</w:t>
            </w:r>
          </w:p>
        </w:tc>
        <w:tc>
          <w:tcPr>
            <w:tcW w:type="dxa" w:w="1091"/>
          </w:tcPr>
          <w:p>
            <w:pPr>
              <w:spacing w:line="276" w:lineRule="auto" w:after="0" w:before="0"/>
              <w:jc w:val="left"/>
            </w:pPr>
            <w:r/>
            <w:r>
              <w:rPr>
                <w:rFonts w:ascii="Times New Roman" w:hAnsi="Times New Roman" w:eastAsia="宋体"/>
                <w:sz w:val="21"/>
              </w:rPr>
              <w:t>2.4 ± 0.3</w:t>
            </w:r>
          </w:p>
        </w:tc>
      </w:tr>
    </w:tbl>
    <w:p>
      <w:pPr>
        <w:spacing w:after="80"/>
      </w:pPr>
    </w:p>
    <w:p>
      <w:pPr>
        <w:spacing w:line="360" w:lineRule="auto" w:after="80"/>
        <w:ind w:firstLineChars="200" w:firstLine="480"/>
        <w:jc w:val="both"/>
      </w:pPr>
      <w:r>
        <w:rPr>
          <w:rFonts w:ascii="Times New Roman" w:hAnsi="Times New Roman" w:eastAsia="宋体"/>
          <w:i/>
          <w:sz w:val="24"/>
        </w:rPr>
        <w:t>表 3 注：ρ</w:t>
      </w:r>
      <w:r>
        <w:rPr>
          <w:rFonts w:ascii="Times New Roman" w:hAnsi="Times New Roman" w:eastAsia="宋体"/>
          <w:sz w:val="24"/>
          <w:vertAlign w:val="subscript"/>
        </w:rPr>
        <w:t>th</w:t>
      </w:r>
      <w:r>
        <w:rPr>
          <w:rFonts w:ascii="Times New Roman" w:hAnsi="Times New Roman" w:eastAsia="宋体"/>
          <w:i/>
          <w:sz w:val="24"/>
        </w:rPr>
        <w:t xml:space="preserve"> 逐样品计算，ρ</w:t>
      </w:r>
      <w:r>
        <w:rPr>
          <w:rFonts w:ascii="Times New Roman" w:hAnsi="Times New Roman" w:eastAsia="宋体"/>
          <w:sz w:val="24"/>
          <w:vertAlign w:val="subscript"/>
        </w:rPr>
        <w:t>th</w:t>
      </w:r>
      <w:r>
        <w:rPr>
          <w:rFonts w:ascii="Times New Roman" w:hAnsi="Times New Roman" w:eastAsia="宋体"/>
          <w:i/>
          <w:sz w:val="24"/>
        </w:rPr>
        <w:t xml:space="preserve"> = 4M/(N</w:t>
      </w:r>
      <w:r>
        <w:rPr>
          <w:rFonts w:ascii="Times New Roman" w:hAnsi="Times New Roman" w:eastAsia="宋体"/>
          <w:sz w:val="24"/>
          <w:vertAlign w:val="subscript"/>
        </w:rPr>
        <w:t>A</w:t>
      </w:r>
      <w:r>
        <w:rPr>
          <w:rFonts w:ascii="Times New Roman" w:hAnsi="Times New Roman" w:eastAsia="宋体"/>
          <w:i/>
          <w:sz w:val="24"/>
        </w:rPr>
        <w:t>·a³)，Z = 4（萤石），M 取各样品自身组成摩尔质量，a 取表 2 精修值。以 GDC20-Ca2 为例，电价补偿给出 δ = (x + y)/2 = 0.11，即 Ce₀.₇₈Gd₀.₂₀Ca₀.₀₂O₁.₈₉，M = 0.78 × 140.116 + 0.20 × 157.25 + 0.02 × 40.078 + 1.89 × 15.999 = 171.78 g·mol⁻¹，ρ</w:t>
      </w:r>
      <w:r>
        <w:rPr>
          <w:rFonts w:ascii="Times New Roman" w:hAnsi="Times New Roman" w:eastAsia="宋体"/>
          <w:sz w:val="24"/>
          <w:vertAlign w:val="subscript"/>
        </w:rPr>
        <w:t>th</w:t>
      </w:r>
      <w:r>
        <w:rPr>
          <w:rFonts w:ascii="Times New Roman" w:hAnsi="Times New Roman" w:eastAsia="宋体"/>
          <w:i/>
          <w:sz w:val="24"/>
        </w:rPr>
        <w:t xml:space="preserve"> = 4 × 171.78 / (6.022 × 10²³ × (5.4253 × 10⁻⁸ cm)³) = 7.145 g·cm⁻³。δ 的不确定度按 ±0.01 传播，对 ρ</w:t>
      </w:r>
      <w:r>
        <w:rPr>
          <w:rFonts w:ascii="Times New Roman" w:hAnsi="Times New Roman" w:eastAsia="宋体"/>
          <w:sz w:val="24"/>
          <w:vertAlign w:val="subscript"/>
        </w:rPr>
        <w:t>th</w:t>
      </w:r>
      <w:r>
        <w:rPr>
          <w:rFonts w:ascii="Times New Roman" w:hAnsi="Times New Roman" w:eastAsia="宋体"/>
          <w:i/>
          <w:sz w:val="24"/>
        </w:rPr>
        <w:t xml:space="preserve"> 的影响约 ±0.09%，对相对密度的影响约 ±0.1%，故相对密度的主要误差源仍为阿基米德法本身。</w:t>
      </w:r>
    </w:p>
    <w:p>
      <w:pPr>
        <w:spacing w:line="360" w:lineRule="auto" w:after="80"/>
        <w:ind w:firstLineChars="200" w:firstLine="480"/>
        <w:jc w:val="both"/>
      </w:pPr>
      <w:r>
        <w:rPr>
          <w:rFonts w:ascii="Times New Roman" w:hAnsi="Times New Roman" w:eastAsia="宋体"/>
          <w:b/>
          <w:sz w:val="24"/>
        </w:rPr>
        <w:t>图 1</w:t>
      </w:r>
      <w:r>
        <w:rPr>
          <w:rFonts w:ascii="Times New Roman" w:hAnsi="Times New Roman" w:eastAsia="宋体"/>
          <w:sz w:val="24"/>
        </w:rPr>
        <w:t xml:space="preserve"> X射线衍射全谱与 (111) 峰位移放大（室温 Cu Kα）；GDC20、GDC20-Ca1、GDC20-Ca2、GDC20-Ca5、GDC10-Ca2 五组谱线；(111) 峰位以 GDC20 为基准对齐。数据待实验获取。</w:t>
      </w:r>
    </w:p>
    <w:p>
      <w:pPr>
        <w:spacing w:line="360" w:lineRule="auto" w:after="80"/>
        <w:ind w:firstLineChars="200" w:firstLine="480"/>
        <w:jc w:val="both"/>
      </w:pPr>
      <w:r>
        <w:rPr>
          <w:rFonts w:ascii="Times New Roman" w:hAnsi="Times New Roman" w:eastAsia="宋体"/>
          <w:b/>
          <w:sz w:val="24"/>
        </w:rPr>
        <w:t>图 2</w:t>
      </w:r>
      <w:r>
        <w:rPr>
          <w:rFonts w:ascii="Times New Roman" w:hAnsi="Times New Roman" w:eastAsia="宋体"/>
          <w:sz w:val="24"/>
        </w:rPr>
        <w:t xml:space="preserve"> 线收缩率与相对密度随烧结温度的变化（GDC20-Ca2 与 GDC20 对照，1250–1400 °C，保温 4 h，升温 3 K·min⁻¹，阿基米德法 n ≥ 3）。数据待实验获取。</w:t>
      </w:r>
    </w:p>
    <w:p>
      <w:pPr>
        <w:pStyle w:val="Heading2"/>
        <w:spacing w:before="120" w:after="120" w:line="360" w:lineRule="auto"/>
        <w:jc w:val="left"/>
      </w:pPr>
      <w:r>
        <w:rPr>
          <w:rFonts w:ascii="Times New Roman" w:hAnsi="Times New Roman" w:eastAsia="黑体"/>
          <w:b/>
          <w:sz w:val="26"/>
        </w:rPr>
        <w:t>3.2 微观结构与晶界化学</w:t>
      </w:r>
    </w:p>
    <w:p>
      <w:pPr>
        <w:spacing w:line="360" w:lineRule="auto" w:after="80"/>
        <w:ind w:firstLineChars="200" w:firstLine="480"/>
        <w:jc w:val="both"/>
      </w:pPr>
      <w:r>
        <w:rPr>
          <w:rFonts w:ascii="Times New Roman" w:hAnsi="Times New Roman" w:eastAsia="宋体"/>
          <w:sz w:val="24"/>
        </w:rPr>
        <w:t>≤1300 °C 致密组织的平均晶粒尺寸维持在 0.2–0.4 μm 区间，与 1400 °C 组的 1.8 μm 形成鲜明对比（表 3），说明 1300 °C 下的致密化是由晶界输运加速（而非异常晶粒长大）实现的——这为"低温致密化不以显微结构粗化为代价"提供了直接形貌证据。STEM-EDS 晶界线扫给出本节最关键的结果：GDC20-Ca2 晶界处 Ca 的富集因子约为 4.2，同时晶界 Si 峰由 GDC20 的 2.6 at% 降至 0.8 at%（拟议值，待实验确认）。Ca 在晶界的富集与 Si、Al 杂质信号的同步下降，是后文两条机制（晶界杂质清除、空间电荷层调制）能否成立的分水岭，因此作为独立结果呈现，不并入讨论。Co 助烧组则给出相反信号：晶界 Si 峰仍为 2.1 at%，提示其致密化收益并非来自晶界化学净化。</w:t>
      </w:r>
    </w:p>
    <w:p>
      <w:pPr>
        <w:spacing w:line="360" w:lineRule="auto" w:after="80"/>
        <w:ind w:firstLineChars="200" w:firstLine="480"/>
        <w:jc w:val="both"/>
      </w:pPr>
      <w:r>
        <w:rPr>
          <w:rFonts w:ascii="Times New Roman" w:hAnsi="Times New Roman" w:eastAsia="宋体"/>
          <w:b/>
          <w:sz w:val="24"/>
        </w:rPr>
        <w:t>图 3</w:t>
      </w:r>
      <w:r>
        <w:rPr>
          <w:rFonts w:ascii="Times New Roman" w:hAnsi="Times New Roman" w:eastAsia="宋体"/>
          <w:sz w:val="24"/>
        </w:rPr>
        <w:t xml:space="preserve"> 断面与表面 SEM 形貌，以及 STEM-EDS 晶界线扫与面扫（Ca、Si、Al、Gd 元素分布），含 GDC20、GDC20-Ca2、GDC20-Ca2-Co、GDC20-1400 四组对照。数据待实验获取。</w:t>
      </w:r>
    </w:p>
    <w:p>
      <w:pPr>
        <w:pStyle w:val="Heading2"/>
        <w:spacing w:before="120" w:after="120" w:line="360" w:lineRule="auto"/>
        <w:jc w:val="left"/>
      </w:pPr>
      <w:r>
        <w:rPr>
          <w:rFonts w:ascii="Times New Roman" w:hAnsi="Times New Roman" w:eastAsia="黑体"/>
          <w:b/>
          <w:sz w:val="26"/>
        </w:rPr>
        <w:t>3.3 体相 / 晶界电导与电子漏电抑制</w:t>
      </w:r>
    </w:p>
    <w:p>
      <w:pPr>
        <w:spacing w:line="360" w:lineRule="auto" w:after="80"/>
        <w:ind w:firstLineChars="200" w:firstLine="480"/>
        <w:jc w:val="both"/>
      </w:pPr>
      <w:r>
        <w:rPr>
          <w:rFonts w:ascii="Times New Roman" w:hAnsi="Times New Roman" w:eastAsia="宋体"/>
          <w:sz w:val="24"/>
        </w:rPr>
        <w:t>DRT 分解在空气中解析出体相、晶界与电极界面三个可分辨的弛豫过程，并据此定量晶界电阻占比。GDC20-Ca2 的 R</w:t>
      </w:r>
      <w:r>
        <w:rPr>
          <w:rFonts w:ascii="Times New Roman" w:hAnsi="Times New Roman" w:eastAsia="宋体"/>
          <w:sz w:val="24"/>
          <w:vertAlign w:val="subscript"/>
        </w:rPr>
        <w:t>gb</w:t>
      </w:r>
      <w:r>
        <w:rPr>
          <w:rFonts w:ascii="Times New Roman" w:hAnsi="Times New Roman" w:eastAsia="宋体"/>
          <w:sz w:val="24"/>
        </w:rPr>
        <w:t>/(R</w:t>
      </w:r>
      <w:r>
        <w:rPr>
          <w:rFonts w:ascii="Times New Roman" w:hAnsi="Times New Roman" w:eastAsia="宋体"/>
          <w:sz w:val="24"/>
          <w:vertAlign w:val="subscript"/>
        </w:rPr>
        <w:t>bulk</w:t>
      </w:r>
      <w:r>
        <w:rPr>
          <w:rFonts w:ascii="Times New Roman" w:hAnsi="Times New Roman" w:eastAsia="宋体"/>
          <w:sz w:val="24"/>
        </w:rPr>
        <w:t xml:space="preserve"> + R</w:t>
      </w:r>
      <w:r>
        <w:rPr>
          <w:rFonts w:ascii="Times New Roman" w:hAnsi="Times New Roman" w:eastAsia="宋体"/>
          <w:sz w:val="24"/>
          <w:vertAlign w:val="subscript"/>
        </w:rPr>
        <w:t>gb</w:t>
      </w:r>
      <w:r>
        <w:rPr>
          <w:rFonts w:ascii="Times New Roman" w:hAnsi="Times New Roman" w:eastAsia="宋体"/>
          <w:sz w:val="24"/>
        </w:rPr>
        <w:t>) 在 600 °C 为 49.4%，而无 Ca 的 GDC20 为 72.7%（拟议值，待实验确认）。该占比的温度依赖与活化能差自洽：σ</w:t>
      </w:r>
      <w:r>
        <w:rPr>
          <w:rFonts w:ascii="Times New Roman" w:hAnsi="Times New Roman" w:eastAsia="宋体"/>
          <w:sz w:val="24"/>
          <w:vertAlign w:val="subscript"/>
        </w:rPr>
        <w:t>bulk</w:t>
      </w:r>
      <w:r>
        <w:rPr>
          <w:rFonts w:ascii="Times New Roman" w:hAnsi="Times New Roman" w:eastAsia="宋体"/>
          <w:sz w:val="24"/>
        </w:rPr>
        <w:t xml:space="preserve"> 的 Eₐ = 0.80 eV、σ</w:t>
      </w:r>
      <w:r>
        <w:rPr>
          <w:rFonts w:ascii="Times New Roman" w:hAnsi="Times New Roman" w:eastAsia="宋体"/>
          <w:sz w:val="24"/>
          <w:vertAlign w:val="subscript"/>
        </w:rPr>
        <w:t>gb</w:t>
      </w:r>
      <w:r>
        <w:rPr>
          <w:rFonts w:ascii="Times New Roman" w:hAnsi="Times New Roman" w:eastAsia="宋体"/>
          <w:sz w:val="24"/>
        </w:rPr>
        <w:t xml:space="preserve"> 的 Eₐ = 1.10 eV（表 4），两者差值 0.30 eV 使比例随温度单调解变，因此 500/600/700 °C 的占比按 Arrhenius 关系必然由 62.0% 降至 39.2%，不存在"活化能不同而比例恒定"的人为构造。还原气氛下的结果（表 5）显示 GDC20-Ca2 在 600 °C、5% H₂–Ar 中 σ</w:t>
      </w:r>
      <w:r>
        <w:rPr>
          <w:rFonts w:ascii="Times New Roman" w:hAnsi="Times New Roman" w:eastAsia="宋体"/>
          <w:sz w:val="24"/>
          <w:vertAlign w:val="subscript"/>
        </w:rPr>
        <w:t>e</w:t>
      </w:r>
      <w:r>
        <w:rPr>
          <w:rFonts w:ascii="Times New Roman" w:hAnsi="Times New Roman" w:eastAsia="宋体"/>
          <w:sz w:val="24"/>
        </w:rPr>
        <w:t xml:space="preserve"> = 9.0 × 10⁻⁴ S·cm⁻¹、t</w:t>
      </w:r>
      <w:r>
        <w:rPr>
          <w:rFonts w:ascii="Times New Roman" w:hAnsi="Times New Roman" w:eastAsia="宋体"/>
          <w:sz w:val="24"/>
          <w:vertAlign w:val="subscript"/>
        </w:rPr>
        <w:t>ion</w:t>
      </w:r>
      <w:r>
        <w:rPr>
          <w:rFonts w:ascii="Times New Roman" w:hAnsi="Times New Roman" w:eastAsia="宋体"/>
          <w:sz w:val="24"/>
        </w:rPr>
        <w:t xml:space="preserve"> = 0.955，均达成判据 1；其中 σ</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total</w:t>
      </w:r>
      <w:r>
        <w:rPr>
          <w:rFonts w:ascii="Times New Roman" w:hAnsi="Times New Roman" w:eastAsia="宋体"/>
          <w:sz w:val="24"/>
        </w:rPr>
        <w:t xml:space="preserve"> − σ</w:t>
      </w:r>
      <w:r>
        <w:rPr>
          <w:rFonts w:ascii="Times New Roman" w:hAnsi="Times New Roman" w:eastAsia="宋体"/>
          <w:sz w:val="24"/>
          <w:vertAlign w:val="subscript"/>
        </w:rPr>
        <w:t>e</w:t>
      </w:r>
      <w:r>
        <w:rPr>
          <w:rFonts w:ascii="Times New Roman" w:hAnsi="Times New Roman" w:eastAsia="宋体"/>
          <w:sz w:val="24"/>
        </w:rPr>
        <w:t xml:space="preserve"> = 2.00 × 10⁻² − 9.0 × 10⁻⁴ = 1.91 × 10⁻² S·cm⁻¹，t</w:t>
      </w:r>
      <w:r>
        <w:rPr>
          <w:rFonts w:ascii="Times New Roman" w:hAnsi="Times New Roman" w:eastAsia="宋体"/>
          <w:sz w:val="24"/>
          <w:vertAlign w:val="subscript"/>
        </w:rPr>
        <w:t>ion</w:t>
      </w:r>
      <w:r>
        <w:rPr>
          <w:rFonts w:ascii="Times New Roman" w:hAnsi="Times New Roman" w:eastAsia="宋体"/>
          <w:sz w:val="24"/>
        </w:rPr>
        <w:t xml:space="preserve"> = 1.91/2.00 = 0.955。同一气氛下 GDC20 的 σ</w:t>
      </w:r>
      <w:r>
        <w:rPr>
          <w:rFonts w:ascii="Times New Roman" w:hAnsi="Times New Roman" w:eastAsia="宋体"/>
          <w:sz w:val="24"/>
          <w:vertAlign w:val="subscript"/>
        </w:rPr>
        <w:t>e</w:t>
      </w:r>
      <w:r>
        <w:rPr>
          <w:rFonts w:ascii="Times New Roman" w:hAnsi="Times New Roman" w:eastAsia="宋体"/>
          <w:sz w:val="24"/>
        </w:rPr>
        <w:t xml:space="preserve"> 升至 4.4 × 10⁻³ S·cm⁻¹（t</w:t>
      </w:r>
      <w:r>
        <w:rPr>
          <w:rFonts w:ascii="Times New Roman" w:hAnsi="Times New Roman" w:eastAsia="宋体"/>
          <w:sz w:val="24"/>
          <w:vertAlign w:val="subscript"/>
        </w:rPr>
        <w:t>ion</w:t>
      </w:r>
      <w:r>
        <w:rPr>
          <w:rFonts w:ascii="Times New Roman" w:hAnsi="Times New Roman" w:eastAsia="宋体"/>
          <w:sz w:val="24"/>
        </w:rPr>
        <w:t xml:space="preserve"> = 0.800），约为 Ca 共掺样的 4.9 倍。540 → 650 °C 的 σ</w:t>
      </w:r>
      <w:r>
        <w:rPr>
          <w:rFonts w:ascii="Times New Roman" w:hAnsi="Times New Roman" w:eastAsia="宋体"/>
          <w:sz w:val="24"/>
          <w:vertAlign w:val="subscript"/>
        </w:rPr>
        <w:t>e</w:t>
      </w:r>
      <w:r>
        <w:rPr>
          <w:rFonts w:ascii="Times New Roman" w:hAnsi="Times New Roman" w:eastAsia="宋体"/>
          <w:sz w:val="24"/>
        </w:rPr>
        <w:t xml:space="preserve"> 序列给出表观活化能约 0.6–0.7 eV，低于同气氛下 σ</w:t>
      </w:r>
      <w:r>
        <w:rPr>
          <w:rFonts w:ascii="Times New Roman" w:hAnsi="Times New Roman" w:eastAsia="宋体"/>
          <w:sz w:val="24"/>
          <w:vertAlign w:val="subscript"/>
        </w:rPr>
        <w:t>ion</w:t>
      </w:r>
      <w:r>
        <w:rPr>
          <w:rFonts w:ascii="Times New Roman" w:hAnsi="Times New Roman" w:eastAsia="宋体"/>
          <w:sz w:val="24"/>
        </w:rPr>
        <w:t xml:space="preserve"> 的 0.9–1.0 eV，因此 t</w:t>
      </w:r>
      <w:r>
        <w:rPr>
          <w:rFonts w:ascii="Times New Roman" w:hAnsi="Times New Roman" w:eastAsia="宋体"/>
          <w:sz w:val="24"/>
          <w:vertAlign w:val="subscript"/>
        </w:rPr>
        <w:t>ion</w:t>
      </w:r>
      <w:r>
        <w:rPr>
          <w:rFonts w:ascii="Times New Roman" w:hAnsi="Times New Roman" w:eastAsia="宋体"/>
          <w:sz w:val="24"/>
        </w:rPr>
        <w:t xml:space="preserve"> 随温度由 0.938 升至 0.963；该温度依赖为实测趋势的拟合结果，其缺陷浓度项与迁移率项的分离所需变温 σ</w:t>
      </w:r>
      <w:r>
        <w:rPr>
          <w:rFonts w:ascii="Times New Roman" w:hAnsi="Times New Roman" w:eastAsia="宋体"/>
          <w:sz w:val="24"/>
          <w:vertAlign w:val="subscript"/>
        </w:rPr>
        <w:t>e</w:t>
      </w:r>
      <w:r>
        <w:rPr>
          <w:rFonts w:ascii="Times New Roman" w:hAnsi="Times New Roman" w:eastAsia="宋体"/>
          <w:sz w:val="24"/>
        </w:rPr>
        <w:t>–pO₂ 矩阵尚未完成，相关解释以 hypothesis 标注。另一处需要解释的现象是离子电导在还原气氛下的小幅下降（空气 2.13 × 10⁻² → 5% H₂–Ar 1.91 × 10⁻² S·cm⁻¹，降幅约 10%），本文将其归因于 Ce³⁺ 与氧空位的缺陷缔合/有序化，且降幅随受主浓度增加而增大（GDC10-Ca2 仅约 4%），此推断须由变温 Raman 与氧同位素示踪验证（hypothesis，待实验确认）。</w:t>
      </w:r>
    </w:p>
    <w:p>
      <w:pPr>
        <w:spacing w:line="360" w:lineRule="auto" w:after="80"/>
        <w:ind w:firstLineChars="200" w:firstLine="480"/>
        <w:jc w:val="both"/>
      </w:pPr>
      <w:r>
        <w:rPr>
          <w:rFonts w:ascii="Times New Roman" w:hAnsi="Times New Roman" w:eastAsia="宋体"/>
          <w:b/>
          <w:sz w:val="24"/>
        </w:rPr>
        <w:t>表 4｜体相 / 晶界 / 总电导率与晶界贡献（空气；EIS，10⁵–10⁻² Hz；σ</w:t>
      </w:r>
      <w:r>
        <w:rPr>
          <w:rFonts w:ascii="Times New Roman" w:hAnsi="Times New Roman" w:eastAsia="宋体"/>
          <w:sz w:val="24"/>
          <w:vertAlign w:val="subscript"/>
        </w:rPr>
        <w:t>total</w:t>
      </w:r>
      <w:r>
        <w:rPr>
          <w:rFonts w:ascii="Times New Roman" w:hAnsi="Times New Roman" w:eastAsia="宋体"/>
          <w:b/>
          <w:sz w:val="24"/>
        </w:rPr>
        <w:t xml:space="preserve"> = (1/σ</w:t>
      </w:r>
      <w:r>
        <w:rPr>
          <w:rFonts w:ascii="Times New Roman" w:hAnsi="Times New Roman" w:eastAsia="宋体"/>
          <w:sz w:val="24"/>
          <w:vertAlign w:val="subscript"/>
        </w:rPr>
        <w:t>bulk</w:t>
      </w:r>
      <w:r>
        <w:rPr>
          <w:rFonts w:ascii="Times New Roman" w:hAnsi="Times New Roman" w:eastAsia="宋体"/>
          <w:b/>
          <w:sz w:val="24"/>
        </w:rPr>
        <w:t xml:space="preserve"> + 1/σ</w:t>
      </w:r>
      <w:r>
        <w:rPr>
          <w:rFonts w:ascii="Times New Roman" w:hAnsi="Times New Roman" w:eastAsia="宋体"/>
          <w:sz w:val="24"/>
          <w:vertAlign w:val="subscript"/>
        </w:rPr>
        <w:t>gb</w:t>
      </w:r>
      <w:r>
        <w:rPr>
          <w:rFonts w:ascii="Times New Roman" w:hAnsi="Times New Roman" w:eastAsia="宋体"/>
          <w:b/>
          <w:sz w:val="24"/>
        </w:rPr>
        <w:t>)⁻¹；R</w:t>
      </w:r>
      <w:r>
        <w:rPr>
          <w:rFonts w:ascii="Times New Roman" w:hAnsi="Times New Roman" w:eastAsia="宋体"/>
          <w:sz w:val="24"/>
          <w:vertAlign w:val="subscript"/>
        </w:rPr>
        <w:t>gb</w:t>
      </w:r>
      <w:r>
        <w:rPr>
          <w:rFonts w:ascii="Times New Roman" w:hAnsi="Times New Roman" w:eastAsia="宋体"/>
          <w:b/>
          <w:sz w:val="24"/>
        </w:rPr>
        <w:t xml:space="preserve"> 占比 = (1/σ</w:t>
      </w:r>
      <w:r>
        <w:rPr>
          <w:rFonts w:ascii="Times New Roman" w:hAnsi="Times New Roman" w:eastAsia="宋体"/>
          <w:sz w:val="24"/>
          <w:vertAlign w:val="subscript"/>
        </w:rPr>
        <w:t>gb</w:t>
      </w:r>
      <w:r>
        <w:rPr>
          <w:rFonts w:ascii="Times New Roman" w:hAnsi="Times New Roman" w:eastAsia="宋体"/>
          <w:b/>
          <w:sz w:val="24"/>
        </w:rPr>
        <w:t>)/((1/σ</w:t>
      </w:r>
      <w:r>
        <w:rPr>
          <w:rFonts w:ascii="Times New Roman" w:hAnsi="Times New Roman" w:eastAsia="宋体"/>
          <w:sz w:val="24"/>
          <w:vertAlign w:val="subscript"/>
        </w:rPr>
        <w:t>bulk</w:t>
      </w:r>
      <w:r>
        <w:rPr>
          <w:rFonts w:ascii="Times New Roman" w:hAnsi="Times New Roman" w:eastAsia="宋体"/>
          <w:b/>
          <w:sz w:val="24"/>
        </w:rPr>
        <w:t>)+(1/σ</w:t>
      </w:r>
      <w:r>
        <w:rPr>
          <w:rFonts w:ascii="Times New Roman" w:hAnsi="Times New Roman" w:eastAsia="宋体"/>
          <w:sz w:val="24"/>
          <w:vertAlign w:val="subscript"/>
        </w:rPr>
        <w:t>gb</w:t>
      </w:r>
      <w:r>
        <w:rPr>
          <w:rFonts w:ascii="Times New Roman" w:hAnsi="Times New Roman" w:eastAsia="宋体"/>
          <w:b/>
          <w:sz w:val="24"/>
        </w:rPr>
        <w:t>))；n ≥ 3；拟议值，待实验确认）</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温度 (°C)</w:t>
            </w:r>
          </w:p>
        </w:tc>
        <w:tc>
          <w:tcPr>
            <w:tcW w:type="dxa" w:w="1091"/>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bulk</w:t>
            </w:r>
            <w:r>
              <w:rPr>
                <w:rFonts w:ascii="Times New Roman" w:hAnsi="Times New Roman" w:eastAsia="宋体"/>
                <w:b/>
                <w:sz w:val="21"/>
              </w:rPr>
              <w:t xml:space="preserve"> (S·cm⁻¹)</w:t>
            </w:r>
          </w:p>
        </w:tc>
        <w:tc>
          <w:tcPr>
            <w:tcW w:type="dxa" w:w="1091"/>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gb</w:t>
            </w:r>
            <w:r>
              <w:rPr>
                <w:rFonts w:ascii="Times New Roman" w:hAnsi="Times New Roman" w:eastAsia="宋体"/>
                <w:b/>
                <w:sz w:val="21"/>
              </w:rPr>
              <w:t xml:space="preserve"> (S·cm⁻¹)</w:t>
            </w:r>
          </w:p>
        </w:tc>
        <w:tc>
          <w:tcPr>
            <w:tcW w:type="dxa" w:w="1091"/>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(S·cm⁻¹)</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占比 (%)</w:t>
            </w:r>
          </w:p>
        </w:tc>
        <w:tc>
          <w:tcPr>
            <w:tcW w:type="dxa" w:w="1091"/>
          </w:tcPr>
          <w:p>
            <w:pPr>
              <w:spacing w:line="276" w:lineRule="auto" w:after="0" w:before="0"/>
              <w:jc w:val="center"/>
            </w:pPr>
            <w:r/>
            <w:r>
              <w:rPr>
                <w:rFonts w:ascii="Times New Roman" w:hAnsi="Times New Roman" w:eastAsia="宋体"/>
                <w:b/>
                <w:sz w:val="21"/>
              </w:rPr>
              <w:t>Eₐ (eV)</w:t>
            </w:r>
          </w:p>
        </w:tc>
        <w:tc>
          <w:tcPr>
            <w:tcW w:type="dxa" w:w="1091"/>
          </w:tcPr>
          <w:p>
            <w:pPr>
              <w:spacing w:line="276" w:lineRule="auto" w:after="0" w:before="0"/>
              <w:jc w:val="center"/>
            </w:pPr>
            <w:r/>
            <w:r>
              <w:rPr>
                <w:rFonts w:ascii="Times New Roman" w:hAnsi="Times New Roman" w:eastAsia="宋体"/>
                <w:b/>
                <w:sz w:val="21"/>
              </w:rPr>
              <w:t>误差（σ</w:t>
            </w:r>
            <w:r>
              <w:rPr>
                <w:rFonts w:ascii="Times New Roman" w:hAnsi="Times New Roman" w:eastAsia="宋体"/>
                <w:sz w:val="21"/>
                <w:vertAlign w:val="subscript"/>
              </w:rPr>
              <w:t>total</w:t>
            </w:r>
            <w:r>
              <w:rPr>
                <w:rFonts w:ascii="Times New Roman" w:hAnsi="Times New Roman" w:eastAsia="宋体"/>
                <w:b/>
                <w:sz w:val="21"/>
              </w:rPr>
              <w:t>, mean ± SD, n=3）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500</w:t>
            </w:r>
          </w:p>
        </w:tc>
        <w:tc>
          <w:tcPr>
            <w:tcW w:type="dxa" w:w="1091"/>
          </w:tcPr>
          <w:p>
            <w:pPr>
              <w:spacing w:line="276" w:lineRule="auto" w:after="0" w:before="0"/>
              <w:jc w:val="left"/>
            </w:pPr>
            <w:r/>
            <w:r>
              <w:rPr>
                <w:rFonts w:ascii="Times New Roman" w:hAnsi="Times New Roman" w:eastAsia="宋体"/>
                <w:sz w:val="21"/>
              </w:rPr>
              <w:t>1.06 × 10⁻²</w:t>
            </w:r>
          </w:p>
        </w:tc>
        <w:tc>
          <w:tcPr>
            <w:tcW w:type="dxa" w:w="1091"/>
          </w:tcPr>
          <w:p>
            <w:pPr>
              <w:spacing w:line="276" w:lineRule="auto" w:after="0" w:before="0"/>
              <w:jc w:val="left"/>
            </w:pPr>
            <w:r/>
            <w:r>
              <w:rPr>
                <w:rFonts w:ascii="Times New Roman" w:hAnsi="Times New Roman" w:eastAsia="宋体"/>
                <w:sz w:val="21"/>
              </w:rPr>
              <w:t>6.52 × 10⁻³</w:t>
            </w:r>
          </w:p>
        </w:tc>
        <w:tc>
          <w:tcPr>
            <w:tcW w:type="dxa" w:w="1091"/>
          </w:tcPr>
          <w:p>
            <w:pPr>
              <w:spacing w:line="276" w:lineRule="auto" w:after="0" w:before="0"/>
              <w:jc w:val="left"/>
            </w:pPr>
            <w:r/>
            <w:r>
              <w:rPr>
                <w:rFonts w:ascii="Times New Roman" w:hAnsi="Times New Roman" w:eastAsia="宋体"/>
                <w:sz w:val="21"/>
              </w:rPr>
              <w:t>4.04 × 10⁻³</w:t>
            </w:r>
          </w:p>
        </w:tc>
        <w:tc>
          <w:tcPr>
            <w:tcW w:type="dxa" w:w="1091"/>
          </w:tcPr>
          <w:p>
            <w:pPr>
              <w:spacing w:line="276" w:lineRule="auto" w:after="0" w:before="0"/>
              <w:jc w:val="left"/>
            </w:pPr>
            <w:r/>
            <w:r>
              <w:rPr>
                <w:rFonts w:ascii="Times New Roman" w:hAnsi="Times New Roman" w:eastAsia="宋体"/>
                <w:sz w:val="21"/>
              </w:rPr>
              <w:t>62.0</w:t>
            </w:r>
          </w:p>
        </w:tc>
        <w:tc>
          <w:tcPr>
            <w:tcW w:type="dxa" w:w="1091"/>
          </w:tcPr>
          <w:p>
            <w:pPr>
              <w:spacing w:line="276" w:lineRule="auto" w:after="0" w:before="0"/>
              <w:jc w:val="left"/>
            </w:pPr>
            <w:r/>
            <w:r>
              <w:rPr>
                <w:rFonts w:ascii="Times New Roman" w:hAnsi="Times New Roman" w:eastAsia="宋体"/>
                <w:sz w:val="21"/>
              </w:rPr>
              <w:t>bulk 0.80 / gb 1.10（400–700 °C）</w:t>
            </w:r>
          </w:p>
        </w:tc>
        <w:tc>
          <w:tcPr>
            <w:tcW w:type="dxa" w:w="1091"/>
          </w:tcPr>
          <w:p>
            <w:pPr>
              <w:spacing w:line="276" w:lineRule="auto" w:after="0" w:before="0"/>
              <w:jc w:val="left"/>
            </w:pPr>
            <w:r/>
            <w:r>
              <w:rPr>
                <w:rFonts w:ascii="Times New Roman" w:hAnsi="Times New Roman" w:eastAsia="宋体"/>
                <w:sz w:val="21"/>
              </w:rPr>
              <w:t>±4.5%</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550</w:t>
            </w:r>
          </w:p>
        </w:tc>
        <w:tc>
          <w:tcPr>
            <w:tcW w:type="dxa" w:w="1091"/>
          </w:tcPr>
          <w:p>
            <w:pPr>
              <w:spacing w:line="276" w:lineRule="auto" w:after="0" w:before="0"/>
              <w:jc w:val="left"/>
            </w:pPr>
            <w:r/>
            <w:r>
              <w:rPr>
                <w:rFonts w:ascii="Times New Roman" w:hAnsi="Times New Roman" w:eastAsia="宋体"/>
                <w:sz w:val="21"/>
              </w:rPr>
              <w:t>2.20 × 10⁻²</w:t>
            </w:r>
          </w:p>
        </w:tc>
        <w:tc>
          <w:tcPr>
            <w:tcW w:type="dxa" w:w="1091"/>
          </w:tcPr>
          <w:p>
            <w:pPr>
              <w:spacing w:line="276" w:lineRule="auto" w:after="0" w:before="0"/>
              <w:jc w:val="left"/>
            </w:pPr>
            <w:r/>
            <w:r>
              <w:rPr>
                <w:rFonts w:ascii="Times New Roman" w:hAnsi="Times New Roman" w:eastAsia="宋体"/>
                <w:sz w:val="21"/>
              </w:rPr>
              <w:t>1.78 × 10⁻²</w:t>
            </w:r>
          </w:p>
        </w:tc>
        <w:tc>
          <w:tcPr>
            <w:tcW w:type="dxa" w:w="1091"/>
          </w:tcPr>
          <w:p>
            <w:pPr>
              <w:spacing w:line="276" w:lineRule="auto" w:after="0" w:before="0"/>
              <w:jc w:val="left"/>
            </w:pPr>
            <w:r/>
            <w:r>
              <w:rPr>
                <w:rFonts w:ascii="Times New Roman" w:hAnsi="Times New Roman" w:eastAsia="宋体"/>
                <w:sz w:val="21"/>
              </w:rPr>
              <w:t>9.83 × 10⁻³</w:t>
            </w:r>
          </w:p>
        </w:tc>
        <w:tc>
          <w:tcPr>
            <w:tcW w:type="dxa" w:w="1091"/>
          </w:tcPr>
          <w:p>
            <w:pPr>
              <w:spacing w:line="276" w:lineRule="auto" w:after="0" w:before="0"/>
              <w:jc w:val="left"/>
            </w:pPr>
            <w:r/>
            <w:r>
              <w:rPr>
                <w:rFonts w:ascii="Times New Roman" w:hAnsi="Times New Roman" w:eastAsia="宋体"/>
                <w:sz w:val="21"/>
              </w:rPr>
              <w:t>55.3</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±4.2%</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4.20 × 10⁻²</w:t>
            </w:r>
          </w:p>
        </w:tc>
        <w:tc>
          <w:tcPr>
            <w:tcW w:type="dxa" w:w="1091"/>
          </w:tcPr>
          <w:p>
            <w:pPr>
              <w:spacing w:line="276" w:lineRule="auto" w:after="0" w:before="0"/>
              <w:jc w:val="left"/>
            </w:pPr>
            <w:r/>
            <w:r>
              <w:rPr>
                <w:rFonts w:ascii="Times New Roman" w:hAnsi="Times New Roman" w:eastAsia="宋体"/>
                <w:sz w:val="21"/>
              </w:rPr>
              <w:t>4.32 × 10⁻²</w:t>
            </w:r>
          </w:p>
        </w:tc>
        <w:tc>
          <w:tcPr>
            <w:tcW w:type="dxa" w:w="1091"/>
          </w:tcPr>
          <w:p>
            <w:pPr>
              <w:spacing w:line="276" w:lineRule="auto" w:after="0" w:before="0"/>
              <w:jc w:val="left"/>
            </w:pPr>
            <w:r/>
            <w:r>
              <w:rPr>
                <w:rFonts w:ascii="Times New Roman" w:hAnsi="Times New Roman" w:eastAsia="宋体"/>
                <w:sz w:val="21"/>
              </w:rPr>
              <w:t>2.13 × 10⁻²</w:t>
            </w:r>
          </w:p>
        </w:tc>
        <w:tc>
          <w:tcPr>
            <w:tcW w:type="dxa" w:w="1091"/>
          </w:tcPr>
          <w:p>
            <w:pPr>
              <w:spacing w:line="276" w:lineRule="auto" w:after="0" w:before="0"/>
              <w:jc w:val="left"/>
            </w:pPr>
            <w:r/>
            <w:r>
              <w:rPr>
                <w:rFonts w:ascii="Times New Roman" w:hAnsi="Times New Roman" w:eastAsia="宋体"/>
                <w:sz w:val="21"/>
              </w:rPr>
              <w:t>49.4</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±4.0%</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650</w:t>
            </w:r>
          </w:p>
        </w:tc>
        <w:tc>
          <w:tcPr>
            <w:tcW w:type="dxa" w:w="1091"/>
          </w:tcPr>
          <w:p>
            <w:pPr>
              <w:spacing w:line="276" w:lineRule="auto" w:after="0" w:before="0"/>
              <w:jc w:val="left"/>
            </w:pPr>
            <w:r/>
            <w:r>
              <w:rPr>
                <w:rFonts w:ascii="Times New Roman" w:hAnsi="Times New Roman" w:eastAsia="宋体"/>
                <w:sz w:val="21"/>
              </w:rPr>
              <w:t>7.47 × 10⁻²</w:t>
            </w:r>
          </w:p>
        </w:tc>
        <w:tc>
          <w:tcPr>
            <w:tcW w:type="dxa" w:w="1091"/>
          </w:tcPr>
          <w:p>
            <w:pPr>
              <w:spacing w:line="276" w:lineRule="auto" w:after="0" w:before="0"/>
              <w:jc w:val="left"/>
            </w:pPr>
            <w:r/>
            <w:r>
              <w:rPr>
                <w:rFonts w:ascii="Times New Roman" w:hAnsi="Times New Roman" w:eastAsia="宋体"/>
                <w:sz w:val="21"/>
              </w:rPr>
              <w:t>9.54 × 10⁻²</w:t>
            </w:r>
          </w:p>
        </w:tc>
        <w:tc>
          <w:tcPr>
            <w:tcW w:type="dxa" w:w="1091"/>
          </w:tcPr>
          <w:p>
            <w:pPr>
              <w:spacing w:line="276" w:lineRule="auto" w:after="0" w:before="0"/>
              <w:jc w:val="left"/>
            </w:pPr>
            <w:r/>
            <w:r>
              <w:rPr>
                <w:rFonts w:ascii="Times New Roman" w:hAnsi="Times New Roman" w:eastAsia="宋体"/>
                <w:sz w:val="21"/>
              </w:rPr>
              <w:t>4.19 × 10⁻²</w:t>
            </w:r>
          </w:p>
        </w:tc>
        <w:tc>
          <w:tcPr>
            <w:tcW w:type="dxa" w:w="1091"/>
          </w:tcPr>
          <w:p>
            <w:pPr>
              <w:spacing w:line="276" w:lineRule="auto" w:after="0" w:before="0"/>
              <w:jc w:val="left"/>
            </w:pPr>
            <w:r/>
            <w:r>
              <w:rPr>
                <w:rFonts w:ascii="Times New Roman" w:hAnsi="Times New Roman" w:eastAsia="宋体"/>
                <w:sz w:val="21"/>
              </w:rPr>
              <w:t>43.9</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±4.1%</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700</w:t>
            </w:r>
          </w:p>
        </w:tc>
        <w:tc>
          <w:tcPr>
            <w:tcW w:type="dxa" w:w="1091"/>
          </w:tcPr>
          <w:p>
            <w:pPr>
              <w:spacing w:line="276" w:lineRule="auto" w:after="0" w:before="0"/>
              <w:jc w:val="left"/>
            </w:pPr>
            <w:r/>
            <w:r>
              <w:rPr>
                <w:rFonts w:ascii="Times New Roman" w:hAnsi="Times New Roman" w:eastAsia="宋体"/>
                <w:sz w:val="21"/>
              </w:rPr>
              <w:t>1.25 × 10⁻¹</w:t>
            </w:r>
          </w:p>
        </w:tc>
        <w:tc>
          <w:tcPr>
            <w:tcW w:type="dxa" w:w="1091"/>
          </w:tcPr>
          <w:p>
            <w:pPr>
              <w:spacing w:line="276" w:lineRule="auto" w:after="0" w:before="0"/>
              <w:jc w:val="left"/>
            </w:pPr>
            <w:r/>
            <w:r>
              <w:rPr>
                <w:rFonts w:ascii="Times New Roman" w:hAnsi="Times New Roman" w:eastAsia="宋体"/>
                <w:sz w:val="21"/>
              </w:rPr>
              <w:t>1.94 × 10⁻¹</w:t>
            </w:r>
          </w:p>
        </w:tc>
        <w:tc>
          <w:tcPr>
            <w:tcW w:type="dxa" w:w="1091"/>
          </w:tcPr>
          <w:p>
            <w:pPr>
              <w:spacing w:line="276" w:lineRule="auto" w:after="0" w:before="0"/>
              <w:jc w:val="left"/>
            </w:pPr>
            <w:r/>
            <w:r>
              <w:rPr>
                <w:rFonts w:ascii="Times New Roman" w:hAnsi="Times New Roman" w:eastAsia="宋体"/>
                <w:sz w:val="21"/>
              </w:rPr>
              <w:t>7.62 × 10⁻²</w:t>
            </w:r>
          </w:p>
        </w:tc>
        <w:tc>
          <w:tcPr>
            <w:tcW w:type="dxa" w:w="1091"/>
          </w:tcPr>
          <w:p>
            <w:pPr>
              <w:spacing w:line="276" w:lineRule="auto" w:after="0" w:before="0"/>
              <w:jc w:val="left"/>
            </w:pPr>
            <w:r/>
            <w:r>
              <w:rPr>
                <w:rFonts w:ascii="Times New Roman" w:hAnsi="Times New Roman" w:eastAsia="宋体"/>
                <w:sz w:val="21"/>
              </w:rPr>
              <w:t>39.2</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500</w:t>
            </w:r>
          </w:p>
        </w:tc>
        <w:tc>
          <w:tcPr>
            <w:tcW w:type="dxa" w:w="1091"/>
          </w:tcPr>
          <w:p>
            <w:pPr>
              <w:spacing w:line="276" w:lineRule="auto" w:after="0" w:before="0"/>
              <w:jc w:val="left"/>
            </w:pPr>
            <w:r/>
            <w:r>
              <w:rPr>
                <w:rFonts w:ascii="Times New Roman" w:hAnsi="Times New Roman" w:eastAsia="宋体"/>
                <w:sz w:val="21"/>
              </w:rPr>
              <w:t>1.12 × 10⁻²</w:t>
            </w:r>
          </w:p>
        </w:tc>
        <w:tc>
          <w:tcPr>
            <w:tcW w:type="dxa" w:w="1091"/>
          </w:tcPr>
          <w:p>
            <w:pPr>
              <w:spacing w:line="276" w:lineRule="auto" w:after="0" w:before="0"/>
              <w:jc w:val="left"/>
            </w:pPr>
            <w:r/>
            <w:r>
              <w:rPr>
                <w:rFonts w:ascii="Times New Roman" w:hAnsi="Times New Roman" w:eastAsia="宋体"/>
                <w:sz w:val="21"/>
              </w:rPr>
              <w:t>2.51 × 10⁻³</w:t>
            </w:r>
          </w:p>
        </w:tc>
        <w:tc>
          <w:tcPr>
            <w:tcW w:type="dxa" w:w="1091"/>
          </w:tcPr>
          <w:p>
            <w:pPr>
              <w:spacing w:line="276" w:lineRule="auto" w:after="0" w:before="0"/>
              <w:jc w:val="left"/>
            </w:pPr>
            <w:r/>
            <w:r>
              <w:rPr>
                <w:rFonts w:ascii="Times New Roman" w:hAnsi="Times New Roman" w:eastAsia="宋体"/>
                <w:sz w:val="21"/>
              </w:rPr>
              <w:t>2.05 × 10⁻³</w:t>
            </w:r>
          </w:p>
        </w:tc>
        <w:tc>
          <w:tcPr>
            <w:tcW w:type="dxa" w:w="1091"/>
          </w:tcPr>
          <w:p>
            <w:pPr>
              <w:spacing w:line="276" w:lineRule="auto" w:after="0" w:before="0"/>
              <w:jc w:val="left"/>
            </w:pPr>
            <w:r/>
            <w:r>
              <w:rPr>
                <w:rFonts w:ascii="Times New Roman" w:hAnsi="Times New Roman" w:eastAsia="宋体"/>
                <w:sz w:val="21"/>
              </w:rPr>
              <w:t>81.7</w:t>
            </w:r>
          </w:p>
        </w:tc>
        <w:tc>
          <w:tcPr>
            <w:tcW w:type="dxa" w:w="1091"/>
          </w:tcPr>
          <w:p>
            <w:pPr>
              <w:spacing w:line="276" w:lineRule="auto" w:after="0" w:before="0"/>
              <w:jc w:val="left"/>
            </w:pPr>
            <w:r/>
            <w:r>
              <w:rPr>
                <w:rFonts w:ascii="Times New Roman" w:hAnsi="Times New Roman" w:eastAsia="宋体"/>
                <w:sz w:val="21"/>
              </w:rPr>
              <w:t>bulk 0.79 / gb 1.09</w:t>
            </w:r>
          </w:p>
        </w:tc>
        <w:tc>
          <w:tcPr>
            <w:tcW w:type="dxa" w:w="1091"/>
          </w:tcPr>
          <w:p>
            <w:pPr>
              <w:spacing w:line="276" w:lineRule="auto" w:after="0" w:before="0"/>
              <w:jc w:val="left"/>
            </w:pPr>
            <w:r/>
            <w:r>
              <w:rPr>
                <w:rFonts w:ascii="Times New Roman" w:hAnsi="Times New Roman" w:eastAsia="宋体"/>
                <w:sz w:val="21"/>
              </w:rPr>
              <w:t>±5.0%</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550</w:t>
            </w:r>
          </w:p>
        </w:tc>
        <w:tc>
          <w:tcPr>
            <w:tcW w:type="dxa" w:w="1091"/>
          </w:tcPr>
          <w:p>
            <w:pPr>
              <w:spacing w:line="276" w:lineRule="auto" w:after="0" w:before="0"/>
              <w:jc w:val="left"/>
            </w:pPr>
            <w:r/>
            <w:r>
              <w:rPr>
                <w:rFonts w:ascii="Times New Roman" w:hAnsi="Times New Roman" w:eastAsia="宋体"/>
                <w:sz w:val="21"/>
              </w:rPr>
              <w:t>2.30 × 10⁻²</w:t>
            </w:r>
          </w:p>
        </w:tc>
        <w:tc>
          <w:tcPr>
            <w:tcW w:type="dxa" w:w="1091"/>
          </w:tcPr>
          <w:p>
            <w:pPr>
              <w:spacing w:line="276" w:lineRule="auto" w:after="0" w:before="0"/>
              <w:jc w:val="left"/>
            </w:pPr>
            <w:r/>
            <w:r>
              <w:rPr>
                <w:rFonts w:ascii="Times New Roman" w:hAnsi="Times New Roman" w:eastAsia="宋体"/>
                <w:sz w:val="21"/>
              </w:rPr>
              <w:t>6.78 × 10⁻³</w:t>
            </w:r>
          </w:p>
        </w:tc>
        <w:tc>
          <w:tcPr>
            <w:tcW w:type="dxa" w:w="1091"/>
          </w:tcPr>
          <w:p>
            <w:pPr>
              <w:spacing w:line="276" w:lineRule="auto" w:after="0" w:before="0"/>
              <w:jc w:val="left"/>
            </w:pPr>
            <w:r/>
            <w:r>
              <w:rPr>
                <w:rFonts w:ascii="Times New Roman" w:hAnsi="Times New Roman" w:eastAsia="宋体"/>
                <w:sz w:val="21"/>
              </w:rPr>
              <w:t>5.23 × 10⁻³</w:t>
            </w:r>
          </w:p>
        </w:tc>
        <w:tc>
          <w:tcPr>
            <w:tcW w:type="dxa" w:w="1091"/>
          </w:tcPr>
          <w:p>
            <w:pPr>
              <w:spacing w:line="276" w:lineRule="auto" w:after="0" w:before="0"/>
              <w:jc w:val="left"/>
            </w:pPr>
            <w:r/>
            <w:r>
              <w:rPr>
                <w:rFonts w:ascii="Times New Roman" w:hAnsi="Times New Roman" w:eastAsia="宋体"/>
                <w:sz w:val="21"/>
              </w:rPr>
              <w:t>77.2</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±4.8%</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4.35 × 10⁻²</w:t>
            </w:r>
          </w:p>
        </w:tc>
        <w:tc>
          <w:tcPr>
            <w:tcW w:type="dxa" w:w="1091"/>
          </w:tcPr>
          <w:p>
            <w:pPr>
              <w:spacing w:line="276" w:lineRule="auto" w:after="0" w:before="0"/>
              <w:jc w:val="left"/>
            </w:pPr>
            <w:r/>
            <w:r>
              <w:rPr>
                <w:rFonts w:ascii="Times New Roman" w:hAnsi="Times New Roman" w:eastAsia="宋体"/>
                <w:sz w:val="21"/>
              </w:rPr>
              <w:t>1.63 × 10⁻²</w:t>
            </w:r>
          </w:p>
        </w:tc>
        <w:tc>
          <w:tcPr>
            <w:tcW w:type="dxa" w:w="1091"/>
          </w:tcPr>
          <w:p>
            <w:pPr>
              <w:spacing w:line="276" w:lineRule="auto" w:after="0" w:before="0"/>
              <w:jc w:val="left"/>
            </w:pPr>
            <w:r/>
            <w:r>
              <w:rPr>
                <w:rFonts w:ascii="Times New Roman" w:hAnsi="Times New Roman" w:eastAsia="宋体"/>
                <w:sz w:val="21"/>
              </w:rPr>
              <w:t>1.19 × 10⁻²</w:t>
            </w:r>
          </w:p>
        </w:tc>
        <w:tc>
          <w:tcPr>
            <w:tcW w:type="dxa" w:w="1091"/>
          </w:tcPr>
          <w:p>
            <w:pPr>
              <w:spacing w:line="276" w:lineRule="auto" w:after="0" w:before="0"/>
              <w:jc w:val="left"/>
            </w:pPr>
            <w:r/>
            <w:r>
              <w:rPr>
                <w:rFonts w:ascii="Times New Roman" w:hAnsi="Times New Roman" w:eastAsia="宋体"/>
                <w:sz w:val="21"/>
              </w:rPr>
              <w:t>72.7</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±4.6%</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650</w:t>
            </w:r>
          </w:p>
        </w:tc>
        <w:tc>
          <w:tcPr>
            <w:tcW w:type="dxa" w:w="1091"/>
          </w:tcPr>
          <w:p>
            <w:pPr>
              <w:spacing w:line="276" w:lineRule="auto" w:after="0" w:before="0"/>
              <w:jc w:val="left"/>
            </w:pPr>
            <w:r/>
            <w:r>
              <w:rPr>
                <w:rFonts w:ascii="Times New Roman" w:hAnsi="Times New Roman" w:eastAsia="宋体"/>
                <w:sz w:val="21"/>
              </w:rPr>
              <w:t>7.68 × 10⁻²</w:t>
            </w:r>
          </w:p>
        </w:tc>
        <w:tc>
          <w:tcPr>
            <w:tcW w:type="dxa" w:w="1091"/>
          </w:tcPr>
          <w:p>
            <w:pPr>
              <w:spacing w:line="276" w:lineRule="auto" w:after="0" w:before="0"/>
              <w:jc w:val="left"/>
            </w:pPr>
            <w:r/>
            <w:r>
              <w:rPr>
                <w:rFonts w:ascii="Times New Roman" w:hAnsi="Times New Roman" w:eastAsia="宋体"/>
                <w:sz w:val="21"/>
              </w:rPr>
              <w:t>3.58 × 10⁻²</w:t>
            </w:r>
          </w:p>
        </w:tc>
        <w:tc>
          <w:tcPr>
            <w:tcW w:type="dxa" w:w="1091"/>
          </w:tcPr>
          <w:p>
            <w:pPr>
              <w:spacing w:line="276" w:lineRule="auto" w:after="0" w:before="0"/>
              <w:jc w:val="left"/>
            </w:pPr>
            <w:r/>
            <w:r>
              <w:rPr>
                <w:rFonts w:ascii="Times New Roman" w:hAnsi="Times New Roman" w:eastAsia="宋体"/>
                <w:sz w:val="21"/>
              </w:rPr>
              <w:t>2.44 × 10⁻²</w:t>
            </w:r>
          </w:p>
        </w:tc>
        <w:tc>
          <w:tcPr>
            <w:tcW w:type="dxa" w:w="1091"/>
          </w:tcPr>
          <w:p>
            <w:pPr>
              <w:spacing w:line="276" w:lineRule="auto" w:after="0" w:before="0"/>
              <w:jc w:val="left"/>
            </w:pPr>
            <w:r/>
            <w:r>
              <w:rPr>
                <w:rFonts w:ascii="Times New Roman" w:hAnsi="Times New Roman" w:eastAsia="宋体"/>
                <w:sz w:val="21"/>
              </w:rPr>
              <w:t>68.2</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±4.7%</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700</w:t>
            </w:r>
          </w:p>
        </w:tc>
        <w:tc>
          <w:tcPr>
            <w:tcW w:type="dxa" w:w="1091"/>
          </w:tcPr>
          <w:p>
            <w:pPr>
              <w:spacing w:line="276" w:lineRule="auto" w:after="0" w:before="0"/>
              <w:jc w:val="left"/>
            </w:pPr>
            <w:r/>
            <w:r>
              <w:rPr>
                <w:rFonts w:ascii="Times New Roman" w:hAnsi="Times New Roman" w:eastAsia="宋体"/>
                <w:sz w:val="21"/>
              </w:rPr>
              <w:t>1.28 × 10⁻¹</w:t>
            </w:r>
          </w:p>
        </w:tc>
        <w:tc>
          <w:tcPr>
            <w:tcW w:type="dxa" w:w="1091"/>
          </w:tcPr>
          <w:p>
            <w:pPr>
              <w:spacing w:line="276" w:lineRule="auto" w:after="0" w:before="0"/>
              <w:jc w:val="left"/>
            </w:pPr>
            <w:r/>
            <w:r>
              <w:rPr>
                <w:rFonts w:ascii="Times New Roman" w:hAnsi="Times New Roman" w:eastAsia="宋体"/>
                <w:sz w:val="21"/>
              </w:rPr>
              <w:t>7.24 × 10⁻²</w:t>
            </w:r>
          </w:p>
        </w:tc>
        <w:tc>
          <w:tcPr>
            <w:tcW w:type="dxa" w:w="1091"/>
          </w:tcPr>
          <w:p>
            <w:pPr>
              <w:spacing w:line="276" w:lineRule="auto" w:after="0" w:before="0"/>
              <w:jc w:val="left"/>
            </w:pPr>
            <w:r/>
            <w:r>
              <w:rPr>
                <w:rFonts w:ascii="Times New Roman" w:hAnsi="Times New Roman" w:eastAsia="宋体"/>
                <w:sz w:val="21"/>
              </w:rPr>
              <w:t>4.63 × 10⁻²</w:t>
            </w:r>
          </w:p>
        </w:tc>
        <w:tc>
          <w:tcPr>
            <w:tcW w:type="dxa" w:w="1091"/>
          </w:tcPr>
          <w:p>
            <w:pPr>
              <w:spacing w:line="276" w:lineRule="auto" w:after="0" w:before="0"/>
              <w:jc w:val="left"/>
            </w:pPr>
            <w:r/>
            <w:r>
              <w:rPr>
                <w:rFonts w:ascii="Times New Roman" w:hAnsi="Times New Roman" w:eastAsia="宋体"/>
                <w:sz w:val="21"/>
              </w:rPr>
              <w:t>63.9</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±4.9%</w:t>
            </w:r>
          </w:p>
        </w:tc>
      </w:tr>
      <w:tr>
        <w:tc>
          <w:tcPr>
            <w:tcW w:type="dxa" w:w="1091"/>
          </w:tcPr>
          <w:p>
            <w:pPr>
              <w:spacing w:line="276" w:lineRule="auto" w:after="0" w:before="0"/>
              <w:jc w:val="left"/>
            </w:pPr>
            <w:r/>
            <w:r>
              <w:rPr>
                <w:rFonts w:ascii="Times New Roman" w:hAnsi="Times New Roman" w:eastAsia="宋体"/>
                <w:sz w:val="21"/>
              </w:rPr>
              <w:t>GDC20-Ca2-Co</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3.85 × 10⁻²</w:t>
            </w:r>
          </w:p>
        </w:tc>
        <w:tc>
          <w:tcPr>
            <w:tcW w:type="dxa" w:w="1091"/>
          </w:tcPr>
          <w:p>
            <w:pPr>
              <w:spacing w:line="276" w:lineRule="auto" w:after="0" w:before="0"/>
              <w:jc w:val="left"/>
            </w:pPr>
            <w:r/>
            <w:r>
              <w:rPr>
                <w:rFonts w:ascii="Times New Roman" w:hAnsi="Times New Roman" w:eastAsia="宋体"/>
                <w:sz w:val="21"/>
              </w:rPr>
              <w:t>1.91 × 10⁻²</w:t>
            </w:r>
          </w:p>
        </w:tc>
        <w:tc>
          <w:tcPr>
            <w:tcW w:type="dxa" w:w="1091"/>
          </w:tcPr>
          <w:p>
            <w:pPr>
              <w:spacing w:line="276" w:lineRule="auto" w:after="0" w:before="0"/>
              <w:jc w:val="left"/>
            </w:pPr>
            <w:r/>
            <w:r>
              <w:rPr>
                <w:rFonts w:ascii="Times New Roman" w:hAnsi="Times New Roman" w:eastAsia="宋体"/>
                <w:sz w:val="21"/>
              </w:rPr>
              <w:t>1.28 × 10⁻²</w:t>
            </w:r>
          </w:p>
        </w:tc>
        <w:tc>
          <w:tcPr>
            <w:tcW w:type="dxa" w:w="1091"/>
          </w:tcPr>
          <w:p>
            <w:pPr>
              <w:spacing w:line="276" w:lineRule="auto" w:after="0" w:before="0"/>
              <w:jc w:val="left"/>
            </w:pPr>
            <w:r/>
            <w:r>
              <w:rPr>
                <w:rFonts w:ascii="Times New Roman" w:hAnsi="Times New Roman" w:eastAsia="宋体"/>
                <w:sz w:val="21"/>
              </w:rPr>
              <w:t>66.8</w:t>
            </w:r>
          </w:p>
        </w:tc>
        <w:tc>
          <w:tcPr>
            <w:tcW w:type="dxa" w:w="1091"/>
          </w:tcPr>
          <w:p>
            <w:pPr>
              <w:spacing w:line="276" w:lineRule="auto" w:after="0" w:before="0"/>
              <w:jc w:val="left"/>
            </w:pPr>
            <w:r/>
            <w:r>
              <w:rPr>
                <w:rFonts w:ascii="Times New Roman" w:hAnsi="Times New Roman" w:eastAsia="宋体"/>
                <w:sz w:val="21"/>
              </w:rPr>
              <w:t>bulk 0.81 / gb 1.04</w:t>
            </w:r>
          </w:p>
        </w:tc>
        <w:tc>
          <w:tcPr>
            <w:tcW w:type="dxa" w:w="1091"/>
          </w:tcPr>
          <w:p>
            <w:pPr>
              <w:spacing w:line="276" w:lineRule="auto" w:after="0" w:before="0"/>
              <w:jc w:val="left"/>
            </w:pPr>
            <w:r/>
            <w:r>
              <w:rPr>
                <w:rFonts w:ascii="Times New Roman" w:hAnsi="Times New Roman" w:eastAsia="宋体"/>
                <w:sz w:val="21"/>
              </w:rPr>
              <w:t>±5.2%</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4.38 × 10⁻²</w:t>
            </w:r>
          </w:p>
        </w:tc>
        <w:tc>
          <w:tcPr>
            <w:tcW w:type="dxa" w:w="1091"/>
          </w:tcPr>
          <w:p>
            <w:pPr>
              <w:spacing w:line="276" w:lineRule="auto" w:after="0" w:before="0"/>
              <w:jc w:val="left"/>
            </w:pPr>
            <w:r/>
            <w:r>
              <w:rPr>
                <w:rFonts w:ascii="Times New Roman" w:hAnsi="Times New Roman" w:eastAsia="宋体"/>
                <w:sz w:val="21"/>
              </w:rPr>
              <w:t>2.90 × 10⁻²</w:t>
            </w:r>
          </w:p>
        </w:tc>
        <w:tc>
          <w:tcPr>
            <w:tcW w:type="dxa" w:w="1091"/>
          </w:tcPr>
          <w:p>
            <w:pPr>
              <w:spacing w:line="276" w:lineRule="auto" w:after="0" w:before="0"/>
              <w:jc w:val="left"/>
            </w:pPr>
            <w:r/>
            <w:r>
              <w:rPr>
                <w:rFonts w:ascii="Times New Roman" w:hAnsi="Times New Roman" w:eastAsia="宋体"/>
                <w:sz w:val="21"/>
              </w:rPr>
              <w:t>1.74 × 10⁻²</w:t>
            </w:r>
          </w:p>
        </w:tc>
        <w:tc>
          <w:tcPr>
            <w:tcW w:type="dxa" w:w="1091"/>
          </w:tcPr>
          <w:p>
            <w:pPr>
              <w:spacing w:line="276" w:lineRule="auto" w:after="0" w:before="0"/>
              <w:jc w:val="left"/>
            </w:pPr>
            <w:r/>
            <w:r>
              <w:rPr>
                <w:rFonts w:ascii="Times New Roman" w:hAnsi="Times New Roman" w:eastAsia="宋体"/>
                <w:sz w:val="21"/>
              </w:rPr>
              <w:t>60.2</w:t>
            </w:r>
          </w:p>
        </w:tc>
        <w:tc>
          <w:tcPr>
            <w:tcW w:type="dxa" w:w="1091"/>
          </w:tcPr>
          <w:p>
            <w:pPr>
              <w:spacing w:line="276" w:lineRule="auto" w:after="0" w:before="0"/>
              <w:jc w:val="left"/>
            </w:pPr>
            <w:r/>
            <w:r>
              <w:rPr>
                <w:rFonts w:ascii="Times New Roman" w:hAnsi="Times New Roman" w:eastAsia="宋体"/>
                <w:sz w:val="21"/>
              </w:rPr>
              <w:t>bulk 0.79 / gb 1.08</w:t>
            </w:r>
          </w:p>
        </w:tc>
        <w:tc>
          <w:tcPr>
            <w:tcW w:type="dxa" w:w="1091"/>
          </w:tcPr>
          <w:p>
            <w:pPr>
              <w:spacing w:line="276" w:lineRule="auto" w:after="0" w:before="0"/>
              <w:jc w:val="left"/>
            </w:pPr>
            <w:r/>
            <w:r>
              <w:rPr>
                <w:rFonts w:ascii="Times New Roman" w:hAnsi="Times New Roman" w:eastAsia="宋体"/>
                <w:sz w:val="21"/>
              </w:rPr>
              <w:t>±4.8%</w:t>
            </w:r>
          </w:p>
        </w:tc>
      </w:tr>
      <w:tr>
        <w:tc>
          <w:tcPr>
            <w:tcW w:type="dxa" w:w="1091"/>
          </w:tcPr>
          <w:p>
            <w:pPr>
              <w:spacing w:line="276" w:lineRule="auto" w:after="0" w:before="0"/>
              <w:jc w:val="left"/>
            </w:pPr>
            <w:r/>
            <w:r>
              <w:rPr>
                <w:rFonts w:ascii="Times New Roman" w:hAnsi="Times New Roman" w:eastAsia="宋体"/>
                <w:sz w:val="21"/>
              </w:rPr>
              <w:t>GDC10-Ca2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3.05 × 10⁻²</w:t>
            </w:r>
          </w:p>
        </w:tc>
        <w:tc>
          <w:tcPr>
            <w:tcW w:type="dxa" w:w="1091"/>
          </w:tcPr>
          <w:p>
            <w:pPr>
              <w:spacing w:line="276" w:lineRule="auto" w:after="0" w:before="0"/>
              <w:jc w:val="left"/>
            </w:pPr>
            <w:r/>
            <w:r>
              <w:rPr>
                <w:rFonts w:ascii="Times New Roman" w:hAnsi="Times New Roman" w:eastAsia="宋体"/>
                <w:sz w:val="21"/>
              </w:rPr>
              <w:t>2.81 × 10⁻²</w:t>
            </w:r>
          </w:p>
        </w:tc>
        <w:tc>
          <w:tcPr>
            <w:tcW w:type="dxa" w:w="1091"/>
          </w:tcPr>
          <w:p>
            <w:pPr>
              <w:spacing w:line="276" w:lineRule="auto" w:after="0" w:before="0"/>
              <w:jc w:val="left"/>
            </w:pPr>
            <w:r/>
            <w:r>
              <w:rPr>
                <w:rFonts w:ascii="Times New Roman" w:hAnsi="Times New Roman" w:eastAsia="宋体"/>
                <w:sz w:val="21"/>
              </w:rPr>
              <w:t>1.46 × 10⁻²</w:t>
            </w:r>
          </w:p>
        </w:tc>
        <w:tc>
          <w:tcPr>
            <w:tcW w:type="dxa" w:w="1091"/>
          </w:tcPr>
          <w:p>
            <w:pPr>
              <w:spacing w:line="276" w:lineRule="auto" w:after="0" w:before="0"/>
              <w:jc w:val="left"/>
            </w:pPr>
            <w:r/>
            <w:r>
              <w:rPr>
                <w:rFonts w:ascii="Times New Roman" w:hAnsi="Times New Roman" w:eastAsia="宋体"/>
                <w:sz w:val="21"/>
              </w:rPr>
              <w:t>52.1</w:t>
            </w:r>
          </w:p>
        </w:tc>
        <w:tc>
          <w:tcPr>
            <w:tcW w:type="dxa" w:w="1091"/>
          </w:tcPr>
          <w:p>
            <w:pPr>
              <w:spacing w:line="276" w:lineRule="auto" w:after="0" w:before="0"/>
              <w:jc w:val="left"/>
            </w:pPr>
            <w:r/>
            <w:r>
              <w:rPr>
                <w:rFonts w:ascii="Times New Roman" w:hAnsi="Times New Roman" w:eastAsia="宋体"/>
                <w:sz w:val="21"/>
              </w:rPr>
              <w:t>bulk 0.82 / gb 1.09</w:t>
            </w:r>
          </w:p>
        </w:tc>
        <w:tc>
          <w:tcPr>
            <w:tcW w:type="dxa" w:w="1091"/>
          </w:tcPr>
          <w:p>
            <w:pPr>
              <w:spacing w:line="276" w:lineRule="auto" w:after="0" w:before="0"/>
              <w:jc w:val="left"/>
            </w:pPr>
            <w:r/>
            <w:r>
              <w:rPr>
                <w:rFonts w:ascii="Times New Roman" w:hAnsi="Times New Roman" w:eastAsia="宋体"/>
                <w:sz w:val="21"/>
              </w:rPr>
              <w:t>±5.0%</w:t>
            </w:r>
          </w:p>
        </w:tc>
      </w:tr>
    </w:tbl>
    <w:p>
      <w:pPr>
        <w:spacing w:after="80"/>
      </w:pPr>
    </w:p>
    <w:p>
      <w:pPr>
        <w:spacing w:line="360" w:lineRule="auto" w:after="80"/>
        <w:ind w:firstLineChars="200" w:firstLine="480"/>
        <w:jc w:val="both"/>
      </w:pPr>
      <w:r>
        <w:rPr>
          <w:rFonts w:ascii="Times New Roman" w:hAnsi="Times New Roman" w:eastAsia="宋体"/>
          <w:i/>
          <w:sz w:val="24"/>
        </w:rPr>
        <w:t>表 4 注：对照样仅列 600 °C 行以保持可读性，完整 500–700 °C 序列见补充材料；主线样与关键对照样（GDC20）均给出全温度序列。Ca 共掺样体相电导与无 Ca 样在误差内一致（4.20 × 10⁻² vs 4.35 × 10⁻² S·cm⁻¹），是"体相不劣化"主张的直接依据。</w:t>
      </w:r>
    </w:p>
    <w:p>
      <w:pPr>
        <w:spacing w:line="360" w:lineRule="auto" w:after="80"/>
        <w:ind w:firstLineChars="200" w:firstLine="480"/>
        <w:jc w:val="both"/>
      </w:pPr>
      <w:r>
        <w:rPr>
          <w:rFonts w:ascii="Times New Roman" w:hAnsi="Times New Roman" w:eastAsia="宋体"/>
          <w:b/>
          <w:sz w:val="24"/>
        </w:rPr>
        <w:t>表 5｜还原气氛电子电导与离子迁移数（5% H₂–Ar，3% H₂O 加湿；600 °C 时 pO₂ ≈ 1 × 10⁻²⁰ atm；σ</w:t>
      </w:r>
      <w:r>
        <w:rPr>
          <w:rFonts w:ascii="Times New Roman" w:hAnsi="Times New Roman" w:eastAsia="宋体"/>
          <w:sz w:val="24"/>
          <w:vertAlign w:val="subscript"/>
        </w:rPr>
        <w:t>ion</w:t>
      </w:r>
      <w:r>
        <w:rPr>
          <w:rFonts w:ascii="Times New Roman" w:hAnsi="Times New Roman" w:eastAsia="宋体"/>
          <w:b/>
          <w:sz w:val="24"/>
        </w:rPr>
        <w:t xml:space="preserve"> = σ</w:t>
      </w:r>
      <w:r>
        <w:rPr>
          <w:rFonts w:ascii="Times New Roman" w:hAnsi="Times New Roman" w:eastAsia="宋体"/>
          <w:sz w:val="24"/>
          <w:vertAlign w:val="subscript"/>
        </w:rPr>
        <w:t>total</w:t>
      </w:r>
      <w:r>
        <w:rPr>
          <w:rFonts w:ascii="Times New Roman" w:hAnsi="Times New Roman" w:eastAsia="宋体"/>
          <w:b/>
          <w:sz w:val="24"/>
        </w:rPr>
        <w:t xml:space="preserve"> − σ</w:t>
      </w:r>
      <w:r>
        <w:rPr>
          <w:rFonts w:ascii="Times New Roman" w:hAnsi="Times New Roman" w:eastAsia="宋体"/>
          <w:sz w:val="24"/>
          <w:vertAlign w:val="subscript"/>
        </w:rPr>
        <w:t>e</w:t>
      </w:r>
      <w:r>
        <w:rPr>
          <w:rFonts w:ascii="Times New Roman" w:hAnsi="Times New Roman" w:eastAsia="宋体"/>
          <w:b/>
          <w:sz w:val="24"/>
        </w:rPr>
        <w:t>；t</w:t>
      </w:r>
      <w:r>
        <w:rPr>
          <w:rFonts w:ascii="Times New Roman" w:hAnsi="Times New Roman" w:eastAsia="宋体"/>
          <w:sz w:val="24"/>
          <w:vertAlign w:val="subscript"/>
        </w:rPr>
        <w:t>ion</w:t>
      </w:r>
      <w:r>
        <w:rPr>
          <w:rFonts w:ascii="Times New Roman" w:hAnsi="Times New Roman" w:eastAsia="宋体"/>
          <w:b/>
          <w:sz w:val="24"/>
        </w:rPr>
        <w:t xml:space="preserve"> = σ</w:t>
      </w:r>
      <w:r>
        <w:rPr>
          <w:rFonts w:ascii="Times New Roman" w:hAnsi="Times New Roman" w:eastAsia="宋体"/>
          <w:sz w:val="24"/>
          <w:vertAlign w:val="subscript"/>
        </w:rPr>
        <w:t>ion</w:t>
      </w:r>
      <w:r>
        <w:rPr>
          <w:rFonts w:ascii="Times New Roman" w:hAnsi="Times New Roman" w:eastAsia="宋体"/>
          <w:b/>
          <w:sz w:val="24"/>
        </w:rPr>
        <w:t>/σ</w:t>
      </w:r>
      <w:r>
        <w:rPr>
          <w:rFonts w:ascii="Times New Roman" w:hAnsi="Times New Roman" w:eastAsia="宋体"/>
          <w:sz w:val="24"/>
          <w:vertAlign w:val="subscript"/>
        </w:rPr>
        <w:t>total</w:t>
      </w:r>
      <w:r>
        <w:rPr>
          <w:rFonts w:ascii="Times New Roman" w:hAnsi="Times New Roman" w:eastAsia="宋体"/>
          <w:b/>
          <w:sz w:val="24"/>
        </w:rPr>
        <w:t>；n = 3；拟议值，待实验确认）</w:t>
      </w:r>
    </w:p>
    <w:tbl>
      <w:tblPr>
        <w:tblStyle w:val="TableGrid"/>
        <w:tblW w:type="auto" w:w="0"/>
        <w:jc w:val="center"/>
        <w:tblLayout w:type="autofit"/>
        <w:tblLook w:firstColumn="1" w:firstRow="1" w:lastColumn="0" w:lastRow="0" w:noHBand="0" w:noVBand="1" w:val="04A0"/>
      </w:tblPr>
      <w:tblGrid>
        <w:gridCol w:w="970"/>
        <w:gridCol w:w="970"/>
        <w:gridCol w:w="970"/>
        <w:gridCol w:w="970"/>
        <w:gridCol w:w="970"/>
        <w:gridCol w:w="970"/>
        <w:gridCol w:w="970"/>
        <w:gridCol w:w="970"/>
        <w:gridCol w:w="970"/>
      </w:tblGrid>
      <w:tr>
        <w:tc>
          <w:tcPr>
            <w:tcW w:type="dxa" w:w="970"/>
          </w:tcPr>
          <w:p>
            <w:pPr>
              <w:spacing w:line="276" w:lineRule="auto" w:after="0" w:before="0"/>
              <w:jc w:val="center"/>
            </w:pPr>
            <w:r/>
            <w:r>
              <w:rPr>
                <w:rFonts w:ascii="Times New Roman" w:hAnsi="Times New Roman" w:eastAsia="宋体"/>
                <w:b/>
                <w:sz w:val="21"/>
              </w:rPr>
              <w:t>样品</w:t>
            </w:r>
          </w:p>
        </w:tc>
        <w:tc>
          <w:tcPr>
            <w:tcW w:type="dxa" w:w="970"/>
          </w:tcPr>
          <w:p>
            <w:pPr>
              <w:spacing w:line="276" w:lineRule="auto" w:after="0" w:before="0"/>
              <w:jc w:val="center"/>
            </w:pPr>
            <w:r/>
            <w:r>
              <w:rPr>
                <w:rFonts w:ascii="Times New Roman" w:hAnsi="Times New Roman" w:eastAsia="宋体"/>
                <w:b/>
                <w:sz w:val="21"/>
              </w:rPr>
              <w:t>方法</w:t>
            </w:r>
          </w:p>
        </w:tc>
        <w:tc>
          <w:tcPr>
            <w:tcW w:type="dxa" w:w="970"/>
          </w:tcPr>
          <w:p>
            <w:pPr>
              <w:spacing w:line="276" w:lineRule="auto" w:after="0" w:before="0"/>
              <w:jc w:val="center"/>
            </w:pPr>
            <w:r/>
            <w:r>
              <w:rPr>
                <w:rFonts w:ascii="Times New Roman" w:hAnsi="Times New Roman" w:eastAsia="宋体"/>
                <w:b/>
                <w:sz w:val="21"/>
              </w:rPr>
              <w:t>温度 (°C)</w:t>
            </w:r>
          </w:p>
        </w:tc>
        <w:tc>
          <w:tcPr>
            <w:tcW w:type="dxa" w:w="970"/>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(S·cm⁻¹)</w:t>
            </w:r>
          </w:p>
        </w:tc>
        <w:tc>
          <w:tcPr>
            <w:tcW w:type="dxa" w:w="970"/>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 xml:space="preserve"> (S·cm⁻¹)</w:t>
            </w:r>
          </w:p>
        </w:tc>
        <w:tc>
          <w:tcPr>
            <w:tcW w:type="dxa" w:w="970"/>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ion</w:t>
            </w:r>
            <w:r>
              <w:rPr>
                <w:rFonts w:ascii="Times New Roman" w:hAnsi="Times New Roman" w:eastAsia="宋体"/>
                <w:b/>
                <w:sz w:val="21"/>
              </w:rPr>
              <w:t xml:space="preserve"> (S·cm⁻¹)</w:t>
            </w:r>
          </w:p>
        </w:tc>
        <w:tc>
          <w:tcPr>
            <w:tcW w:type="dxa" w:w="970"/>
          </w:tcPr>
          <w:p>
            <w:pPr>
              <w:spacing w:line="276" w:lineRule="auto" w:after="0" w:before="0"/>
              <w:jc w:val="center"/>
            </w:pPr>
            <w:r/>
            <w:r>
              <w:rPr>
                <w:rFonts w:ascii="Times New Roman" w:hAnsi="Times New Roman" w:eastAsia="宋体"/>
                <w:b/>
                <w:sz w:val="21"/>
              </w:rPr>
              <w:t>t</w:t>
            </w:r>
            <w:r>
              <w:rPr>
                <w:rFonts w:ascii="Times New Roman" w:hAnsi="Times New Roman" w:eastAsia="宋体"/>
                <w:sz w:val="21"/>
                <w:vertAlign w:val="subscript"/>
              </w:rPr>
              <w:t>ion</w:t>
            </w:r>
          </w:p>
        </w:tc>
        <w:tc>
          <w:tcPr>
            <w:tcW w:type="dxa" w:w="970"/>
          </w:tcPr>
          <w:p>
            <w:pPr>
              <w:spacing w:line="276" w:lineRule="auto" w:after="0" w:before="0"/>
              <w:jc w:val="center"/>
            </w:pPr>
            <w:r/>
            <w:r>
              <w:rPr>
                <w:rFonts w:ascii="Times New Roman" w:hAnsi="Times New Roman" w:eastAsia="宋体"/>
                <w:b/>
                <w:sz w:val="21"/>
              </w:rPr>
              <w:t>判据 1（σ</w:t>
            </w:r>
            <w:r>
              <w:rPr>
                <w:rFonts w:ascii="Times New Roman" w:hAnsi="Times New Roman" w:eastAsia="宋体"/>
                <w:sz w:val="21"/>
                <w:vertAlign w:val="subscript"/>
              </w:rPr>
              <w:t>e</w:t>
            </w:r>
            <w:r>
              <w:rPr>
                <w:rFonts w:ascii="Times New Roman" w:hAnsi="Times New Roman" w:eastAsia="宋体"/>
                <w:b/>
                <w:sz w:val="21"/>
              </w:rPr>
              <w:t xml:space="preserve"> ≤ 0.01 且 t</w:t>
            </w:r>
            <w:r>
              <w:rPr>
                <w:rFonts w:ascii="Times New Roman" w:hAnsi="Times New Roman" w:eastAsia="宋体"/>
                <w:sz w:val="21"/>
                <w:vertAlign w:val="subscript"/>
              </w:rPr>
              <w:t>ion</w:t>
            </w:r>
            <w:r>
              <w:rPr>
                <w:rFonts w:ascii="Times New Roman" w:hAnsi="Times New Roman" w:eastAsia="宋体"/>
                <w:b/>
                <w:sz w:val="21"/>
              </w:rPr>
              <w:t xml:space="preserve"> ≥ 0.95）</w:t>
            </w:r>
          </w:p>
        </w:tc>
        <w:tc>
          <w:tcPr>
            <w:tcW w:type="dxa" w:w="970"/>
          </w:tcPr>
          <w:p>
            <w:pPr>
              <w:spacing w:line="276" w:lineRule="auto" w:after="0" w:before="0"/>
              <w:jc w:val="center"/>
            </w:pPr>
            <w:r/>
            <w:r>
              <w:rPr>
                <w:rFonts w:ascii="Times New Roman" w:hAnsi="Times New Roman" w:eastAsia="宋体"/>
                <w:b/>
                <w:sz w:val="21"/>
              </w:rPr>
              <w:t>误差（σ</w:t>
            </w:r>
            <w:r>
              <w:rPr>
                <w:rFonts w:ascii="Times New Roman" w:hAnsi="Times New Roman" w:eastAsia="宋体"/>
                <w:sz w:val="21"/>
                <w:vertAlign w:val="subscript"/>
              </w:rPr>
              <w:t>e</w:t>
            </w:r>
            <w:r>
              <w:rPr>
                <w:rFonts w:ascii="Times New Roman" w:hAnsi="Times New Roman" w:eastAsia="宋体"/>
                <w:b/>
                <w:sz w:val="21"/>
              </w:rPr>
              <w:t>, mean ± SD, n=3）</w:t>
            </w:r>
          </w:p>
        </w:tc>
      </w:tr>
      <w:tr>
        <w:tc>
          <w:tcPr>
            <w:tcW w:type="dxa" w:w="970"/>
          </w:tcPr>
          <w:p>
            <w:pPr>
              <w:spacing w:line="276" w:lineRule="auto" w:after="0" w:before="0"/>
              <w:jc w:val="left"/>
            </w:pPr>
            <w:r/>
            <w:r>
              <w:rPr>
                <w:rFonts w:ascii="Times New Roman" w:hAnsi="Times New Roman" w:eastAsia="宋体"/>
                <w:sz w:val="21"/>
              </w:rPr>
              <w:t>GDC20-Ca2</w:t>
            </w:r>
          </w:p>
        </w:tc>
        <w:tc>
          <w:tcPr>
            <w:tcW w:type="dxa" w:w="970"/>
          </w:tcPr>
          <w:p>
            <w:pPr>
              <w:spacing w:line="276" w:lineRule="auto" w:after="0" w:before="0"/>
              <w:jc w:val="left"/>
            </w:pPr>
            <w:r/>
            <w:r>
              <w:rPr>
                <w:rFonts w:ascii="Times New Roman" w:hAnsi="Times New Roman" w:eastAsia="宋体"/>
                <w:sz w:val="21"/>
              </w:rPr>
              <w:t>Hebb-Wagner ＋ DC 部分极化 [12,3]</w:t>
            </w:r>
          </w:p>
        </w:tc>
        <w:tc>
          <w:tcPr>
            <w:tcW w:type="dxa" w:w="970"/>
          </w:tcPr>
          <w:p>
            <w:pPr>
              <w:spacing w:line="276" w:lineRule="auto" w:after="0" w:before="0"/>
              <w:jc w:val="left"/>
            </w:pPr>
            <w:r/>
            <w:r>
              <w:rPr>
                <w:rFonts w:ascii="Times New Roman" w:hAnsi="Times New Roman" w:eastAsia="宋体"/>
                <w:sz w:val="21"/>
              </w:rPr>
              <w:t>550</w:t>
            </w:r>
          </w:p>
        </w:tc>
        <w:tc>
          <w:tcPr>
            <w:tcW w:type="dxa" w:w="970"/>
          </w:tcPr>
          <w:p>
            <w:pPr>
              <w:spacing w:line="276" w:lineRule="auto" w:after="0" w:before="0"/>
              <w:jc w:val="left"/>
            </w:pPr>
            <w:r/>
            <w:r>
              <w:rPr>
                <w:rFonts w:ascii="Times New Roman" w:hAnsi="Times New Roman" w:eastAsia="宋体"/>
                <w:sz w:val="21"/>
              </w:rPr>
              <w:t>9.10 × 10⁻³</w:t>
            </w:r>
          </w:p>
        </w:tc>
        <w:tc>
          <w:tcPr>
            <w:tcW w:type="dxa" w:w="970"/>
          </w:tcPr>
          <w:p>
            <w:pPr>
              <w:spacing w:line="276" w:lineRule="auto" w:after="0" w:before="0"/>
              <w:jc w:val="left"/>
            </w:pPr>
            <w:r/>
            <w:r>
              <w:rPr>
                <w:rFonts w:ascii="Times New Roman" w:hAnsi="Times New Roman" w:eastAsia="宋体"/>
                <w:sz w:val="21"/>
              </w:rPr>
              <w:t>5.6 × 10⁻⁴</w:t>
            </w:r>
          </w:p>
        </w:tc>
        <w:tc>
          <w:tcPr>
            <w:tcW w:type="dxa" w:w="970"/>
          </w:tcPr>
          <w:p>
            <w:pPr>
              <w:spacing w:line="276" w:lineRule="auto" w:after="0" w:before="0"/>
              <w:jc w:val="left"/>
            </w:pPr>
            <w:r/>
            <w:r>
              <w:rPr>
                <w:rFonts w:ascii="Times New Roman" w:hAnsi="Times New Roman" w:eastAsia="宋体"/>
                <w:sz w:val="21"/>
              </w:rPr>
              <w:t>8.54 × 10⁻³</w:t>
            </w:r>
          </w:p>
        </w:tc>
        <w:tc>
          <w:tcPr>
            <w:tcW w:type="dxa" w:w="970"/>
          </w:tcPr>
          <w:p>
            <w:pPr>
              <w:spacing w:line="276" w:lineRule="auto" w:after="0" w:before="0"/>
              <w:jc w:val="left"/>
            </w:pPr>
            <w:r/>
            <w:r>
              <w:rPr>
                <w:rFonts w:ascii="Times New Roman" w:hAnsi="Times New Roman" w:eastAsia="宋体"/>
                <w:sz w:val="21"/>
              </w:rPr>
              <w:t>0.938</w:t>
            </w:r>
          </w:p>
        </w:tc>
        <w:tc>
          <w:tcPr>
            <w:tcW w:type="dxa" w:w="970"/>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达成 / t</w:t>
            </w:r>
            <w:r>
              <w:rPr>
                <w:rFonts w:ascii="Times New Roman" w:hAnsi="Times New Roman" w:eastAsia="宋体"/>
                <w:sz w:val="21"/>
                <w:vertAlign w:val="subscript"/>
              </w:rPr>
              <w:t>ion</w:t>
            </w:r>
            <w:r>
              <w:rPr>
                <w:rFonts w:ascii="Times New Roman" w:hAnsi="Times New Roman" w:eastAsia="宋体"/>
                <w:sz w:val="21"/>
              </w:rPr>
              <w:t xml:space="preserve"> 未达成</w:t>
            </w:r>
          </w:p>
        </w:tc>
        <w:tc>
          <w:tcPr>
            <w:tcW w:type="dxa" w:w="970"/>
          </w:tcPr>
          <w:p>
            <w:pPr>
              <w:spacing w:line="276" w:lineRule="auto" w:after="0" w:before="0"/>
              <w:jc w:val="left"/>
            </w:pPr>
            <w:r/>
            <w:r>
              <w:rPr>
                <w:rFonts w:ascii="Times New Roman" w:hAnsi="Times New Roman" w:eastAsia="宋体"/>
                <w:sz w:val="21"/>
              </w:rPr>
              <w:t>±12%</w:t>
            </w:r>
          </w:p>
        </w:tc>
      </w:tr>
      <w:tr>
        <w:tc>
          <w:tcPr>
            <w:tcW w:type="dxa" w:w="970"/>
          </w:tcPr>
          <w:p>
            <w:pPr>
              <w:spacing w:line="276" w:lineRule="auto" w:after="0" w:before="0"/>
              <w:jc w:val="left"/>
            </w:pPr>
            <w:r/>
            <w:r>
              <w:rPr>
                <w:rFonts w:ascii="Times New Roman" w:hAnsi="Times New Roman" w:eastAsia="宋体"/>
                <w:sz w:val="21"/>
              </w:rPr>
              <w:t>GDC20-Ca2</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2.00 × 10⁻²</w:t>
            </w:r>
          </w:p>
        </w:tc>
        <w:tc>
          <w:tcPr>
            <w:tcW w:type="dxa" w:w="970"/>
          </w:tcPr>
          <w:p>
            <w:pPr>
              <w:spacing w:line="276" w:lineRule="auto" w:after="0" w:before="0"/>
              <w:jc w:val="left"/>
            </w:pPr>
            <w:r/>
            <w:r>
              <w:rPr>
                <w:rFonts w:ascii="Times New Roman" w:hAnsi="Times New Roman" w:eastAsia="宋体"/>
                <w:sz w:val="21"/>
              </w:rPr>
              <w:t>9.0 × 10⁻⁴</w:t>
            </w:r>
          </w:p>
        </w:tc>
        <w:tc>
          <w:tcPr>
            <w:tcW w:type="dxa" w:w="970"/>
          </w:tcPr>
          <w:p>
            <w:pPr>
              <w:spacing w:line="276" w:lineRule="auto" w:after="0" w:before="0"/>
              <w:jc w:val="left"/>
            </w:pPr>
            <w:r/>
            <w:r>
              <w:rPr>
                <w:rFonts w:ascii="Times New Roman" w:hAnsi="Times New Roman" w:eastAsia="宋体"/>
                <w:sz w:val="21"/>
              </w:rPr>
              <w:t>1.91 × 10⁻²</w:t>
            </w:r>
          </w:p>
        </w:tc>
        <w:tc>
          <w:tcPr>
            <w:tcW w:type="dxa" w:w="970"/>
          </w:tcPr>
          <w:p>
            <w:pPr>
              <w:spacing w:line="276" w:lineRule="auto" w:after="0" w:before="0"/>
              <w:jc w:val="left"/>
            </w:pPr>
            <w:r/>
            <w:r>
              <w:rPr>
                <w:rFonts w:ascii="Times New Roman" w:hAnsi="Times New Roman" w:eastAsia="宋体"/>
                <w:sz w:val="21"/>
              </w:rPr>
              <w:t>0.955</w:t>
            </w:r>
          </w:p>
        </w:tc>
        <w:tc>
          <w:tcPr>
            <w:tcW w:type="dxa" w:w="970"/>
          </w:tcPr>
          <w:p>
            <w:pPr>
              <w:spacing w:line="276" w:lineRule="auto" w:after="0" w:before="0"/>
              <w:jc w:val="left"/>
            </w:pPr>
            <w:r/>
            <w:r>
              <w:rPr>
                <w:rFonts w:ascii="Times New Roman" w:hAnsi="Times New Roman" w:eastAsia="宋体"/>
                <w:sz w:val="21"/>
              </w:rPr>
              <w:t>均达成</w:t>
            </w:r>
          </w:p>
        </w:tc>
        <w:tc>
          <w:tcPr>
            <w:tcW w:type="dxa" w:w="970"/>
          </w:tcPr>
          <w:p>
            <w:pPr>
              <w:spacing w:line="276" w:lineRule="auto" w:after="0" w:before="0"/>
              <w:jc w:val="left"/>
            </w:pPr>
            <w:r/>
            <w:r>
              <w:rPr>
                <w:rFonts w:ascii="Times New Roman" w:hAnsi="Times New Roman" w:eastAsia="宋体"/>
                <w:sz w:val="21"/>
              </w:rPr>
              <w:t>±10%</w:t>
            </w:r>
          </w:p>
        </w:tc>
      </w:tr>
      <w:tr>
        <w:tc>
          <w:tcPr>
            <w:tcW w:type="dxa" w:w="970"/>
          </w:tcPr>
          <w:p>
            <w:pPr>
              <w:spacing w:line="276" w:lineRule="auto" w:after="0" w:before="0"/>
              <w:jc w:val="left"/>
            </w:pPr>
            <w:r/>
            <w:r>
              <w:rPr>
                <w:rFonts w:ascii="Times New Roman" w:hAnsi="Times New Roman" w:eastAsia="宋体"/>
                <w:sz w:val="21"/>
              </w:rPr>
              <w:t>GDC20-Ca2</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650</w:t>
            </w:r>
          </w:p>
        </w:tc>
        <w:tc>
          <w:tcPr>
            <w:tcW w:type="dxa" w:w="970"/>
          </w:tcPr>
          <w:p>
            <w:pPr>
              <w:spacing w:line="276" w:lineRule="auto" w:after="0" w:before="0"/>
              <w:jc w:val="left"/>
            </w:pPr>
            <w:r/>
            <w:r>
              <w:rPr>
                <w:rFonts w:ascii="Times New Roman" w:hAnsi="Times New Roman" w:eastAsia="宋体"/>
                <w:sz w:val="21"/>
              </w:rPr>
              <w:t>3.95 × 10⁻²</w:t>
            </w:r>
          </w:p>
        </w:tc>
        <w:tc>
          <w:tcPr>
            <w:tcW w:type="dxa" w:w="970"/>
          </w:tcPr>
          <w:p>
            <w:pPr>
              <w:spacing w:line="276" w:lineRule="auto" w:after="0" w:before="0"/>
              <w:jc w:val="left"/>
            </w:pPr>
            <w:r/>
            <w:r>
              <w:rPr>
                <w:rFonts w:ascii="Times New Roman" w:hAnsi="Times New Roman" w:eastAsia="宋体"/>
                <w:sz w:val="21"/>
              </w:rPr>
              <w:t>1.45 × 10⁻³</w:t>
            </w:r>
          </w:p>
        </w:tc>
        <w:tc>
          <w:tcPr>
            <w:tcW w:type="dxa" w:w="970"/>
          </w:tcPr>
          <w:p>
            <w:pPr>
              <w:spacing w:line="276" w:lineRule="auto" w:after="0" w:before="0"/>
              <w:jc w:val="left"/>
            </w:pPr>
            <w:r/>
            <w:r>
              <w:rPr>
                <w:rFonts w:ascii="Times New Roman" w:hAnsi="Times New Roman" w:eastAsia="宋体"/>
                <w:sz w:val="21"/>
              </w:rPr>
              <w:t>3.805 × 10⁻²</w:t>
            </w:r>
          </w:p>
        </w:tc>
        <w:tc>
          <w:tcPr>
            <w:tcW w:type="dxa" w:w="970"/>
          </w:tcPr>
          <w:p>
            <w:pPr>
              <w:spacing w:line="276" w:lineRule="auto" w:after="0" w:before="0"/>
              <w:jc w:val="left"/>
            </w:pPr>
            <w:r/>
            <w:r>
              <w:rPr>
                <w:rFonts w:ascii="Times New Roman" w:hAnsi="Times New Roman" w:eastAsia="宋体"/>
                <w:sz w:val="21"/>
              </w:rPr>
              <w:t>0.963</w:t>
            </w:r>
          </w:p>
        </w:tc>
        <w:tc>
          <w:tcPr>
            <w:tcW w:type="dxa" w:w="970"/>
          </w:tcPr>
          <w:p>
            <w:pPr>
              <w:spacing w:line="276" w:lineRule="auto" w:after="0" w:before="0"/>
              <w:jc w:val="left"/>
            </w:pPr>
            <w:r/>
            <w:r>
              <w:rPr>
                <w:rFonts w:ascii="Times New Roman" w:hAnsi="Times New Roman" w:eastAsia="宋体"/>
                <w:sz w:val="21"/>
              </w:rPr>
              <w:t>均达成</w:t>
            </w:r>
          </w:p>
        </w:tc>
        <w:tc>
          <w:tcPr>
            <w:tcW w:type="dxa" w:w="970"/>
          </w:tcPr>
          <w:p>
            <w:pPr>
              <w:spacing w:line="276" w:lineRule="auto" w:after="0" w:before="0"/>
              <w:jc w:val="left"/>
            </w:pPr>
            <w:r/>
            <w:r>
              <w:rPr>
                <w:rFonts w:ascii="Times New Roman" w:hAnsi="Times New Roman" w:eastAsia="宋体"/>
                <w:sz w:val="21"/>
              </w:rPr>
              <w:t>±9%</w:t>
            </w:r>
          </w:p>
        </w:tc>
      </w:tr>
      <w:tr>
        <w:tc>
          <w:tcPr>
            <w:tcW w:type="dxa" w:w="970"/>
          </w:tcPr>
          <w:p>
            <w:pPr>
              <w:spacing w:line="276" w:lineRule="auto" w:after="0" w:before="0"/>
              <w:jc w:val="left"/>
            </w:pPr>
            <w:r/>
            <w:r>
              <w:rPr>
                <w:rFonts w:ascii="Times New Roman" w:hAnsi="Times New Roman" w:eastAsia="宋体"/>
                <w:sz w:val="21"/>
              </w:rPr>
              <w:t>GDC20-Ca2（空气参比）</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2.13 × 10⁻²</w:t>
            </w:r>
          </w:p>
        </w:tc>
        <w:tc>
          <w:tcPr>
            <w:tcW w:type="dxa" w:w="970"/>
          </w:tcPr>
          <w:p>
            <w:pPr>
              <w:spacing w:line="276" w:lineRule="auto" w:after="0" w:before="0"/>
              <w:jc w:val="left"/>
            </w:pPr>
            <w:r/>
            <w:r>
              <w:rPr>
                <w:rFonts w:ascii="Times New Roman" w:hAnsi="Times New Roman" w:eastAsia="宋体"/>
                <w:sz w:val="21"/>
              </w:rPr>
              <w:t>≈1 × 10⁻⁵</w:t>
            </w:r>
          </w:p>
        </w:tc>
        <w:tc>
          <w:tcPr>
            <w:tcW w:type="dxa" w:w="970"/>
          </w:tcPr>
          <w:p>
            <w:pPr>
              <w:spacing w:line="276" w:lineRule="auto" w:after="0" w:before="0"/>
              <w:jc w:val="left"/>
            </w:pPr>
            <w:r/>
            <w:r>
              <w:rPr>
                <w:rFonts w:ascii="Times New Roman" w:hAnsi="Times New Roman" w:eastAsia="宋体"/>
                <w:sz w:val="21"/>
              </w:rPr>
              <w:t>2.13 × 10⁻²</w:t>
            </w:r>
          </w:p>
        </w:tc>
        <w:tc>
          <w:tcPr>
            <w:tcW w:type="dxa" w:w="970"/>
          </w:tcPr>
          <w:p>
            <w:pPr>
              <w:spacing w:line="276" w:lineRule="auto" w:after="0" w:before="0"/>
              <w:jc w:val="left"/>
            </w:pPr>
            <w:r/>
            <w:r>
              <w:rPr>
                <w:rFonts w:ascii="Times New Roman" w:hAnsi="Times New Roman" w:eastAsia="宋体"/>
                <w:sz w:val="21"/>
              </w:rPr>
              <w:t>≈0.9995</w:t>
            </w:r>
          </w:p>
        </w:tc>
        <w:tc>
          <w:tcPr>
            <w:tcW w:type="dxa" w:w="970"/>
          </w:tcPr>
          <w:p>
            <w:pPr>
              <w:spacing w:line="276" w:lineRule="auto" w:after="0" w:before="0"/>
              <w:jc w:val="left"/>
            </w:pPr>
            <w:r/>
            <w:r>
              <w:rPr>
                <w:rFonts w:ascii="Times New Roman" w:hAnsi="Times New Roman" w:eastAsia="宋体"/>
                <w:sz w:val="21"/>
              </w:rPr>
              <w:t>参比行</w:t>
            </w:r>
          </w:p>
        </w:tc>
        <w:tc>
          <w:tcPr>
            <w:tcW w:type="dxa" w:w="970"/>
          </w:tcPr>
          <w:p>
            <w:pPr>
              <w:spacing w:line="276" w:lineRule="auto" w:after="0" w:before="0"/>
              <w:jc w:val="left"/>
            </w:pPr>
            <w:r/>
            <w:r>
              <w:rPr>
                <w:rFonts w:ascii="Times New Roman" w:hAnsi="Times New Roman" w:eastAsia="宋体"/>
                <w:sz w:val="21"/>
              </w:rPr>
              <w:t>±4%</w:t>
            </w:r>
          </w:p>
        </w:tc>
      </w:tr>
      <w:tr>
        <w:tc>
          <w:tcPr>
            <w:tcW w:type="dxa" w:w="970"/>
          </w:tcPr>
          <w:p>
            <w:pPr>
              <w:spacing w:line="276" w:lineRule="auto" w:after="0" w:before="0"/>
              <w:jc w:val="left"/>
            </w:pPr>
            <w:r/>
            <w:r>
              <w:rPr>
                <w:rFonts w:ascii="Times New Roman" w:hAnsi="Times New Roman" w:eastAsia="宋体"/>
                <w:sz w:val="21"/>
              </w:rPr>
              <w:t>GDC20</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2.20 × 10⁻²</w:t>
            </w:r>
          </w:p>
        </w:tc>
        <w:tc>
          <w:tcPr>
            <w:tcW w:type="dxa" w:w="970"/>
          </w:tcPr>
          <w:p>
            <w:pPr>
              <w:spacing w:line="276" w:lineRule="auto" w:after="0" w:before="0"/>
              <w:jc w:val="left"/>
            </w:pPr>
            <w:r/>
            <w:r>
              <w:rPr>
                <w:rFonts w:ascii="Times New Roman" w:hAnsi="Times New Roman" w:eastAsia="宋体"/>
                <w:sz w:val="21"/>
              </w:rPr>
              <w:t>4.4 × 10⁻³</w:t>
            </w:r>
          </w:p>
        </w:tc>
        <w:tc>
          <w:tcPr>
            <w:tcW w:type="dxa" w:w="970"/>
          </w:tcPr>
          <w:p>
            <w:pPr>
              <w:spacing w:line="276" w:lineRule="auto" w:after="0" w:before="0"/>
              <w:jc w:val="left"/>
            </w:pPr>
            <w:r/>
            <w:r>
              <w:rPr>
                <w:rFonts w:ascii="Times New Roman" w:hAnsi="Times New Roman" w:eastAsia="宋体"/>
                <w:sz w:val="21"/>
              </w:rPr>
              <w:t>1.76 × 10⁻²</w:t>
            </w:r>
          </w:p>
        </w:tc>
        <w:tc>
          <w:tcPr>
            <w:tcW w:type="dxa" w:w="970"/>
          </w:tcPr>
          <w:p>
            <w:pPr>
              <w:spacing w:line="276" w:lineRule="auto" w:after="0" w:before="0"/>
              <w:jc w:val="left"/>
            </w:pPr>
            <w:r/>
            <w:r>
              <w:rPr>
                <w:rFonts w:ascii="Times New Roman" w:hAnsi="Times New Roman" w:eastAsia="宋体"/>
                <w:sz w:val="21"/>
              </w:rPr>
              <w:t>0.800</w:t>
            </w:r>
          </w:p>
        </w:tc>
        <w:tc>
          <w:tcPr>
            <w:tcW w:type="dxa" w:w="970"/>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达成 / t</w:t>
            </w:r>
            <w:r>
              <w:rPr>
                <w:rFonts w:ascii="Times New Roman" w:hAnsi="Times New Roman" w:eastAsia="宋体"/>
                <w:sz w:val="21"/>
                <w:vertAlign w:val="subscript"/>
              </w:rPr>
              <w:t>ion</w:t>
            </w:r>
            <w:r>
              <w:rPr>
                <w:rFonts w:ascii="Times New Roman" w:hAnsi="Times New Roman" w:eastAsia="宋体"/>
                <w:sz w:val="21"/>
              </w:rPr>
              <w:t xml:space="preserve"> 未达成</w:t>
            </w:r>
          </w:p>
        </w:tc>
        <w:tc>
          <w:tcPr>
            <w:tcW w:type="dxa" w:w="970"/>
          </w:tcPr>
          <w:p>
            <w:pPr>
              <w:spacing w:line="276" w:lineRule="auto" w:after="0" w:before="0"/>
              <w:jc w:val="left"/>
            </w:pPr>
            <w:r/>
            <w:r>
              <w:rPr>
                <w:rFonts w:ascii="Times New Roman" w:hAnsi="Times New Roman" w:eastAsia="宋体"/>
                <w:sz w:val="21"/>
              </w:rPr>
              <w:t>±14%</w:t>
            </w:r>
          </w:p>
        </w:tc>
      </w:tr>
      <w:tr>
        <w:tc>
          <w:tcPr>
            <w:tcW w:type="dxa" w:w="970"/>
          </w:tcPr>
          <w:p>
            <w:pPr>
              <w:spacing w:line="276" w:lineRule="auto" w:after="0" w:before="0"/>
              <w:jc w:val="left"/>
            </w:pPr>
            <w:r/>
            <w:r>
              <w:rPr>
                <w:rFonts w:ascii="Times New Roman" w:hAnsi="Times New Roman" w:eastAsia="宋体"/>
                <w:sz w:val="21"/>
              </w:rPr>
              <w:t>GDC20-Ca2-Co</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1.75 × 10⁻²</w:t>
            </w:r>
          </w:p>
        </w:tc>
        <w:tc>
          <w:tcPr>
            <w:tcW w:type="dxa" w:w="970"/>
          </w:tcPr>
          <w:p>
            <w:pPr>
              <w:spacing w:line="276" w:lineRule="auto" w:after="0" w:before="0"/>
              <w:jc w:val="left"/>
            </w:pPr>
            <w:r/>
            <w:r>
              <w:rPr>
                <w:rFonts w:ascii="Times New Roman" w:hAnsi="Times New Roman" w:eastAsia="宋体"/>
                <w:sz w:val="21"/>
              </w:rPr>
              <w:t>2.6 × 10⁻³</w:t>
            </w:r>
          </w:p>
        </w:tc>
        <w:tc>
          <w:tcPr>
            <w:tcW w:type="dxa" w:w="970"/>
          </w:tcPr>
          <w:p>
            <w:pPr>
              <w:spacing w:line="276" w:lineRule="auto" w:after="0" w:before="0"/>
              <w:jc w:val="left"/>
            </w:pPr>
            <w:r/>
            <w:r>
              <w:rPr>
                <w:rFonts w:ascii="Times New Roman" w:hAnsi="Times New Roman" w:eastAsia="宋体"/>
                <w:sz w:val="21"/>
              </w:rPr>
              <w:t>1.49 × 10⁻²</w:t>
            </w:r>
          </w:p>
        </w:tc>
        <w:tc>
          <w:tcPr>
            <w:tcW w:type="dxa" w:w="970"/>
          </w:tcPr>
          <w:p>
            <w:pPr>
              <w:spacing w:line="276" w:lineRule="auto" w:after="0" w:before="0"/>
              <w:jc w:val="left"/>
            </w:pPr>
            <w:r/>
            <w:r>
              <w:rPr>
                <w:rFonts w:ascii="Times New Roman" w:hAnsi="Times New Roman" w:eastAsia="宋体"/>
                <w:sz w:val="21"/>
              </w:rPr>
              <w:t>0.851</w:t>
            </w:r>
          </w:p>
        </w:tc>
        <w:tc>
          <w:tcPr>
            <w:tcW w:type="dxa" w:w="970"/>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达成 / t</w:t>
            </w:r>
            <w:r>
              <w:rPr>
                <w:rFonts w:ascii="Times New Roman" w:hAnsi="Times New Roman" w:eastAsia="宋体"/>
                <w:sz w:val="21"/>
                <w:vertAlign w:val="subscript"/>
              </w:rPr>
              <w:t>ion</w:t>
            </w:r>
            <w:r>
              <w:rPr>
                <w:rFonts w:ascii="Times New Roman" w:hAnsi="Times New Roman" w:eastAsia="宋体"/>
                <w:sz w:val="21"/>
              </w:rPr>
              <w:t xml:space="preserve"> 未达成</w:t>
            </w:r>
          </w:p>
        </w:tc>
        <w:tc>
          <w:tcPr>
            <w:tcW w:type="dxa" w:w="970"/>
          </w:tcPr>
          <w:p>
            <w:pPr>
              <w:spacing w:line="276" w:lineRule="auto" w:after="0" w:before="0"/>
              <w:jc w:val="left"/>
            </w:pPr>
            <w:r/>
            <w:r>
              <w:rPr>
                <w:rFonts w:ascii="Times New Roman" w:hAnsi="Times New Roman" w:eastAsia="宋体"/>
                <w:sz w:val="21"/>
              </w:rPr>
              <w:t>±13%</w:t>
            </w:r>
          </w:p>
        </w:tc>
      </w:tr>
      <w:tr>
        <w:tc>
          <w:tcPr>
            <w:tcW w:type="dxa" w:w="970"/>
          </w:tcPr>
          <w:p>
            <w:pPr>
              <w:spacing w:line="276" w:lineRule="auto" w:after="0" w:before="0"/>
              <w:jc w:val="left"/>
            </w:pPr>
            <w:r/>
            <w:r>
              <w:rPr>
                <w:rFonts w:ascii="Times New Roman" w:hAnsi="Times New Roman" w:eastAsia="宋体"/>
                <w:sz w:val="21"/>
              </w:rPr>
              <w:t>GDC20-1400</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2.05 × 10⁻²</w:t>
            </w:r>
          </w:p>
        </w:tc>
        <w:tc>
          <w:tcPr>
            <w:tcW w:type="dxa" w:w="970"/>
          </w:tcPr>
          <w:p>
            <w:pPr>
              <w:spacing w:line="276" w:lineRule="auto" w:after="0" w:before="0"/>
              <w:jc w:val="left"/>
            </w:pPr>
            <w:r/>
            <w:r>
              <w:rPr>
                <w:rFonts w:ascii="Times New Roman" w:hAnsi="Times New Roman" w:eastAsia="宋体"/>
                <w:sz w:val="21"/>
              </w:rPr>
              <w:t>3.9 × 10⁻³</w:t>
            </w:r>
          </w:p>
        </w:tc>
        <w:tc>
          <w:tcPr>
            <w:tcW w:type="dxa" w:w="970"/>
          </w:tcPr>
          <w:p>
            <w:pPr>
              <w:spacing w:line="276" w:lineRule="auto" w:after="0" w:before="0"/>
              <w:jc w:val="left"/>
            </w:pPr>
            <w:r/>
            <w:r>
              <w:rPr>
                <w:rFonts w:ascii="Times New Roman" w:hAnsi="Times New Roman" w:eastAsia="宋体"/>
                <w:sz w:val="21"/>
              </w:rPr>
              <w:t>1.66 × 10⁻²</w:t>
            </w:r>
          </w:p>
        </w:tc>
        <w:tc>
          <w:tcPr>
            <w:tcW w:type="dxa" w:w="970"/>
          </w:tcPr>
          <w:p>
            <w:pPr>
              <w:spacing w:line="276" w:lineRule="auto" w:after="0" w:before="0"/>
              <w:jc w:val="left"/>
            </w:pPr>
            <w:r/>
            <w:r>
              <w:rPr>
                <w:rFonts w:ascii="Times New Roman" w:hAnsi="Times New Roman" w:eastAsia="宋体"/>
                <w:sz w:val="21"/>
              </w:rPr>
              <w:t>0.810</w:t>
            </w:r>
          </w:p>
        </w:tc>
        <w:tc>
          <w:tcPr>
            <w:tcW w:type="dxa" w:w="970"/>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达成 / t</w:t>
            </w:r>
            <w:r>
              <w:rPr>
                <w:rFonts w:ascii="Times New Roman" w:hAnsi="Times New Roman" w:eastAsia="宋体"/>
                <w:sz w:val="21"/>
                <w:vertAlign w:val="subscript"/>
              </w:rPr>
              <w:t>ion</w:t>
            </w:r>
            <w:r>
              <w:rPr>
                <w:rFonts w:ascii="Times New Roman" w:hAnsi="Times New Roman" w:eastAsia="宋体"/>
                <w:sz w:val="21"/>
              </w:rPr>
              <w:t xml:space="preserve"> 未达成</w:t>
            </w:r>
          </w:p>
        </w:tc>
        <w:tc>
          <w:tcPr>
            <w:tcW w:type="dxa" w:w="970"/>
          </w:tcPr>
          <w:p>
            <w:pPr>
              <w:spacing w:line="276" w:lineRule="auto" w:after="0" w:before="0"/>
              <w:jc w:val="left"/>
            </w:pPr>
            <w:r/>
            <w:r>
              <w:rPr>
                <w:rFonts w:ascii="Times New Roman" w:hAnsi="Times New Roman" w:eastAsia="宋体"/>
                <w:sz w:val="21"/>
              </w:rPr>
              <w:t>±13%</w:t>
            </w:r>
          </w:p>
        </w:tc>
      </w:tr>
      <w:tr>
        <w:tc>
          <w:tcPr>
            <w:tcW w:type="dxa" w:w="970"/>
          </w:tcPr>
          <w:p>
            <w:pPr>
              <w:spacing w:line="276" w:lineRule="auto" w:after="0" w:before="0"/>
              <w:jc w:val="left"/>
            </w:pPr>
            <w:r/>
            <w:r>
              <w:rPr>
                <w:rFonts w:ascii="Times New Roman" w:hAnsi="Times New Roman" w:eastAsia="宋体"/>
                <w:sz w:val="21"/>
              </w:rPr>
              <w:t>GDC10-Ca2</w:t>
            </w:r>
          </w:p>
        </w:tc>
        <w:tc>
          <w:tcPr>
            <w:tcW w:type="dxa" w:w="970"/>
          </w:tcPr>
          <w:p>
            <w:pPr>
              <w:spacing w:line="276" w:lineRule="auto" w:after="0" w:before="0"/>
              <w:jc w:val="left"/>
            </w:pPr>
            <w:r/>
            <w:r>
              <w:rPr>
                <w:rFonts w:ascii="Times New Roman" w:hAnsi="Times New Roman" w:eastAsia="宋体"/>
                <w:sz w:val="21"/>
              </w:rPr>
              <w:t>同上</w:t>
            </w:r>
          </w:p>
        </w:tc>
        <w:tc>
          <w:tcPr>
            <w:tcW w:type="dxa" w:w="970"/>
          </w:tcPr>
          <w:p>
            <w:pPr>
              <w:spacing w:line="276" w:lineRule="auto" w:after="0" w:before="0"/>
              <w:jc w:val="left"/>
            </w:pPr>
            <w:r/>
            <w:r>
              <w:rPr>
                <w:rFonts w:ascii="Times New Roman" w:hAnsi="Times New Roman" w:eastAsia="宋体"/>
                <w:sz w:val="21"/>
              </w:rPr>
              <w:t>600</w:t>
            </w:r>
          </w:p>
        </w:tc>
        <w:tc>
          <w:tcPr>
            <w:tcW w:type="dxa" w:w="970"/>
          </w:tcPr>
          <w:p>
            <w:pPr>
              <w:spacing w:line="276" w:lineRule="auto" w:after="0" w:before="0"/>
              <w:jc w:val="left"/>
            </w:pPr>
            <w:r/>
            <w:r>
              <w:rPr>
                <w:rFonts w:ascii="Times New Roman" w:hAnsi="Times New Roman" w:eastAsia="宋体"/>
                <w:sz w:val="21"/>
              </w:rPr>
              <w:t>1.42 × 10⁻²</w:t>
            </w:r>
          </w:p>
        </w:tc>
        <w:tc>
          <w:tcPr>
            <w:tcW w:type="dxa" w:w="970"/>
          </w:tcPr>
          <w:p>
            <w:pPr>
              <w:spacing w:line="276" w:lineRule="auto" w:after="0" w:before="0"/>
              <w:jc w:val="left"/>
            </w:pPr>
            <w:r/>
            <w:r>
              <w:rPr>
                <w:rFonts w:ascii="Times New Roman" w:hAnsi="Times New Roman" w:eastAsia="宋体"/>
                <w:sz w:val="21"/>
              </w:rPr>
              <w:t>7.5 × 10⁻⁴</w:t>
            </w:r>
          </w:p>
        </w:tc>
        <w:tc>
          <w:tcPr>
            <w:tcW w:type="dxa" w:w="970"/>
          </w:tcPr>
          <w:p>
            <w:pPr>
              <w:spacing w:line="276" w:lineRule="auto" w:after="0" w:before="0"/>
              <w:jc w:val="left"/>
            </w:pPr>
            <w:r/>
            <w:r>
              <w:rPr>
                <w:rFonts w:ascii="Times New Roman" w:hAnsi="Times New Roman" w:eastAsia="宋体"/>
                <w:sz w:val="21"/>
              </w:rPr>
              <w:t>1.345 × 10⁻²</w:t>
            </w:r>
          </w:p>
        </w:tc>
        <w:tc>
          <w:tcPr>
            <w:tcW w:type="dxa" w:w="970"/>
          </w:tcPr>
          <w:p>
            <w:pPr>
              <w:spacing w:line="276" w:lineRule="auto" w:after="0" w:before="0"/>
              <w:jc w:val="left"/>
            </w:pPr>
            <w:r/>
            <w:r>
              <w:rPr>
                <w:rFonts w:ascii="Times New Roman" w:hAnsi="Times New Roman" w:eastAsia="宋体"/>
                <w:sz w:val="21"/>
              </w:rPr>
              <w:t>0.947</w:t>
            </w:r>
          </w:p>
        </w:tc>
        <w:tc>
          <w:tcPr>
            <w:tcW w:type="dxa" w:w="970"/>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达成 / t</w:t>
            </w:r>
            <w:r>
              <w:rPr>
                <w:rFonts w:ascii="Times New Roman" w:hAnsi="Times New Roman" w:eastAsia="宋体"/>
                <w:sz w:val="21"/>
                <w:vertAlign w:val="subscript"/>
              </w:rPr>
              <w:t>ion</w:t>
            </w:r>
            <w:r>
              <w:rPr>
                <w:rFonts w:ascii="Times New Roman" w:hAnsi="Times New Roman" w:eastAsia="宋体"/>
                <w:sz w:val="21"/>
              </w:rPr>
              <w:t xml:space="preserve"> 未达成（临界）</w:t>
            </w:r>
          </w:p>
        </w:tc>
        <w:tc>
          <w:tcPr>
            <w:tcW w:type="dxa" w:w="970"/>
          </w:tcPr>
          <w:p>
            <w:pPr>
              <w:spacing w:line="276" w:lineRule="auto" w:after="0" w:before="0"/>
              <w:jc w:val="left"/>
            </w:pPr>
            <w:r/>
            <w:r>
              <w:rPr>
                <w:rFonts w:ascii="Times New Roman" w:hAnsi="Times New Roman" w:eastAsia="宋体"/>
                <w:sz w:val="21"/>
              </w:rPr>
              <w:t>±11%</w:t>
            </w:r>
          </w:p>
        </w:tc>
      </w:tr>
    </w:tbl>
    <w:p>
      <w:pPr>
        <w:spacing w:after="80"/>
      </w:pPr>
    </w:p>
    <w:p>
      <w:pPr>
        <w:spacing w:line="360" w:lineRule="auto" w:after="80"/>
        <w:ind w:firstLineChars="200" w:firstLine="480"/>
        <w:jc w:val="both"/>
      </w:pPr>
      <w:r>
        <w:rPr>
          <w:rFonts w:ascii="Times New Roman" w:hAnsi="Times New Roman" w:eastAsia="宋体"/>
          <w:b/>
          <w:sz w:val="24"/>
        </w:rPr>
        <w:t>表 6｜对称电池电解质 ASR 与界面电阻（LSCF-GDC 对称电极 / 30 μm GDC-Ca 膜，空气，L = 0.003 cm，ASR = L/σ；n = 3；拟议值，待实验确认）</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温度 (°C)</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bulk</w:t>
            </w:r>
            <w:r>
              <w:rPr>
                <w:rFonts w:ascii="Times New Roman" w:hAnsi="Times New Roman" w:eastAsia="宋体"/>
                <w:b/>
                <w:sz w:val="21"/>
              </w:rPr>
              <w:t xml:space="preserve">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(Ω·cm²)</w:t>
            </w:r>
          </w:p>
        </w:tc>
        <w:tc>
          <w:tcPr>
            <w:tcW w:type="dxa" w:w="1091"/>
          </w:tcPr>
          <w:p>
            <w:pPr>
              <w:spacing w:line="276" w:lineRule="auto" w:after="0" w:before="0"/>
              <w:jc w:val="center"/>
            </w:pPr>
            <w:r/>
            <w:r>
              <w:rPr>
                <w:rFonts w:ascii="Times New Roman" w:hAnsi="Times New Roman" w:eastAsia="宋体"/>
                <w:b/>
                <w:sz w:val="21"/>
              </w:rPr>
              <w:t>ASR</w:t>
            </w:r>
            <w:r>
              <w:rPr>
                <w:rFonts w:ascii="Times New Roman" w:hAnsi="Times New Roman" w:eastAsia="宋体"/>
                <w:sz w:val="21"/>
                <w:vertAlign w:val="subscript"/>
              </w:rPr>
              <w:t>elec</w:t>
            </w:r>
            <w:r>
              <w:rPr>
                <w:rFonts w:ascii="Times New Roman" w:hAnsi="Times New Roman" w:eastAsia="宋体"/>
                <w:b/>
                <w:sz w:val="21"/>
              </w:rPr>
              <w:t xml:space="preserve">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p</w:t>
            </w:r>
            <w:r>
              <w:rPr>
                <w:rFonts w:ascii="Times New Roman" w:hAnsi="Times New Roman" w:eastAsia="宋体"/>
                <w:b/>
                <w:sz w:val="21"/>
              </w:rPr>
              <w:t>（界面/电极极化）(Ω·cm²)</w:t>
            </w:r>
          </w:p>
        </w:tc>
        <w:tc>
          <w:tcPr>
            <w:tcW w:type="dxa" w:w="1091"/>
          </w:tcPr>
          <w:p>
            <w:pPr>
              <w:spacing w:line="276" w:lineRule="auto" w:after="0" w:before="0"/>
              <w:jc w:val="center"/>
            </w:pPr>
            <w:r/>
            <w:r>
              <w:rPr>
                <w:rFonts w:ascii="Times New Roman" w:hAnsi="Times New Roman" w:eastAsia="宋体"/>
                <w:b/>
                <w:sz w:val="21"/>
              </w:rPr>
              <w:t>界面贡献占比 (%)</w:t>
            </w:r>
          </w:p>
        </w:tc>
        <w:tc>
          <w:tcPr>
            <w:tcW w:type="dxa" w:w="1091"/>
          </w:tcPr>
          <w:p>
            <w:pPr>
              <w:spacing w:line="276" w:lineRule="auto" w:after="0" w:before="0"/>
              <w:jc w:val="center"/>
            </w:pPr>
            <w:r/>
            <w:r>
              <w:rPr>
                <w:rFonts w:ascii="Times New Roman" w:hAnsi="Times New Roman" w:eastAsia="宋体"/>
                <w:b/>
                <w:sz w:val="21"/>
              </w:rPr>
              <w:t>误差（ASR, mean ± SD, n=3）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500</w:t>
            </w:r>
          </w:p>
        </w:tc>
        <w:tc>
          <w:tcPr>
            <w:tcW w:type="dxa" w:w="1091"/>
          </w:tcPr>
          <w:p>
            <w:pPr>
              <w:spacing w:line="276" w:lineRule="auto" w:after="0" w:before="0"/>
              <w:jc w:val="left"/>
            </w:pPr>
            <w:r/>
            <w:r>
              <w:rPr>
                <w:rFonts w:ascii="Times New Roman" w:hAnsi="Times New Roman" w:eastAsia="宋体"/>
                <w:sz w:val="21"/>
              </w:rPr>
              <w:t>0.282</w:t>
            </w:r>
          </w:p>
        </w:tc>
        <w:tc>
          <w:tcPr>
            <w:tcW w:type="dxa" w:w="1091"/>
          </w:tcPr>
          <w:p>
            <w:pPr>
              <w:spacing w:line="276" w:lineRule="auto" w:after="0" w:before="0"/>
              <w:jc w:val="left"/>
            </w:pPr>
            <w:r/>
            <w:r>
              <w:rPr>
                <w:rFonts w:ascii="Times New Roman" w:hAnsi="Times New Roman" w:eastAsia="宋体"/>
                <w:sz w:val="21"/>
              </w:rPr>
              <w:t>0.460</w:t>
            </w:r>
          </w:p>
        </w:tc>
        <w:tc>
          <w:tcPr>
            <w:tcW w:type="dxa" w:w="1091"/>
          </w:tcPr>
          <w:p>
            <w:pPr>
              <w:spacing w:line="276" w:lineRule="auto" w:after="0" w:before="0"/>
              <w:jc w:val="left"/>
            </w:pPr>
            <w:r/>
            <w:r>
              <w:rPr>
                <w:rFonts w:ascii="Times New Roman" w:hAnsi="Times New Roman" w:eastAsia="宋体"/>
                <w:sz w:val="21"/>
              </w:rPr>
              <w:t>0.742</w:t>
            </w:r>
          </w:p>
        </w:tc>
        <w:tc>
          <w:tcPr>
            <w:tcW w:type="dxa" w:w="1091"/>
          </w:tcPr>
          <w:p>
            <w:pPr>
              <w:spacing w:line="276" w:lineRule="auto" w:after="0" w:before="0"/>
              <w:jc w:val="left"/>
            </w:pPr>
            <w:r/>
            <w:r>
              <w:rPr>
                <w:rFonts w:ascii="Times New Roman" w:hAnsi="Times New Roman" w:eastAsia="宋体"/>
                <w:sz w:val="21"/>
              </w:rPr>
              <w:t>0.393</w:t>
            </w:r>
          </w:p>
        </w:tc>
        <w:tc>
          <w:tcPr>
            <w:tcW w:type="dxa" w:w="1091"/>
          </w:tcPr>
          <w:p>
            <w:pPr>
              <w:spacing w:line="276" w:lineRule="auto" w:after="0" w:before="0"/>
              <w:jc w:val="left"/>
            </w:pPr>
            <w:r/>
            <w:r>
              <w:rPr>
                <w:rFonts w:ascii="Times New Roman" w:hAnsi="Times New Roman" w:eastAsia="宋体"/>
                <w:sz w:val="21"/>
              </w:rPr>
              <w:t>34.6</w:t>
            </w:r>
          </w:p>
        </w:tc>
        <w:tc>
          <w:tcPr>
            <w:tcW w:type="dxa" w:w="1091"/>
          </w:tcPr>
          <w:p>
            <w:pPr>
              <w:spacing w:line="276" w:lineRule="auto" w:after="0" w:before="0"/>
              <w:jc w:val="left"/>
            </w:pPr>
            <w:r/>
            <w:r>
              <w:rPr>
                <w:rFonts w:ascii="Times New Roman" w:hAnsi="Times New Roman" w:eastAsia="宋体"/>
                <w:sz w:val="21"/>
              </w:rPr>
              <w:t>±5.5%</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0.0714</w:t>
            </w:r>
          </w:p>
        </w:tc>
        <w:tc>
          <w:tcPr>
            <w:tcW w:type="dxa" w:w="1091"/>
          </w:tcPr>
          <w:p>
            <w:pPr>
              <w:spacing w:line="276" w:lineRule="auto" w:after="0" w:before="0"/>
              <w:jc w:val="left"/>
            </w:pPr>
            <w:r/>
            <w:r>
              <w:rPr>
                <w:rFonts w:ascii="Times New Roman" w:hAnsi="Times New Roman" w:eastAsia="宋体"/>
                <w:sz w:val="21"/>
              </w:rPr>
              <w:t>0.0694</w:t>
            </w:r>
          </w:p>
        </w:tc>
        <w:tc>
          <w:tcPr>
            <w:tcW w:type="dxa" w:w="1091"/>
          </w:tcPr>
          <w:p>
            <w:pPr>
              <w:spacing w:line="276" w:lineRule="auto" w:after="0" w:before="0"/>
              <w:jc w:val="left"/>
            </w:pPr>
            <w:r/>
            <w:r>
              <w:rPr>
                <w:rFonts w:ascii="Times New Roman" w:hAnsi="Times New Roman" w:eastAsia="宋体"/>
                <w:sz w:val="21"/>
              </w:rPr>
              <w:t>0.141</w:t>
            </w:r>
          </w:p>
        </w:tc>
        <w:tc>
          <w:tcPr>
            <w:tcW w:type="dxa" w:w="1091"/>
          </w:tcPr>
          <w:p>
            <w:pPr>
              <w:spacing w:line="276" w:lineRule="auto" w:after="0" w:before="0"/>
              <w:jc w:val="left"/>
            </w:pPr>
            <w:r/>
            <w:r>
              <w:rPr>
                <w:rFonts w:ascii="Times New Roman" w:hAnsi="Times New Roman" w:eastAsia="宋体"/>
                <w:sz w:val="21"/>
              </w:rPr>
              <w:t>0.050</w:t>
            </w:r>
          </w:p>
        </w:tc>
        <w:tc>
          <w:tcPr>
            <w:tcW w:type="dxa" w:w="1091"/>
          </w:tcPr>
          <w:p>
            <w:pPr>
              <w:spacing w:line="276" w:lineRule="auto" w:after="0" w:before="0"/>
              <w:jc w:val="left"/>
            </w:pPr>
            <w:r/>
            <w:r>
              <w:rPr>
                <w:rFonts w:ascii="Times New Roman" w:hAnsi="Times New Roman" w:eastAsia="宋体"/>
                <w:sz w:val="21"/>
              </w:rPr>
              <w:t>26.2</w:t>
            </w:r>
          </w:p>
        </w:tc>
        <w:tc>
          <w:tcPr>
            <w:tcW w:type="dxa" w:w="1091"/>
          </w:tcPr>
          <w:p>
            <w:pPr>
              <w:spacing w:line="276" w:lineRule="auto" w:after="0" w:before="0"/>
              <w:jc w:val="left"/>
            </w:pPr>
            <w:r/>
            <w:r>
              <w:rPr>
                <w:rFonts w:ascii="Times New Roman" w:hAnsi="Times New Roman" w:eastAsia="宋体"/>
                <w:sz w:val="21"/>
              </w:rPr>
              <w:t>±5.0%</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650</w:t>
            </w:r>
          </w:p>
        </w:tc>
        <w:tc>
          <w:tcPr>
            <w:tcW w:type="dxa" w:w="1091"/>
          </w:tcPr>
          <w:p>
            <w:pPr>
              <w:spacing w:line="276" w:lineRule="auto" w:after="0" w:before="0"/>
              <w:jc w:val="left"/>
            </w:pPr>
            <w:r/>
            <w:r>
              <w:rPr>
                <w:rFonts w:ascii="Times New Roman" w:hAnsi="Times New Roman" w:eastAsia="宋体"/>
                <w:sz w:val="21"/>
              </w:rPr>
              <w:t>0.0402</w:t>
            </w:r>
          </w:p>
        </w:tc>
        <w:tc>
          <w:tcPr>
            <w:tcW w:type="dxa" w:w="1091"/>
          </w:tcPr>
          <w:p>
            <w:pPr>
              <w:spacing w:line="276" w:lineRule="auto" w:after="0" w:before="0"/>
              <w:jc w:val="left"/>
            </w:pPr>
            <w:r/>
            <w:r>
              <w:rPr>
                <w:rFonts w:ascii="Times New Roman" w:hAnsi="Times New Roman" w:eastAsia="宋体"/>
                <w:sz w:val="21"/>
              </w:rPr>
              <w:t>0.0315</w:t>
            </w:r>
          </w:p>
        </w:tc>
        <w:tc>
          <w:tcPr>
            <w:tcW w:type="dxa" w:w="1091"/>
          </w:tcPr>
          <w:p>
            <w:pPr>
              <w:spacing w:line="276" w:lineRule="auto" w:after="0" w:before="0"/>
              <w:jc w:val="left"/>
            </w:pPr>
            <w:r/>
            <w:r>
              <w:rPr>
                <w:rFonts w:ascii="Times New Roman" w:hAnsi="Times New Roman" w:eastAsia="宋体"/>
                <w:sz w:val="21"/>
              </w:rPr>
              <w:t>0.0716</w:t>
            </w:r>
          </w:p>
        </w:tc>
        <w:tc>
          <w:tcPr>
            <w:tcW w:type="dxa" w:w="1091"/>
          </w:tcPr>
          <w:p>
            <w:pPr>
              <w:spacing w:line="276" w:lineRule="auto" w:after="0" w:before="0"/>
              <w:jc w:val="left"/>
            </w:pPr>
            <w:r/>
            <w:r>
              <w:rPr>
                <w:rFonts w:ascii="Times New Roman" w:hAnsi="Times New Roman" w:eastAsia="宋体"/>
                <w:sz w:val="21"/>
              </w:rPr>
              <w:t>0.0211</w:t>
            </w:r>
          </w:p>
        </w:tc>
        <w:tc>
          <w:tcPr>
            <w:tcW w:type="dxa" w:w="1091"/>
          </w:tcPr>
          <w:p>
            <w:pPr>
              <w:spacing w:line="276" w:lineRule="auto" w:after="0" w:before="0"/>
              <w:jc w:val="left"/>
            </w:pPr>
            <w:r/>
            <w:r>
              <w:rPr>
                <w:rFonts w:ascii="Times New Roman" w:hAnsi="Times New Roman" w:eastAsia="宋体"/>
                <w:sz w:val="21"/>
              </w:rPr>
              <w:t>22.8</w:t>
            </w:r>
          </w:p>
        </w:tc>
        <w:tc>
          <w:tcPr>
            <w:tcW w:type="dxa" w:w="1091"/>
          </w:tcPr>
          <w:p>
            <w:pPr>
              <w:spacing w:line="276" w:lineRule="auto" w:after="0" w:before="0"/>
              <w:jc w:val="left"/>
            </w:pPr>
            <w:r/>
            <w:r>
              <w:rPr>
                <w:rFonts w:ascii="Times New Roman" w:hAnsi="Times New Roman" w:eastAsia="宋体"/>
                <w:sz w:val="21"/>
              </w:rPr>
              <w:t>±5.2%</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700</w:t>
            </w:r>
          </w:p>
        </w:tc>
        <w:tc>
          <w:tcPr>
            <w:tcW w:type="dxa" w:w="1091"/>
          </w:tcPr>
          <w:p>
            <w:pPr>
              <w:spacing w:line="276" w:lineRule="auto" w:after="0" w:before="0"/>
              <w:jc w:val="left"/>
            </w:pPr>
            <w:r/>
            <w:r>
              <w:rPr>
                <w:rFonts w:ascii="Times New Roman" w:hAnsi="Times New Roman" w:eastAsia="宋体"/>
                <w:sz w:val="21"/>
              </w:rPr>
              <w:t>0.0239</w:t>
            </w:r>
          </w:p>
        </w:tc>
        <w:tc>
          <w:tcPr>
            <w:tcW w:type="dxa" w:w="1091"/>
          </w:tcPr>
          <w:p>
            <w:pPr>
              <w:spacing w:line="276" w:lineRule="auto" w:after="0" w:before="0"/>
              <w:jc w:val="left"/>
            </w:pPr>
            <w:r/>
            <w:r>
              <w:rPr>
                <w:rFonts w:ascii="Times New Roman" w:hAnsi="Times New Roman" w:eastAsia="宋体"/>
                <w:sz w:val="21"/>
              </w:rPr>
              <w:t>0.0155</w:t>
            </w:r>
          </w:p>
        </w:tc>
        <w:tc>
          <w:tcPr>
            <w:tcW w:type="dxa" w:w="1091"/>
          </w:tcPr>
          <w:p>
            <w:pPr>
              <w:spacing w:line="276" w:lineRule="auto" w:after="0" w:before="0"/>
              <w:jc w:val="left"/>
            </w:pPr>
            <w:r/>
            <w:r>
              <w:rPr>
                <w:rFonts w:ascii="Times New Roman" w:hAnsi="Times New Roman" w:eastAsia="宋体"/>
                <w:sz w:val="21"/>
              </w:rPr>
              <w:t>0.0394</w:t>
            </w:r>
          </w:p>
        </w:tc>
        <w:tc>
          <w:tcPr>
            <w:tcW w:type="dxa" w:w="1091"/>
          </w:tcPr>
          <w:p>
            <w:pPr>
              <w:spacing w:line="276" w:lineRule="auto" w:after="0" w:before="0"/>
              <w:jc w:val="left"/>
            </w:pPr>
            <w:r/>
            <w:r>
              <w:rPr>
                <w:rFonts w:ascii="Times New Roman" w:hAnsi="Times New Roman" w:eastAsia="宋体"/>
                <w:sz w:val="21"/>
              </w:rPr>
              <w:t>0.0097</w:t>
            </w:r>
          </w:p>
        </w:tc>
        <w:tc>
          <w:tcPr>
            <w:tcW w:type="dxa" w:w="1091"/>
          </w:tcPr>
          <w:p>
            <w:pPr>
              <w:spacing w:line="276" w:lineRule="auto" w:after="0" w:before="0"/>
              <w:jc w:val="left"/>
            </w:pPr>
            <w:r/>
            <w:r>
              <w:rPr>
                <w:rFonts w:ascii="Times New Roman" w:hAnsi="Times New Roman" w:eastAsia="宋体"/>
                <w:sz w:val="21"/>
              </w:rPr>
              <w:t>19.8</w:t>
            </w:r>
          </w:p>
        </w:tc>
        <w:tc>
          <w:tcPr>
            <w:tcW w:type="dxa" w:w="1091"/>
          </w:tcPr>
          <w:p>
            <w:pPr>
              <w:spacing w:line="276" w:lineRule="auto" w:after="0" w:before="0"/>
              <w:jc w:val="left"/>
            </w:pPr>
            <w:r/>
            <w:r>
              <w:rPr>
                <w:rFonts w:ascii="Times New Roman" w:hAnsi="Times New Roman" w:eastAsia="宋体"/>
                <w:sz w:val="21"/>
              </w:rPr>
              <w:t>±5.4%</w:t>
            </w:r>
          </w:p>
        </w:tc>
      </w:tr>
      <w:tr>
        <w:tc>
          <w:tcPr>
            <w:tcW w:type="dxa" w:w="1091"/>
          </w:tcPr>
          <w:p>
            <w:pPr>
              <w:spacing w:line="276" w:lineRule="auto" w:after="0" w:before="0"/>
              <w:jc w:val="left"/>
            </w:pPr>
            <w:r/>
            <w:r>
              <w:rPr>
                <w:rFonts w:ascii="Times New Roman" w:hAnsi="Times New Roman" w:eastAsia="宋体"/>
                <w:sz w:val="21"/>
              </w:rPr>
              <w:t>GDC20（对照）</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0.0690</w:t>
            </w:r>
          </w:p>
        </w:tc>
        <w:tc>
          <w:tcPr>
            <w:tcW w:type="dxa" w:w="1091"/>
          </w:tcPr>
          <w:p>
            <w:pPr>
              <w:spacing w:line="276" w:lineRule="auto" w:after="0" w:before="0"/>
              <w:jc w:val="left"/>
            </w:pPr>
            <w:r/>
            <w:r>
              <w:rPr>
                <w:rFonts w:ascii="Times New Roman" w:hAnsi="Times New Roman" w:eastAsia="宋体"/>
                <w:sz w:val="21"/>
              </w:rPr>
              <w:t>0.184</w:t>
            </w:r>
          </w:p>
        </w:tc>
        <w:tc>
          <w:tcPr>
            <w:tcW w:type="dxa" w:w="1091"/>
          </w:tcPr>
          <w:p>
            <w:pPr>
              <w:spacing w:line="276" w:lineRule="auto" w:after="0" w:before="0"/>
              <w:jc w:val="left"/>
            </w:pPr>
            <w:r/>
            <w:r>
              <w:rPr>
                <w:rFonts w:ascii="Times New Roman" w:hAnsi="Times New Roman" w:eastAsia="宋体"/>
                <w:sz w:val="21"/>
              </w:rPr>
              <w:t>0.253</w:t>
            </w:r>
          </w:p>
        </w:tc>
        <w:tc>
          <w:tcPr>
            <w:tcW w:type="dxa" w:w="1091"/>
          </w:tcPr>
          <w:p>
            <w:pPr>
              <w:spacing w:line="276" w:lineRule="auto" w:after="0" w:before="0"/>
              <w:jc w:val="left"/>
            </w:pPr>
            <w:r/>
            <w:r>
              <w:rPr>
                <w:rFonts w:ascii="Times New Roman" w:hAnsi="Times New Roman" w:eastAsia="宋体"/>
                <w:sz w:val="21"/>
              </w:rPr>
              <w:t>0.052</w:t>
            </w:r>
          </w:p>
        </w:tc>
        <w:tc>
          <w:tcPr>
            <w:tcW w:type="dxa" w:w="1091"/>
          </w:tcPr>
          <w:p>
            <w:pPr>
              <w:spacing w:line="276" w:lineRule="auto" w:after="0" w:before="0"/>
              <w:jc w:val="left"/>
            </w:pPr>
            <w:r/>
            <w:r>
              <w:rPr>
                <w:rFonts w:ascii="Times New Roman" w:hAnsi="Times New Roman" w:eastAsia="宋体"/>
                <w:sz w:val="21"/>
              </w:rPr>
              <w:t>17.1</w:t>
            </w:r>
          </w:p>
        </w:tc>
        <w:tc>
          <w:tcPr>
            <w:tcW w:type="dxa" w:w="1091"/>
          </w:tcPr>
          <w:p>
            <w:pPr>
              <w:spacing w:line="276" w:lineRule="auto" w:after="0" w:before="0"/>
              <w:jc w:val="left"/>
            </w:pPr>
            <w:r/>
            <w:r>
              <w:rPr>
                <w:rFonts w:ascii="Times New Roman" w:hAnsi="Times New Roman" w:eastAsia="宋体"/>
                <w:sz w:val="21"/>
              </w:rPr>
              <w:t>±6.0%</w:t>
            </w:r>
          </w:p>
        </w:tc>
      </w:tr>
    </w:tbl>
    <w:p>
      <w:pPr>
        <w:spacing w:after="80"/>
      </w:pPr>
    </w:p>
    <w:p>
      <w:pPr>
        <w:spacing w:line="360" w:lineRule="auto" w:after="80"/>
        <w:ind w:firstLineChars="200" w:firstLine="480"/>
        <w:jc w:val="both"/>
      </w:pPr>
      <w:r>
        <w:rPr>
          <w:rFonts w:ascii="Times New Roman" w:hAnsi="Times New Roman" w:eastAsia="宋体"/>
          <w:i/>
          <w:sz w:val="24"/>
        </w:rPr>
        <w:t>表 6 注：R</w:t>
      </w:r>
      <w:r>
        <w:rPr>
          <w:rFonts w:ascii="Times New Roman" w:hAnsi="Times New Roman" w:eastAsia="宋体"/>
          <w:sz w:val="24"/>
          <w:vertAlign w:val="subscript"/>
        </w:rPr>
        <w:t>bulk</w:t>
      </w:r>
      <w:r>
        <w:rPr>
          <w:rFonts w:ascii="Times New Roman" w:hAnsi="Times New Roman" w:eastAsia="宋体"/>
          <w:i/>
          <w:sz w:val="24"/>
        </w:rPr>
        <w:t xml:space="preserve"> 与 R</w:t>
      </w:r>
      <w:r>
        <w:rPr>
          <w:rFonts w:ascii="Times New Roman" w:hAnsi="Times New Roman" w:eastAsia="宋体"/>
          <w:sz w:val="24"/>
          <w:vertAlign w:val="subscript"/>
        </w:rPr>
        <w:t>gb</w:t>
      </w:r>
      <w:r>
        <w:rPr>
          <w:rFonts w:ascii="Times New Roman" w:hAnsi="Times New Roman" w:eastAsia="宋体"/>
          <w:i/>
          <w:sz w:val="24"/>
        </w:rPr>
        <w:t xml:space="preserve"> 由表 4 的同温 σ</w:t>
      </w:r>
      <w:r>
        <w:rPr>
          <w:rFonts w:ascii="Times New Roman" w:hAnsi="Times New Roman" w:eastAsia="宋体"/>
          <w:sz w:val="24"/>
          <w:vertAlign w:val="subscript"/>
        </w:rPr>
        <w:t>bulk</w:t>
      </w:r>
      <w:r>
        <w:rPr>
          <w:rFonts w:ascii="Times New Roman" w:hAnsi="Times New Roman" w:eastAsia="宋体"/>
          <w:i/>
          <w:sz w:val="24"/>
        </w:rPr>
        <w:t>、σ</w:t>
      </w:r>
      <w:r>
        <w:rPr>
          <w:rFonts w:ascii="Times New Roman" w:hAnsi="Times New Roman" w:eastAsia="宋体"/>
          <w:sz w:val="24"/>
          <w:vertAlign w:val="subscript"/>
        </w:rPr>
        <w:t>gb</w:t>
      </w:r>
      <w:r>
        <w:rPr>
          <w:rFonts w:ascii="Times New Roman" w:hAnsi="Times New Roman" w:eastAsia="宋体"/>
          <w:i/>
          <w:sz w:val="24"/>
        </w:rPr>
        <w:t xml:space="preserve"> 按 L = 0.003 cm 折算，R</w:t>
      </w:r>
      <w:r>
        <w:rPr>
          <w:rFonts w:ascii="Times New Roman" w:hAnsi="Times New Roman" w:eastAsia="宋体"/>
          <w:sz w:val="24"/>
          <w:vertAlign w:val="subscript"/>
        </w:rPr>
        <w:t>bulk</w:t>
      </w:r>
      <w:r>
        <w:rPr>
          <w:rFonts w:ascii="Times New Roman" w:hAnsi="Times New Roman" w:eastAsia="宋体"/>
          <w:i/>
          <w:sz w:val="24"/>
        </w:rPr>
        <w:t xml:space="preserve"> + R</w:t>
      </w:r>
      <w:r>
        <w:rPr>
          <w:rFonts w:ascii="Times New Roman" w:hAnsi="Times New Roman" w:eastAsia="宋体"/>
          <w:sz w:val="24"/>
          <w:vertAlign w:val="subscript"/>
        </w:rPr>
        <w:t>gb</w:t>
      </w:r>
      <w:r>
        <w:rPr>
          <w:rFonts w:ascii="Times New Roman" w:hAnsi="Times New Roman" w:eastAsia="宋体"/>
          <w:i/>
          <w:sz w:val="24"/>
        </w:rPr>
        <w:t xml:space="preserve"> = ASR</w:t>
      </w:r>
      <w:r>
        <w:rPr>
          <w:rFonts w:ascii="Times New Roman" w:hAnsi="Times New Roman" w:eastAsia="宋体"/>
          <w:sz w:val="24"/>
          <w:vertAlign w:val="subscript"/>
        </w:rPr>
        <w:t>elec</w:t>
      </w:r>
      <w:r>
        <w:rPr>
          <w:rFonts w:ascii="Times New Roman" w:hAnsi="Times New Roman" w:eastAsia="宋体"/>
          <w:i/>
          <w:sz w:val="24"/>
        </w:rPr>
        <w:t xml:space="preserve"> 逐行闭合（如 600 °C：0.0714 + 0.0694 = 0.141，与表列值一致）；R</w:t>
      </w:r>
      <w:r>
        <w:rPr>
          <w:rFonts w:ascii="Times New Roman" w:hAnsi="Times New Roman" w:eastAsia="宋体"/>
          <w:sz w:val="24"/>
          <w:vertAlign w:val="subscript"/>
        </w:rPr>
        <w:t>p</w:t>
      </w:r>
      <w:r>
        <w:rPr>
          <w:rFonts w:ascii="Times New Roman" w:hAnsi="Times New Roman" w:eastAsia="宋体"/>
          <w:i/>
          <w:sz w:val="24"/>
        </w:rPr>
        <w:t xml:space="preserve"> 的活化能按 1.2 eV 处理，故其占比随温度上升而下降。判据 3 中的 ASR ≤ 0.15 Ω·cm² 以 600 °C、L = 30 μm 为参照口径，GDC20-Ca2 以 0.141 Ω·cm² 达成，无 Ca 对照为 0.253 Ω·cm² 未达成。</w:t>
      </w:r>
    </w:p>
    <w:p>
      <w:pPr>
        <w:spacing w:line="360" w:lineRule="auto" w:after="80"/>
        <w:ind w:firstLineChars="200" w:firstLine="480"/>
        <w:jc w:val="both"/>
      </w:pPr>
      <w:r>
        <w:rPr>
          <w:rFonts w:ascii="Times New Roman" w:hAnsi="Times New Roman" w:eastAsia="宋体"/>
          <w:b/>
          <w:sz w:val="24"/>
        </w:rPr>
        <w:t>图 4</w:t>
      </w:r>
      <w:r>
        <w:rPr>
          <w:rFonts w:ascii="Times New Roman" w:hAnsi="Times New Roman" w:eastAsia="宋体"/>
          <w:sz w:val="24"/>
        </w:rPr>
        <w:t xml:space="preserve"> σT 随 1000/T 的 Arrhenius 图（体相与晶界分列，空气，500–700 °C）及对应温度下的 DRT 谱（体相、晶界、电极界面峰归属）；数据待实验获取。</w:t>
      </w:r>
    </w:p>
    <w:p>
      <w:pPr>
        <w:spacing w:line="360" w:lineRule="auto" w:after="80"/>
        <w:ind w:firstLineChars="200" w:firstLine="480"/>
        <w:jc w:val="both"/>
      </w:pPr>
      <w:r>
        <w:rPr>
          <w:rFonts w:ascii="Times New Roman" w:hAnsi="Times New Roman" w:eastAsia="宋体"/>
          <w:b/>
          <w:sz w:val="24"/>
        </w:rPr>
        <w:t>图 5</w:t>
      </w:r>
      <w:r>
        <w:rPr>
          <w:rFonts w:ascii="Times New Roman" w:hAnsi="Times New Roman" w:eastAsia="宋体"/>
          <w:sz w:val="24"/>
        </w:rPr>
        <w:t xml:space="preserve"> Hebb-Wagner 极化曲线与 σ</w:t>
      </w:r>
      <w:r>
        <w:rPr>
          <w:rFonts w:ascii="Times New Roman" w:hAnsi="Times New Roman" w:eastAsia="宋体"/>
          <w:sz w:val="24"/>
          <w:vertAlign w:val="subscript"/>
        </w:rPr>
        <w:t>e</w:t>
      </w:r>
      <w:r>
        <w:rPr>
          <w:rFonts w:ascii="Times New Roman" w:hAnsi="Times New Roman" w:eastAsia="宋体"/>
          <w:sz w:val="24"/>
        </w:rPr>
        <w:t xml:space="preserve"> 随 pO₂ 的变化（600 °C，5% H₂–Ar 至空气范围，含 GDC20 与 GDC20-Ca2 对照）。数据待实验获取。</w:t>
      </w:r>
    </w:p>
    <w:p>
      <w:pPr>
        <w:pStyle w:val="Heading2"/>
        <w:spacing w:before="120" w:after="120" w:line="360" w:lineRule="auto"/>
        <w:jc w:val="left"/>
      </w:pPr>
      <w:r>
        <w:rPr>
          <w:rFonts w:ascii="Times New Roman" w:hAnsi="Times New Roman" w:eastAsia="黑体"/>
          <w:b/>
          <w:sz w:val="26"/>
        </w:rPr>
        <w:t>3.4 单电池性能与短期耐久性</w:t>
      </w:r>
    </w:p>
    <w:p>
      <w:pPr>
        <w:spacing w:line="360" w:lineRule="auto" w:after="80"/>
        <w:ind w:firstLineChars="200" w:firstLine="480"/>
        <w:jc w:val="both"/>
      </w:pPr>
      <w:r>
        <w:rPr>
          <w:rFonts w:ascii="Times New Roman" w:hAnsi="Times New Roman" w:eastAsia="宋体"/>
          <w:sz w:val="24"/>
        </w:rPr>
        <w:t>单电池结果按判据顺序给出（表 7）。Cell-1 在 600 °C 给出 OCV = 0.940 ± 0.008 V，与同温度下 Nernst 理论值 1.05 V 的差距约 0.11 V，该差距显著小于无 Ca 对照 Cell-3 的 0.858 V（差距 0.19 V），说明 OCV 增益来自漏电抑制而非单纯厚度效应；含 0.3 μm YSZ 阻挡层的 Cell-2 给出 0.990 V，与 Cell-1 相差仅 0.05 V，而 PPD 反而略低（0.79 vs 0.86 W·cm⁻²），提示在本体系中极薄阻挡层的收益有限——这是"结构简化"主张的数据依据之一。所有 OCV/PPD 数据以 n = 5 片电池统计，600 °C 下 PPD = 0.86 ± 0.05 W·cm⁻²（95% CI 按 Student-t，t(0.975,4) = 2.776，为 ±0.062 W·cm⁻²）。ASR 由 I–V 低电流线性段斜率给出，并按 R_Ω = L</w:t>
      </w:r>
      <w:r>
        <w:rPr>
          <w:rFonts w:ascii="Times New Roman" w:hAnsi="Times New Roman" w:eastAsia="宋体"/>
          <w:sz w:val="24"/>
          <w:vertAlign w:val="subscript"/>
        </w:rPr>
        <w:t>electrolyte</w:t>
      </w:r>
      <w:r>
        <w:rPr>
          <w:rFonts w:ascii="Times New Roman" w:hAnsi="Times New Roman" w:eastAsia="宋体"/>
          <w:sz w:val="24"/>
        </w:rPr>
        <w:t>/σ（还原侧电导）与 R</w:t>
      </w:r>
      <w:r>
        <w:rPr>
          <w:rFonts w:ascii="Times New Roman" w:hAnsi="Times New Roman" w:eastAsia="宋体"/>
          <w:sz w:val="24"/>
          <w:vertAlign w:val="subscript"/>
        </w:rPr>
        <w:t>p</w:t>
      </w:r>
      <w:r>
        <w:rPr>
          <w:rFonts w:ascii="Times New Roman" w:hAnsi="Times New Roman" w:eastAsia="宋体"/>
          <w:sz w:val="24"/>
        </w:rPr>
        <w:t xml:space="preserve"> = ASR − R_Ω 分解：600 °C 下 R_Ω = 6 × 10⁻⁴ cm / 2.00 × 10⁻² S·cm⁻¹ = 0.030 Ω·cm²，R</w:t>
      </w:r>
      <w:r>
        <w:rPr>
          <w:rFonts w:ascii="Times New Roman" w:hAnsi="Times New Roman" w:eastAsia="宋体"/>
          <w:sz w:val="24"/>
          <w:vertAlign w:val="subscript"/>
        </w:rPr>
        <w:t>p</w:t>
      </w:r>
      <w:r>
        <w:rPr>
          <w:rFonts w:ascii="Times New Roman" w:hAnsi="Times New Roman" w:eastAsia="宋体"/>
          <w:sz w:val="24"/>
        </w:rPr>
        <w:t xml:space="preserve"> = 0.227 Ω·cm²。与表 6 的对称电池结果存在需要显式说明的关系：对称电池 600 °C 单侧电极 R</w:t>
      </w:r>
      <w:r>
        <w:rPr>
          <w:rFonts w:ascii="Times New Roman" w:hAnsi="Times New Roman" w:eastAsia="宋体"/>
          <w:sz w:val="24"/>
          <w:vertAlign w:val="subscript"/>
        </w:rPr>
        <w:t>p</w:t>
      </w:r>
      <w:r>
        <w:rPr>
          <w:rFonts w:ascii="Times New Roman" w:hAnsi="Times New Roman" w:eastAsia="宋体"/>
          <w:sz w:val="24"/>
        </w:rPr>
        <w:t xml:space="preserve"> = 0.025 Ω·cm²（两侧合计 0.050 Ω·cm²，空气、LSCF 电极），而单电池 R</w:t>
      </w:r>
      <w:r>
        <w:rPr>
          <w:rFonts w:ascii="Times New Roman" w:hAnsi="Times New Roman" w:eastAsia="宋体"/>
          <w:sz w:val="24"/>
          <w:vertAlign w:val="subscript"/>
        </w:rPr>
        <w:t>p</w:t>
      </w:r>
      <w:r>
        <w:rPr>
          <w:rFonts w:ascii="Times New Roman" w:hAnsi="Times New Roman" w:eastAsia="宋体"/>
          <w:sz w:val="24"/>
        </w:rPr>
        <w:t xml:space="preserve"> 达 0.227 Ω·cm²，二者并非矛盾——对称电池测的是空气侧 LSCF-GDC 电极，未包含加湿 H₂ 侧 NiO-GDC 阳极极化，后者在 600 °C 为主导极化源，因此单电池 R</w:t>
      </w:r>
      <w:r>
        <w:rPr>
          <w:rFonts w:ascii="Times New Roman" w:hAnsi="Times New Roman" w:eastAsia="宋体"/>
          <w:sz w:val="24"/>
          <w:vertAlign w:val="subscript"/>
        </w:rPr>
        <w:t>p</w:t>
      </w:r>
      <w:r>
        <w:rPr>
          <w:rFonts w:ascii="Times New Roman" w:hAnsi="Times New Roman" w:eastAsia="宋体"/>
          <w:sz w:val="24"/>
        </w:rPr>
        <w:t xml:space="preserve"> 不能用对称电池值直接折算，只能按"电解质欧姆贡献 ＋ 阳极主导的界面极化"分解。PPD 与 ASR 的互校也一并给出：按线性近似 Pmax ≈ OCV²/(4·ASR)，600 °C 为 0.940²/(4 × 0.257) = 0.86 W·cm⁻²，与表列值一致；650 °C 线性估计 0.928²/(4 × 0.134) = 1.61 W·cm⁻²，实测拟议值 1.55 W·cm⁻²，缺口 4% 归因于活化极化；700 °C 线性估计 0.912²/(4 × 0.075) = 2.77 W·cm⁻²，而拟议值 1.95 W·cm⁻²，30% 的缺口由高电流密度下的活化与浓差极化解释，本文不将线性估计值作为性能报告值。</w:t>
      </w:r>
    </w:p>
    <w:p>
      <w:pPr>
        <w:spacing w:line="360" w:lineRule="auto" w:after="80"/>
        <w:ind w:firstLineChars="200" w:firstLine="480"/>
        <w:jc w:val="both"/>
      </w:pPr>
      <w:r>
        <w:rPr>
          <w:rFonts w:ascii="Times New Roman" w:hAnsi="Times New Roman" w:eastAsia="宋体"/>
          <w:b/>
          <w:sz w:val="24"/>
        </w:rPr>
        <w:t>表 7｜单电池电化学性能</w:t>
      </w:r>
      <w:r>
        <w:rPr>
          <w:rFonts w:ascii="Times New Roman" w:hAnsi="Times New Roman" w:eastAsia="宋体"/>
          <w:sz w:val="24"/>
        </w:rPr>
        <w:t>（加湿 H₂（3% H₂O）/ 静态空气；n = 5 片电池，mean ± SD；OCV/PPD 附 95% CI（Student-t, n=5）；拟议值，待实验确认）</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电池</w:t>
            </w:r>
          </w:p>
        </w:tc>
        <w:tc>
          <w:tcPr>
            <w:tcW w:type="dxa" w:w="794"/>
          </w:tcPr>
          <w:p>
            <w:pPr>
              <w:spacing w:line="276" w:lineRule="auto" w:after="0" w:before="0"/>
              <w:jc w:val="center"/>
            </w:pPr>
            <w:r/>
            <w:r>
              <w:rPr>
                <w:rFonts w:ascii="Times New Roman" w:hAnsi="Times New Roman" w:eastAsia="宋体"/>
                <w:b/>
                <w:sz w:val="21"/>
              </w:rPr>
              <w:t>电解质（组成 / 厚度）</w:t>
            </w:r>
          </w:p>
        </w:tc>
        <w:tc>
          <w:tcPr>
            <w:tcW w:type="dxa" w:w="794"/>
          </w:tcPr>
          <w:p>
            <w:pPr>
              <w:spacing w:line="276" w:lineRule="auto" w:after="0" w:before="0"/>
              <w:jc w:val="center"/>
            </w:pPr>
            <w:r/>
            <w:r>
              <w:rPr>
                <w:rFonts w:ascii="Times New Roman" w:hAnsi="Times New Roman" w:eastAsia="宋体"/>
                <w:b/>
                <w:sz w:val="21"/>
              </w:rPr>
              <w:t>阻挡层</w:t>
            </w:r>
          </w:p>
        </w:tc>
        <w:tc>
          <w:tcPr>
            <w:tcW w:type="dxa" w:w="794"/>
          </w:tcPr>
          <w:p>
            <w:pPr>
              <w:spacing w:line="276" w:lineRule="auto" w:after="0" w:before="0"/>
              <w:jc w:val="center"/>
            </w:pPr>
            <w:r/>
            <w:r>
              <w:rPr>
                <w:rFonts w:ascii="Times New Roman" w:hAnsi="Times New Roman" w:eastAsia="宋体"/>
                <w:b/>
                <w:sz w:val="21"/>
              </w:rPr>
              <w:t>温度 (°C)</w:t>
            </w:r>
          </w:p>
        </w:tc>
        <w:tc>
          <w:tcPr>
            <w:tcW w:type="dxa" w:w="794"/>
          </w:tcPr>
          <w:p>
            <w:pPr>
              <w:spacing w:line="276" w:lineRule="auto" w:after="0" w:before="0"/>
              <w:jc w:val="center"/>
            </w:pPr>
            <w:r/>
            <w:r>
              <w:rPr>
                <w:rFonts w:ascii="Times New Roman" w:hAnsi="Times New Roman" w:eastAsia="宋体"/>
                <w:b/>
                <w:sz w:val="21"/>
              </w:rPr>
              <w:t>OCV (V)</w:t>
            </w:r>
          </w:p>
        </w:tc>
        <w:tc>
          <w:tcPr>
            <w:tcW w:type="dxa" w:w="794"/>
          </w:tcPr>
          <w:p>
            <w:pPr>
              <w:spacing w:line="276" w:lineRule="auto" w:after="0" w:before="0"/>
              <w:jc w:val="center"/>
            </w:pPr>
            <w:r/>
            <w:r>
              <w:rPr>
                <w:rFonts w:ascii="Times New Roman" w:hAnsi="Times New Roman" w:eastAsia="宋体"/>
                <w:b/>
                <w:sz w:val="21"/>
              </w:rPr>
              <w:t>Nernst 理论值 (V)</w:t>
            </w:r>
          </w:p>
        </w:tc>
        <w:tc>
          <w:tcPr>
            <w:tcW w:type="dxa" w:w="794"/>
          </w:tcPr>
          <w:p>
            <w:pPr>
              <w:spacing w:line="276" w:lineRule="auto" w:after="0" w:before="0"/>
              <w:jc w:val="center"/>
            </w:pPr>
            <w:r/>
            <w:r>
              <w:rPr>
                <w:rFonts w:ascii="Times New Roman" w:hAnsi="Times New Roman" w:eastAsia="宋体"/>
                <w:b/>
                <w:sz w:val="21"/>
              </w:rPr>
              <w:t>ASR (Ω·cm²)</w:t>
            </w:r>
          </w:p>
        </w:tc>
        <w:tc>
          <w:tcPr>
            <w:tcW w:type="dxa" w:w="794"/>
          </w:tcPr>
          <w:p>
            <w:pPr>
              <w:spacing w:line="276" w:lineRule="auto" w:after="0" w:before="0"/>
              <w:jc w:val="center"/>
            </w:pPr>
            <w:r/>
            <w:r>
              <w:rPr>
                <w:rFonts w:ascii="Times New Roman" w:hAnsi="Times New Roman" w:eastAsia="宋体"/>
                <w:b/>
                <w:sz w:val="21"/>
              </w:rPr>
              <w:t>R_Ω (Ω·cm²)</w:t>
            </w:r>
          </w:p>
        </w:tc>
        <w:tc>
          <w:tcPr>
            <w:tcW w:type="dxa" w:w="794"/>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p</w:t>
            </w:r>
            <w:r>
              <w:rPr>
                <w:rFonts w:ascii="Times New Roman" w:hAnsi="Times New Roman" w:eastAsia="宋体"/>
                <w:b/>
                <w:sz w:val="21"/>
              </w:rPr>
              <w:t xml:space="preserve"> (Ω·cm²)</w:t>
            </w:r>
          </w:p>
        </w:tc>
        <w:tc>
          <w:tcPr>
            <w:tcW w:type="dxa" w:w="794"/>
          </w:tcPr>
          <w:p>
            <w:pPr>
              <w:spacing w:line="276" w:lineRule="auto" w:after="0" w:before="0"/>
              <w:jc w:val="center"/>
            </w:pPr>
            <w:r/>
            <w:r>
              <w:rPr>
                <w:rFonts w:ascii="Times New Roman" w:hAnsi="Times New Roman" w:eastAsia="宋体"/>
                <w:b/>
                <w:sz w:val="21"/>
              </w:rPr>
              <w:t>PPD (W·cm⁻²)</w:t>
            </w:r>
          </w:p>
        </w:tc>
        <w:tc>
          <w:tcPr>
            <w:tcW w:type="dxa" w:w="794"/>
          </w:tcPr>
          <w:p>
            <w:pPr>
              <w:spacing w:line="276" w:lineRule="auto" w:after="0" w:before="0"/>
              <w:jc w:val="center"/>
            </w:pPr>
            <w:r/>
            <w:r>
              <w:rPr>
                <w:rFonts w:ascii="Times New Roman" w:hAnsi="Times New Roman" w:eastAsia="宋体"/>
                <w:b/>
                <w:sz w:val="21"/>
              </w:rPr>
              <w:t>误差（OCV / PPD）</w:t>
            </w:r>
          </w:p>
        </w:tc>
      </w:tr>
      <w:tr>
        <w:tc>
          <w:tcPr>
            <w:tcW w:type="dxa" w:w="794"/>
          </w:tcPr>
          <w:p>
            <w:pPr>
              <w:spacing w:line="276" w:lineRule="auto" w:after="0" w:before="0"/>
              <w:jc w:val="left"/>
            </w:pPr>
            <w:r/>
            <w:r>
              <w:rPr>
                <w:rFonts w:ascii="Times New Roman" w:hAnsi="Times New Roman" w:eastAsia="宋体"/>
                <w:sz w:val="21"/>
              </w:rPr>
              <w:t>Cell-1</w:t>
            </w:r>
          </w:p>
        </w:tc>
        <w:tc>
          <w:tcPr>
            <w:tcW w:type="dxa" w:w="794"/>
          </w:tcPr>
          <w:p>
            <w:pPr>
              <w:spacing w:line="276" w:lineRule="auto" w:after="0" w:before="0"/>
              <w:jc w:val="left"/>
            </w:pPr>
            <w:r/>
            <w:r>
              <w:rPr>
                <w:rFonts w:ascii="Times New Roman" w:hAnsi="Times New Roman" w:eastAsia="宋体"/>
                <w:sz w:val="21"/>
              </w:rPr>
              <w:t>GDC20-Ca2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0.940</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0.257</w:t>
            </w:r>
          </w:p>
        </w:tc>
        <w:tc>
          <w:tcPr>
            <w:tcW w:type="dxa" w:w="794"/>
          </w:tcPr>
          <w:p>
            <w:pPr>
              <w:spacing w:line="276" w:lineRule="auto" w:after="0" w:before="0"/>
              <w:jc w:val="left"/>
            </w:pPr>
            <w:r/>
            <w:r>
              <w:rPr>
                <w:rFonts w:ascii="Times New Roman" w:hAnsi="Times New Roman" w:eastAsia="宋体"/>
                <w:sz w:val="21"/>
              </w:rPr>
              <w:t>0.030</w:t>
            </w:r>
          </w:p>
        </w:tc>
        <w:tc>
          <w:tcPr>
            <w:tcW w:type="dxa" w:w="794"/>
          </w:tcPr>
          <w:p>
            <w:pPr>
              <w:spacing w:line="276" w:lineRule="auto" w:after="0" w:before="0"/>
              <w:jc w:val="left"/>
            </w:pPr>
            <w:r/>
            <w:r>
              <w:rPr>
                <w:rFonts w:ascii="Times New Roman" w:hAnsi="Times New Roman" w:eastAsia="宋体"/>
                <w:sz w:val="21"/>
              </w:rPr>
              <w:t>0.227</w:t>
            </w:r>
          </w:p>
        </w:tc>
        <w:tc>
          <w:tcPr>
            <w:tcW w:type="dxa" w:w="794"/>
          </w:tcPr>
          <w:p>
            <w:pPr>
              <w:spacing w:line="276" w:lineRule="auto" w:after="0" w:before="0"/>
              <w:jc w:val="left"/>
            </w:pPr>
            <w:r/>
            <w:r>
              <w:rPr>
                <w:rFonts w:ascii="Times New Roman" w:hAnsi="Times New Roman" w:eastAsia="宋体"/>
                <w:sz w:val="21"/>
              </w:rPr>
              <w:t>0.86</w:t>
            </w:r>
          </w:p>
        </w:tc>
        <w:tc>
          <w:tcPr>
            <w:tcW w:type="dxa" w:w="794"/>
          </w:tcPr>
          <w:p>
            <w:pPr>
              <w:spacing w:line="276" w:lineRule="auto" w:after="0" w:before="0"/>
              <w:jc w:val="left"/>
            </w:pPr>
            <w:r/>
            <w:r>
              <w:rPr>
                <w:rFonts w:ascii="Times New Roman" w:hAnsi="Times New Roman" w:eastAsia="宋体"/>
                <w:sz w:val="21"/>
              </w:rPr>
              <w:t>±0.008 / ±0.05（95% CI ±0.010 / ±0.06）</w:t>
            </w:r>
          </w:p>
        </w:tc>
      </w:tr>
      <w:tr>
        <w:tc>
          <w:tcPr>
            <w:tcW w:type="dxa" w:w="794"/>
          </w:tcPr>
          <w:p>
            <w:pPr>
              <w:spacing w:line="276" w:lineRule="auto" w:after="0" w:before="0"/>
              <w:jc w:val="left"/>
            </w:pPr>
            <w:r/>
            <w:r>
              <w:rPr>
                <w:rFonts w:ascii="Times New Roman" w:hAnsi="Times New Roman" w:eastAsia="宋体"/>
                <w:sz w:val="21"/>
              </w:rPr>
              <w:t>Cell-1</w:t>
            </w:r>
          </w:p>
        </w:tc>
        <w:tc>
          <w:tcPr>
            <w:tcW w:type="dxa" w:w="794"/>
          </w:tcPr>
          <w:p>
            <w:pPr>
              <w:spacing w:line="276" w:lineRule="auto" w:after="0" w:before="0"/>
              <w:jc w:val="left"/>
            </w:pPr>
            <w:r/>
            <w:r>
              <w:rPr>
                <w:rFonts w:ascii="Times New Roman" w:hAnsi="Times New Roman" w:eastAsia="宋体"/>
                <w:sz w:val="21"/>
              </w:rPr>
              <w:t>GDC20-Ca2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650</w:t>
            </w:r>
          </w:p>
        </w:tc>
        <w:tc>
          <w:tcPr>
            <w:tcW w:type="dxa" w:w="794"/>
          </w:tcPr>
          <w:p>
            <w:pPr>
              <w:spacing w:line="276" w:lineRule="auto" w:after="0" w:before="0"/>
              <w:jc w:val="left"/>
            </w:pPr>
            <w:r/>
            <w:r>
              <w:rPr>
                <w:rFonts w:ascii="Times New Roman" w:hAnsi="Times New Roman" w:eastAsia="宋体"/>
                <w:sz w:val="21"/>
              </w:rPr>
              <w:t>0.928</w:t>
            </w:r>
          </w:p>
        </w:tc>
        <w:tc>
          <w:tcPr>
            <w:tcW w:type="dxa" w:w="794"/>
          </w:tcPr>
          <w:p>
            <w:pPr>
              <w:spacing w:line="276" w:lineRule="auto" w:after="0" w:before="0"/>
              <w:jc w:val="left"/>
            </w:pPr>
            <w:r/>
            <w:r>
              <w:rPr>
                <w:rFonts w:ascii="Times New Roman" w:hAnsi="Times New Roman" w:eastAsia="宋体"/>
                <w:sz w:val="21"/>
              </w:rPr>
              <w:t>1.03</w:t>
            </w:r>
          </w:p>
        </w:tc>
        <w:tc>
          <w:tcPr>
            <w:tcW w:type="dxa" w:w="794"/>
          </w:tcPr>
          <w:p>
            <w:pPr>
              <w:spacing w:line="276" w:lineRule="auto" w:after="0" w:before="0"/>
              <w:jc w:val="left"/>
            </w:pPr>
            <w:r/>
            <w:r>
              <w:rPr>
                <w:rFonts w:ascii="Times New Roman" w:hAnsi="Times New Roman" w:eastAsia="宋体"/>
                <w:sz w:val="21"/>
              </w:rPr>
              <w:t>0.134</w:t>
            </w:r>
          </w:p>
        </w:tc>
        <w:tc>
          <w:tcPr>
            <w:tcW w:type="dxa" w:w="794"/>
          </w:tcPr>
          <w:p>
            <w:pPr>
              <w:spacing w:line="276" w:lineRule="auto" w:after="0" w:before="0"/>
              <w:jc w:val="left"/>
            </w:pPr>
            <w:r/>
            <w:r>
              <w:rPr>
                <w:rFonts w:ascii="Times New Roman" w:hAnsi="Times New Roman" w:eastAsia="宋体"/>
                <w:sz w:val="21"/>
              </w:rPr>
              <w:t>0.016</w:t>
            </w:r>
          </w:p>
        </w:tc>
        <w:tc>
          <w:tcPr>
            <w:tcW w:type="dxa" w:w="794"/>
          </w:tcPr>
          <w:p>
            <w:pPr>
              <w:spacing w:line="276" w:lineRule="auto" w:after="0" w:before="0"/>
              <w:jc w:val="left"/>
            </w:pPr>
            <w:r/>
            <w:r>
              <w:rPr>
                <w:rFonts w:ascii="Times New Roman" w:hAnsi="Times New Roman" w:eastAsia="宋体"/>
                <w:sz w:val="21"/>
              </w:rPr>
              <w:t>0.119</w:t>
            </w:r>
          </w:p>
        </w:tc>
        <w:tc>
          <w:tcPr>
            <w:tcW w:type="dxa" w:w="794"/>
          </w:tcPr>
          <w:p>
            <w:pPr>
              <w:spacing w:line="276" w:lineRule="auto" w:after="0" w:before="0"/>
              <w:jc w:val="left"/>
            </w:pPr>
            <w:r/>
            <w:r>
              <w:rPr>
                <w:rFonts w:ascii="Times New Roman" w:hAnsi="Times New Roman" w:eastAsia="宋体"/>
                <w:sz w:val="21"/>
              </w:rPr>
              <w:t>1.55</w:t>
            </w:r>
          </w:p>
        </w:tc>
        <w:tc>
          <w:tcPr>
            <w:tcW w:type="dxa" w:w="794"/>
          </w:tcPr>
          <w:p>
            <w:pPr>
              <w:spacing w:line="276" w:lineRule="auto" w:after="0" w:before="0"/>
              <w:jc w:val="left"/>
            </w:pPr>
            <w:r/>
            <w:r>
              <w:rPr>
                <w:rFonts w:ascii="Times New Roman" w:hAnsi="Times New Roman" w:eastAsia="宋体"/>
                <w:sz w:val="21"/>
              </w:rPr>
              <w:t>±0.009 / ±0.07</w:t>
            </w:r>
          </w:p>
        </w:tc>
      </w:tr>
      <w:tr>
        <w:tc>
          <w:tcPr>
            <w:tcW w:type="dxa" w:w="794"/>
          </w:tcPr>
          <w:p>
            <w:pPr>
              <w:spacing w:line="276" w:lineRule="auto" w:after="0" w:before="0"/>
              <w:jc w:val="left"/>
            </w:pPr>
            <w:r/>
            <w:r>
              <w:rPr>
                <w:rFonts w:ascii="Times New Roman" w:hAnsi="Times New Roman" w:eastAsia="宋体"/>
                <w:sz w:val="21"/>
              </w:rPr>
              <w:t>Cell-1</w:t>
            </w:r>
          </w:p>
        </w:tc>
        <w:tc>
          <w:tcPr>
            <w:tcW w:type="dxa" w:w="794"/>
          </w:tcPr>
          <w:p>
            <w:pPr>
              <w:spacing w:line="276" w:lineRule="auto" w:after="0" w:before="0"/>
              <w:jc w:val="left"/>
            </w:pPr>
            <w:r/>
            <w:r>
              <w:rPr>
                <w:rFonts w:ascii="Times New Roman" w:hAnsi="Times New Roman" w:eastAsia="宋体"/>
                <w:sz w:val="21"/>
              </w:rPr>
              <w:t>GDC20-Ca2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700</w:t>
            </w:r>
          </w:p>
        </w:tc>
        <w:tc>
          <w:tcPr>
            <w:tcW w:type="dxa" w:w="794"/>
          </w:tcPr>
          <w:p>
            <w:pPr>
              <w:spacing w:line="276" w:lineRule="auto" w:after="0" w:before="0"/>
              <w:jc w:val="left"/>
            </w:pPr>
            <w:r/>
            <w:r>
              <w:rPr>
                <w:rFonts w:ascii="Times New Roman" w:hAnsi="Times New Roman" w:eastAsia="宋体"/>
                <w:sz w:val="21"/>
              </w:rPr>
              <w:t>0.912</w:t>
            </w:r>
          </w:p>
        </w:tc>
        <w:tc>
          <w:tcPr>
            <w:tcW w:type="dxa" w:w="794"/>
          </w:tcPr>
          <w:p>
            <w:pPr>
              <w:spacing w:line="276" w:lineRule="auto" w:after="0" w:before="0"/>
              <w:jc w:val="left"/>
            </w:pPr>
            <w:r/>
            <w:r>
              <w:rPr>
                <w:rFonts w:ascii="Times New Roman" w:hAnsi="Times New Roman" w:eastAsia="宋体"/>
                <w:sz w:val="21"/>
              </w:rPr>
              <w:t>1.01</w:t>
            </w:r>
          </w:p>
        </w:tc>
        <w:tc>
          <w:tcPr>
            <w:tcW w:type="dxa" w:w="794"/>
          </w:tcPr>
          <w:p>
            <w:pPr>
              <w:spacing w:line="276" w:lineRule="auto" w:after="0" w:before="0"/>
              <w:jc w:val="left"/>
            </w:pPr>
            <w:r/>
            <w:r>
              <w:rPr>
                <w:rFonts w:ascii="Times New Roman" w:hAnsi="Times New Roman" w:eastAsia="宋体"/>
                <w:sz w:val="21"/>
              </w:rPr>
              <w:t>0.075</w:t>
            </w:r>
          </w:p>
        </w:tc>
        <w:tc>
          <w:tcPr>
            <w:tcW w:type="dxa" w:w="794"/>
          </w:tcPr>
          <w:p>
            <w:pPr>
              <w:spacing w:line="276" w:lineRule="auto" w:after="0" w:before="0"/>
              <w:jc w:val="left"/>
            </w:pPr>
            <w:r/>
            <w:r>
              <w:rPr>
                <w:rFonts w:ascii="Times New Roman" w:hAnsi="Times New Roman" w:eastAsia="宋体"/>
                <w:sz w:val="21"/>
              </w:rPr>
              <w:t>0.009</w:t>
            </w:r>
          </w:p>
        </w:tc>
        <w:tc>
          <w:tcPr>
            <w:tcW w:type="dxa" w:w="794"/>
          </w:tcPr>
          <w:p>
            <w:pPr>
              <w:spacing w:line="276" w:lineRule="auto" w:after="0" w:before="0"/>
              <w:jc w:val="left"/>
            </w:pPr>
            <w:r/>
            <w:r>
              <w:rPr>
                <w:rFonts w:ascii="Times New Roman" w:hAnsi="Times New Roman" w:eastAsia="宋体"/>
                <w:sz w:val="21"/>
              </w:rPr>
              <w:t>0.066</w:t>
            </w:r>
          </w:p>
        </w:tc>
        <w:tc>
          <w:tcPr>
            <w:tcW w:type="dxa" w:w="794"/>
          </w:tcPr>
          <w:p>
            <w:pPr>
              <w:spacing w:line="276" w:lineRule="auto" w:after="0" w:before="0"/>
              <w:jc w:val="left"/>
            </w:pPr>
            <w:r/>
            <w:r>
              <w:rPr>
                <w:rFonts w:ascii="Times New Roman" w:hAnsi="Times New Roman" w:eastAsia="宋体"/>
                <w:sz w:val="21"/>
              </w:rPr>
              <w:t>1.95</w:t>
            </w:r>
          </w:p>
        </w:tc>
        <w:tc>
          <w:tcPr>
            <w:tcW w:type="dxa" w:w="794"/>
          </w:tcPr>
          <w:p>
            <w:pPr>
              <w:spacing w:line="276" w:lineRule="auto" w:after="0" w:before="0"/>
              <w:jc w:val="left"/>
            </w:pPr>
            <w:r/>
            <w:r>
              <w:rPr>
                <w:rFonts w:ascii="Times New Roman" w:hAnsi="Times New Roman" w:eastAsia="宋体"/>
                <w:sz w:val="21"/>
              </w:rPr>
              <w:t>±0.010 / ±0.09</w:t>
            </w:r>
          </w:p>
        </w:tc>
      </w:tr>
      <w:tr>
        <w:tc>
          <w:tcPr>
            <w:tcW w:type="dxa" w:w="794"/>
          </w:tcPr>
          <w:p>
            <w:pPr>
              <w:spacing w:line="276" w:lineRule="auto" w:after="0" w:before="0"/>
              <w:jc w:val="left"/>
            </w:pPr>
            <w:r/>
            <w:r>
              <w:rPr>
                <w:rFonts w:ascii="Times New Roman" w:hAnsi="Times New Roman" w:eastAsia="宋体"/>
                <w:sz w:val="21"/>
              </w:rPr>
              <w:t>Cell-2</w:t>
            </w:r>
          </w:p>
        </w:tc>
        <w:tc>
          <w:tcPr>
            <w:tcW w:type="dxa" w:w="794"/>
          </w:tcPr>
          <w:p>
            <w:pPr>
              <w:spacing w:line="276" w:lineRule="auto" w:after="0" w:before="0"/>
              <w:jc w:val="left"/>
            </w:pPr>
            <w:r/>
            <w:r>
              <w:rPr>
                <w:rFonts w:ascii="Times New Roman" w:hAnsi="Times New Roman" w:eastAsia="宋体"/>
                <w:sz w:val="21"/>
              </w:rPr>
              <w:t>GDC20-Ca2 / 6 μm</w:t>
            </w:r>
          </w:p>
        </w:tc>
        <w:tc>
          <w:tcPr>
            <w:tcW w:type="dxa" w:w="794"/>
          </w:tcPr>
          <w:p>
            <w:pPr>
              <w:spacing w:line="276" w:lineRule="auto" w:after="0" w:before="0"/>
              <w:jc w:val="left"/>
            </w:pPr>
            <w:r/>
            <w:r>
              <w:rPr>
                <w:rFonts w:ascii="Times New Roman" w:hAnsi="Times New Roman" w:eastAsia="宋体"/>
                <w:sz w:val="21"/>
              </w:rPr>
              <w:t>0.3 μm YSZ</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0.990</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0.293</w:t>
            </w:r>
          </w:p>
        </w:tc>
        <w:tc>
          <w:tcPr>
            <w:tcW w:type="dxa" w:w="794"/>
          </w:tcPr>
          <w:p>
            <w:pPr>
              <w:spacing w:line="276" w:lineRule="auto" w:after="0" w:before="0"/>
              <w:jc w:val="left"/>
            </w:pPr>
            <w:r/>
            <w:r>
              <w:rPr>
                <w:rFonts w:ascii="Times New Roman" w:hAnsi="Times New Roman" w:eastAsia="宋体"/>
                <w:sz w:val="21"/>
              </w:rPr>
              <w:t>0.066（含 YSZ 0.006 ＋ 界面 0.030）</w:t>
            </w:r>
          </w:p>
        </w:tc>
        <w:tc>
          <w:tcPr>
            <w:tcW w:type="dxa" w:w="794"/>
          </w:tcPr>
          <w:p>
            <w:pPr>
              <w:spacing w:line="276" w:lineRule="auto" w:after="0" w:before="0"/>
              <w:jc w:val="left"/>
            </w:pPr>
            <w:r/>
            <w:r>
              <w:rPr>
                <w:rFonts w:ascii="Times New Roman" w:hAnsi="Times New Roman" w:eastAsia="宋体"/>
                <w:sz w:val="21"/>
              </w:rPr>
              <w:t>0.227</w:t>
            </w:r>
          </w:p>
        </w:tc>
        <w:tc>
          <w:tcPr>
            <w:tcW w:type="dxa" w:w="794"/>
          </w:tcPr>
          <w:p>
            <w:pPr>
              <w:spacing w:line="276" w:lineRule="auto" w:after="0" w:before="0"/>
              <w:jc w:val="left"/>
            </w:pPr>
            <w:r/>
            <w:r>
              <w:rPr>
                <w:rFonts w:ascii="Times New Roman" w:hAnsi="Times New Roman" w:eastAsia="宋体"/>
                <w:sz w:val="21"/>
              </w:rPr>
              <w:t>0.79</w:t>
            </w:r>
          </w:p>
        </w:tc>
        <w:tc>
          <w:tcPr>
            <w:tcW w:type="dxa" w:w="794"/>
          </w:tcPr>
          <w:p>
            <w:pPr>
              <w:spacing w:line="276" w:lineRule="auto" w:after="0" w:before="0"/>
              <w:jc w:val="left"/>
            </w:pPr>
            <w:r/>
            <w:r>
              <w:rPr>
                <w:rFonts w:ascii="Times New Roman" w:hAnsi="Times New Roman" w:eastAsia="宋体"/>
                <w:sz w:val="21"/>
              </w:rPr>
              <w:t>±0.007 / ±0.05</w:t>
            </w:r>
          </w:p>
        </w:tc>
      </w:tr>
      <w:tr>
        <w:tc>
          <w:tcPr>
            <w:tcW w:type="dxa" w:w="794"/>
          </w:tcPr>
          <w:p>
            <w:pPr>
              <w:spacing w:line="276" w:lineRule="auto" w:after="0" w:before="0"/>
              <w:jc w:val="left"/>
            </w:pPr>
            <w:r/>
            <w:r>
              <w:rPr>
                <w:rFonts w:ascii="Times New Roman" w:hAnsi="Times New Roman" w:eastAsia="宋体"/>
                <w:sz w:val="21"/>
              </w:rPr>
              <w:t>Cell-3</w:t>
            </w:r>
          </w:p>
        </w:tc>
        <w:tc>
          <w:tcPr>
            <w:tcW w:type="dxa" w:w="794"/>
          </w:tcPr>
          <w:p>
            <w:pPr>
              <w:spacing w:line="276" w:lineRule="auto" w:after="0" w:before="0"/>
              <w:jc w:val="left"/>
            </w:pPr>
            <w:r/>
            <w:r>
              <w:rPr>
                <w:rFonts w:ascii="Times New Roman" w:hAnsi="Times New Roman" w:eastAsia="宋体"/>
                <w:sz w:val="21"/>
              </w:rPr>
              <w:t>GDC20-1400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0.858</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0.270</w:t>
            </w:r>
          </w:p>
        </w:tc>
        <w:tc>
          <w:tcPr>
            <w:tcW w:type="dxa" w:w="794"/>
          </w:tcPr>
          <w:p>
            <w:pPr>
              <w:spacing w:line="276" w:lineRule="auto" w:after="0" w:before="0"/>
              <w:jc w:val="left"/>
            </w:pPr>
            <w:r/>
            <w:r>
              <w:rPr>
                <w:rFonts w:ascii="Times New Roman" w:hAnsi="Times New Roman" w:eastAsia="宋体"/>
                <w:sz w:val="21"/>
              </w:rPr>
              <w:t>0.029</w:t>
            </w:r>
          </w:p>
        </w:tc>
        <w:tc>
          <w:tcPr>
            <w:tcW w:type="dxa" w:w="794"/>
          </w:tcPr>
          <w:p>
            <w:pPr>
              <w:spacing w:line="276" w:lineRule="auto" w:after="0" w:before="0"/>
              <w:jc w:val="left"/>
            </w:pPr>
            <w:r/>
            <w:r>
              <w:rPr>
                <w:rFonts w:ascii="Times New Roman" w:hAnsi="Times New Roman" w:eastAsia="宋体"/>
                <w:sz w:val="21"/>
              </w:rPr>
              <w:t>0.241</w:t>
            </w:r>
          </w:p>
        </w:tc>
        <w:tc>
          <w:tcPr>
            <w:tcW w:type="dxa" w:w="794"/>
          </w:tcPr>
          <w:p>
            <w:pPr>
              <w:spacing w:line="276" w:lineRule="auto" w:after="0" w:before="0"/>
              <w:jc w:val="left"/>
            </w:pPr>
            <w:r/>
            <w:r>
              <w:rPr>
                <w:rFonts w:ascii="Times New Roman" w:hAnsi="Times New Roman" w:eastAsia="宋体"/>
                <w:sz w:val="21"/>
              </w:rPr>
              <w:t>0.62</w:t>
            </w:r>
          </w:p>
        </w:tc>
        <w:tc>
          <w:tcPr>
            <w:tcW w:type="dxa" w:w="794"/>
          </w:tcPr>
          <w:p>
            <w:pPr>
              <w:spacing w:line="276" w:lineRule="auto" w:after="0" w:before="0"/>
              <w:jc w:val="left"/>
            </w:pPr>
            <w:r/>
            <w:r>
              <w:rPr>
                <w:rFonts w:ascii="Times New Roman" w:hAnsi="Times New Roman" w:eastAsia="宋体"/>
                <w:sz w:val="21"/>
              </w:rPr>
              <w:t>±0.012 / ±0.06</w:t>
            </w:r>
          </w:p>
        </w:tc>
      </w:tr>
      <w:tr>
        <w:tc>
          <w:tcPr>
            <w:tcW w:type="dxa" w:w="794"/>
          </w:tcPr>
          <w:p>
            <w:pPr>
              <w:spacing w:line="276" w:lineRule="auto" w:after="0" w:before="0"/>
              <w:jc w:val="left"/>
            </w:pPr>
            <w:r/>
            <w:r>
              <w:rPr>
                <w:rFonts w:ascii="Times New Roman" w:hAnsi="Times New Roman" w:eastAsia="宋体"/>
                <w:sz w:val="21"/>
              </w:rPr>
              <w:t>Cell-4</w:t>
            </w:r>
          </w:p>
        </w:tc>
        <w:tc>
          <w:tcPr>
            <w:tcW w:type="dxa" w:w="794"/>
          </w:tcPr>
          <w:p>
            <w:pPr>
              <w:spacing w:line="276" w:lineRule="auto" w:after="0" w:before="0"/>
              <w:jc w:val="left"/>
            </w:pPr>
            <w:r/>
            <w:r>
              <w:rPr>
                <w:rFonts w:ascii="Times New Roman" w:hAnsi="Times New Roman" w:eastAsia="宋体"/>
                <w:sz w:val="21"/>
              </w:rPr>
              <w:t>GDC20-Ca2-Co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0.905</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0.294</w:t>
            </w:r>
          </w:p>
        </w:tc>
        <w:tc>
          <w:tcPr>
            <w:tcW w:type="dxa" w:w="794"/>
          </w:tcPr>
          <w:p>
            <w:pPr>
              <w:spacing w:line="276" w:lineRule="auto" w:after="0" w:before="0"/>
              <w:jc w:val="left"/>
            </w:pPr>
            <w:r/>
            <w:r>
              <w:rPr>
                <w:rFonts w:ascii="Times New Roman" w:hAnsi="Times New Roman" w:eastAsia="宋体"/>
                <w:sz w:val="21"/>
              </w:rPr>
              <w:t>0.034</w:t>
            </w:r>
          </w:p>
        </w:tc>
        <w:tc>
          <w:tcPr>
            <w:tcW w:type="dxa" w:w="794"/>
          </w:tcPr>
          <w:p>
            <w:pPr>
              <w:spacing w:line="276" w:lineRule="auto" w:after="0" w:before="0"/>
              <w:jc w:val="left"/>
            </w:pPr>
            <w:r/>
            <w:r>
              <w:rPr>
                <w:rFonts w:ascii="Times New Roman" w:hAnsi="Times New Roman" w:eastAsia="宋体"/>
                <w:sz w:val="21"/>
              </w:rPr>
              <w:t>0.260</w:t>
            </w:r>
          </w:p>
        </w:tc>
        <w:tc>
          <w:tcPr>
            <w:tcW w:type="dxa" w:w="794"/>
          </w:tcPr>
          <w:p>
            <w:pPr>
              <w:spacing w:line="276" w:lineRule="auto" w:after="0" w:before="0"/>
              <w:jc w:val="left"/>
            </w:pPr>
            <w:r/>
            <w:r>
              <w:rPr>
                <w:rFonts w:ascii="Times New Roman" w:hAnsi="Times New Roman" w:eastAsia="宋体"/>
                <w:sz w:val="21"/>
              </w:rPr>
              <w:t>0.65</w:t>
            </w:r>
          </w:p>
        </w:tc>
        <w:tc>
          <w:tcPr>
            <w:tcW w:type="dxa" w:w="794"/>
          </w:tcPr>
          <w:p>
            <w:pPr>
              <w:spacing w:line="276" w:lineRule="auto" w:after="0" w:before="0"/>
              <w:jc w:val="left"/>
            </w:pPr>
            <w:r/>
            <w:r>
              <w:rPr>
                <w:rFonts w:ascii="Times New Roman" w:hAnsi="Times New Roman" w:eastAsia="宋体"/>
                <w:sz w:val="21"/>
              </w:rPr>
              <w:t>±0.011 / ±0.06</w:t>
            </w:r>
          </w:p>
        </w:tc>
      </w:tr>
      <w:tr>
        <w:tc>
          <w:tcPr>
            <w:tcW w:type="dxa" w:w="794"/>
          </w:tcPr>
          <w:p>
            <w:pPr>
              <w:spacing w:line="276" w:lineRule="auto" w:after="0" w:before="0"/>
              <w:jc w:val="left"/>
            </w:pPr>
            <w:r/>
            <w:r>
              <w:rPr>
                <w:rFonts w:ascii="Times New Roman" w:hAnsi="Times New Roman" w:eastAsia="宋体"/>
                <w:sz w:val="21"/>
              </w:rPr>
              <w:t>Cell-5</w:t>
            </w:r>
          </w:p>
        </w:tc>
        <w:tc>
          <w:tcPr>
            <w:tcW w:type="dxa" w:w="794"/>
          </w:tcPr>
          <w:p>
            <w:pPr>
              <w:spacing w:line="276" w:lineRule="auto" w:after="0" w:before="0"/>
              <w:jc w:val="left"/>
            </w:pPr>
            <w:r/>
            <w:r>
              <w:rPr>
                <w:rFonts w:ascii="Times New Roman" w:hAnsi="Times New Roman" w:eastAsia="宋体"/>
                <w:sz w:val="21"/>
              </w:rPr>
              <w:t>GDC10-Ca2 / 6 μm</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0.925</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0.300</w:t>
            </w:r>
          </w:p>
        </w:tc>
        <w:tc>
          <w:tcPr>
            <w:tcW w:type="dxa" w:w="794"/>
          </w:tcPr>
          <w:p>
            <w:pPr>
              <w:spacing w:line="276" w:lineRule="auto" w:after="0" w:before="0"/>
              <w:jc w:val="left"/>
            </w:pPr>
            <w:r/>
            <w:r>
              <w:rPr>
                <w:rFonts w:ascii="Times New Roman" w:hAnsi="Times New Roman" w:eastAsia="宋体"/>
                <w:sz w:val="21"/>
              </w:rPr>
              <w:t>0.042</w:t>
            </w:r>
          </w:p>
        </w:tc>
        <w:tc>
          <w:tcPr>
            <w:tcW w:type="dxa" w:w="794"/>
          </w:tcPr>
          <w:p>
            <w:pPr>
              <w:spacing w:line="276" w:lineRule="auto" w:after="0" w:before="0"/>
              <w:jc w:val="left"/>
            </w:pPr>
            <w:r/>
            <w:r>
              <w:rPr>
                <w:rFonts w:ascii="Times New Roman" w:hAnsi="Times New Roman" w:eastAsia="宋体"/>
                <w:sz w:val="21"/>
              </w:rPr>
              <w:t>0.258</w:t>
            </w:r>
          </w:p>
        </w:tc>
        <w:tc>
          <w:tcPr>
            <w:tcW w:type="dxa" w:w="794"/>
          </w:tcPr>
          <w:p>
            <w:pPr>
              <w:spacing w:line="276" w:lineRule="auto" w:after="0" w:before="0"/>
              <w:jc w:val="left"/>
            </w:pPr>
            <w:r/>
            <w:r>
              <w:rPr>
                <w:rFonts w:ascii="Times New Roman" w:hAnsi="Times New Roman" w:eastAsia="宋体"/>
                <w:sz w:val="21"/>
              </w:rPr>
              <w:t>0.64</w:t>
            </w:r>
          </w:p>
        </w:tc>
        <w:tc>
          <w:tcPr>
            <w:tcW w:type="dxa" w:w="794"/>
          </w:tcPr>
          <w:p>
            <w:pPr>
              <w:spacing w:line="276" w:lineRule="auto" w:after="0" w:before="0"/>
              <w:jc w:val="left"/>
            </w:pPr>
            <w:r/>
            <w:r>
              <w:rPr>
                <w:rFonts w:ascii="Times New Roman" w:hAnsi="Times New Roman" w:eastAsia="宋体"/>
                <w:sz w:val="21"/>
              </w:rPr>
              <w:t>±0.010 / ±0.06</w:t>
            </w:r>
          </w:p>
        </w:tc>
      </w:tr>
    </w:tbl>
    <w:p>
      <w:pPr>
        <w:spacing w:after="80"/>
      </w:pPr>
    </w:p>
    <w:p>
      <w:pPr>
        <w:spacing w:line="360" w:lineRule="auto" w:after="80"/>
        <w:ind w:firstLineChars="200" w:firstLine="480"/>
        <w:jc w:val="both"/>
      </w:pPr>
      <w:r>
        <w:rPr>
          <w:rFonts w:ascii="Times New Roman" w:hAnsi="Times New Roman" w:eastAsia="宋体"/>
          <w:b/>
          <w:sz w:val="24"/>
        </w:rPr>
        <w:t>表 8｜100 h 恒流稳定性测试</w:t>
      </w:r>
      <w:r>
        <w:rPr>
          <w:rFonts w:ascii="Times New Roman" w:hAnsi="Times New Roman" w:eastAsia="宋体"/>
          <w:sz w:val="24"/>
        </w:rPr>
        <w:t>（短时耐久；n = 5 片电池，mean ± SD；电压衰减率按 ΔV/Δt 计算并折算为 %·1000 h⁻¹；拟议值，待实验确认）</w:t>
      </w:r>
    </w:p>
    <w:tbl>
      <w:tblPr>
        <w:tblStyle w:val="TableGrid"/>
        <w:tblW w:type="auto" w:w="0"/>
        <w:jc w:val="center"/>
        <w:tblLayout w:type="autofit"/>
        <w:tblLook w:firstColumn="1" w:firstRow="1" w:lastColumn="0" w:lastRow="0" w:noHBand="0" w:noVBand="1" w:val="04A0"/>
      </w:tblPr>
      <w:tblGrid>
        <w:gridCol w:w="873"/>
        <w:gridCol w:w="873"/>
        <w:gridCol w:w="873"/>
        <w:gridCol w:w="873"/>
        <w:gridCol w:w="873"/>
        <w:gridCol w:w="873"/>
        <w:gridCol w:w="873"/>
        <w:gridCol w:w="873"/>
        <w:gridCol w:w="873"/>
        <w:gridCol w:w="873"/>
      </w:tblGrid>
      <w:tr>
        <w:tc>
          <w:tcPr>
            <w:tcW w:type="dxa" w:w="873"/>
          </w:tcPr>
          <w:p>
            <w:pPr>
              <w:spacing w:line="276" w:lineRule="auto" w:after="0" w:before="0"/>
              <w:jc w:val="center"/>
            </w:pPr>
            <w:r/>
            <w:r>
              <w:rPr>
                <w:rFonts w:ascii="Times New Roman" w:hAnsi="Times New Roman" w:eastAsia="宋体"/>
                <w:b/>
                <w:sz w:val="21"/>
              </w:rPr>
              <w:t>电池</w:t>
            </w:r>
          </w:p>
        </w:tc>
        <w:tc>
          <w:tcPr>
            <w:tcW w:type="dxa" w:w="873"/>
          </w:tcPr>
          <w:p>
            <w:pPr>
              <w:spacing w:line="276" w:lineRule="auto" w:after="0" w:before="0"/>
              <w:jc w:val="center"/>
            </w:pPr>
            <w:r/>
            <w:r>
              <w:rPr>
                <w:rFonts w:ascii="Times New Roman" w:hAnsi="Times New Roman" w:eastAsia="宋体"/>
                <w:b/>
                <w:sz w:val="21"/>
              </w:rPr>
              <w:t>电流密度 (A·cm⁻²)</w:t>
            </w:r>
          </w:p>
        </w:tc>
        <w:tc>
          <w:tcPr>
            <w:tcW w:type="dxa" w:w="873"/>
          </w:tcPr>
          <w:p>
            <w:pPr>
              <w:spacing w:line="276" w:lineRule="auto" w:after="0" w:before="0"/>
              <w:jc w:val="center"/>
            </w:pPr>
            <w:r/>
            <w:r>
              <w:rPr>
                <w:rFonts w:ascii="Times New Roman" w:hAnsi="Times New Roman" w:eastAsia="宋体"/>
                <w:b/>
                <w:sz w:val="21"/>
              </w:rPr>
              <w:t>温度 (°C)</w:t>
            </w:r>
          </w:p>
        </w:tc>
        <w:tc>
          <w:tcPr>
            <w:tcW w:type="dxa" w:w="873"/>
          </w:tcPr>
          <w:p>
            <w:pPr>
              <w:spacing w:line="276" w:lineRule="auto" w:after="0" w:before="0"/>
              <w:jc w:val="center"/>
            </w:pPr>
            <w:r/>
            <w:r>
              <w:rPr>
                <w:rFonts w:ascii="Times New Roman" w:hAnsi="Times New Roman" w:eastAsia="宋体"/>
                <w:b/>
                <w:sz w:val="21"/>
              </w:rPr>
              <w:t>燃料</w:t>
            </w:r>
          </w:p>
        </w:tc>
        <w:tc>
          <w:tcPr>
            <w:tcW w:type="dxa" w:w="873"/>
          </w:tcPr>
          <w:p>
            <w:pPr>
              <w:spacing w:line="276" w:lineRule="auto" w:after="0" w:before="0"/>
              <w:jc w:val="center"/>
            </w:pPr>
            <w:r/>
            <w:r>
              <w:rPr>
                <w:rFonts w:ascii="Times New Roman" w:hAnsi="Times New Roman" w:eastAsia="宋体"/>
                <w:b/>
                <w:sz w:val="21"/>
              </w:rPr>
              <w:t>持续时间 (h)</w:t>
            </w:r>
          </w:p>
        </w:tc>
        <w:tc>
          <w:tcPr>
            <w:tcW w:type="dxa" w:w="873"/>
          </w:tcPr>
          <w:p>
            <w:pPr>
              <w:spacing w:line="276" w:lineRule="auto" w:after="0" w:before="0"/>
              <w:jc w:val="center"/>
            </w:pPr>
            <w:r/>
            <w:r>
              <w:rPr>
                <w:rFonts w:ascii="Times New Roman" w:hAnsi="Times New Roman" w:eastAsia="宋体"/>
                <w:b/>
                <w:sz w:val="21"/>
              </w:rPr>
              <w:t>初始 / 终止 OCV (V)</w:t>
            </w:r>
          </w:p>
        </w:tc>
        <w:tc>
          <w:tcPr>
            <w:tcW w:type="dxa" w:w="873"/>
          </w:tcPr>
          <w:p>
            <w:pPr>
              <w:spacing w:line="276" w:lineRule="auto" w:after="0" w:before="0"/>
              <w:jc w:val="center"/>
            </w:pPr>
            <w:r/>
            <w:r>
              <w:rPr>
                <w:rFonts w:ascii="Times New Roman" w:hAnsi="Times New Roman" w:eastAsia="宋体"/>
                <w:b/>
                <w:sz w:val="21"/>
              </w:rPr>
              <w:t>负载电压 初始 → 终止 (V)</w:t>
            </w:r>
          </w:p>
        </w:tc>
        <w:tc>
          <w:tcPr>
            <w:tcW w:type="dxa" w:w="873"/>
          </w:tcPr>
          <w:p>
            <w:pPr>
              <w:spacing w:line="276" w:lineRule="auto" w:after="0" w:before="0"/>
              <w:jc w:val="center"/>
            </w:pPr>
            <w:r/>
            <w:r>
              <w:rPr>
                <w:rFonts w:ascii="Times New Roman" w:hAnsi="Times New Roman" w:eastAsia="宋体"/>
                <w:b/>
                <w:sz w:val="21"/>
              </w:rPr>
              <w:t>衰减率</w:t>
            </w:r>
          </w:p>
        </w:tc>
        <w:tc>
          <w:tcPr>
            <w:tcW w:type="dxa" w:w="873"/>
          </w:tcPr>
          <w:p>
            <w:pPr>
              <w:spacing w:line="276" w:lineRule="auto" w:after="0" w:before="0"/>
              <w:jc w:val="center"/>
            </w:pPr>
            <w:r/>
            <w:r>
              <w:rPr>
                <w:rFonts w:ascii="Times New Roman" w:hAnsi="Times New Roman" w:eastAsia="宋体"/>
                <w:b/>
                <w:sz w:val="21"/>
              </w:rPr>
              <w:t>折算 (% per 1000 h)</w:t>
            </w:r>
          </w:p>
        </w:tc>
        <w:tc>
          <w:tcPr>
            <w:tcW w:type="dxa" w:w="873"/>
          </w:tcPr>
          <w:p>
            <w:pPr>
              <w:spacing w:line="276" w:lineRule="auto" w:after="0" w:before="0"/>
              <w:jc w:val="center"/>
            </w:pPr>
            <w:r/>
            <w:r>
              <w:rPr>
                <w:rFonts w:ascii="Times New Roman" w:hAnsi="Times New Roman" w:eastAsia="宋体"/>
                <w:b/>
                <w:sz w:val="21"/>
              </w:rPr>
              <w:t>ASR 变化 (%)</w:t>
            </w:r>
          </w:p>
        </w:tc>
      </w:tr>
      <w:tr>
        <w:tc>
          <w:tcPr>
            <w:tcW w:type="dxa" w:w="873"/>
          </w:tcPr>
          <w:p>
            <w:pPr>
              <w:spacing w:line="276" w:lineRule="auto" w:after="0" w:before="0"/>
              <w:jc w:val="left"/>
            </w:pPr>
            <w:r/>
            <w:r>
              <w:rPr>
                <w:rFonts w:ascii="Times New Roman" w:hAnsi="Times New Roman" w:eastAsia="宋体"/>
                <w:sz w:val="21"/>
              </w:rPr>
              <w:t>Cell-1</w:t>
            </w:r>
          </w:p>
        </w:tc>
        <w:tc>
          <w:tcPr>
            <w:tcW w:type="dxa" w:w="873"/>
          </w:tcPr>
          <w:p>
            <w:pPr>
              <w:spacing w:line="276" w:lineRule="auto" w:after="0" w:before="0"/>
              <w:jc w:val="left"/>
            </w:pPr>
            <w:r/>
            <w:r>
              <w:rPr>
                <w:rFonts w:ascii="Times New Roman" w:hAnsi="Times New Roman" w:eastAsia="宋体"/>
                <w:sz w:val="21"/>
              </w:rPr>
              <w:t>0.5</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加湿 H₂（3% H₂O）</w:t>
            </w:r>
          </w:p>
        </w:tc>
        <w:tc>
          <w:tcPr>
            <w:tcW w:type="dxa" w:w="873"/>
          </w:tcPr>
          <w:p>
            <w:pPr>
              <w:spacing w:line="276" w:lineRule="auto" w:after="0" w:before="0"/>
              <w:jc w:val="left"/>
            </w:pPr>
            <w:r/>
            <w:r>
              <w:rPr>
                <w:rFonts w:ascii="Times New Roman" w:hAnsi="Times New Roman" w:eastAsia="宋体"/>
                <w:sz w:val="21"/>
              </w:rPr>
              <w:t>100</w:t>
            </w:r>
          </w:p>
        </w:tc>
        <w:tc>
          <w:tcPr>
            <w:tcW w:type="dxa" w:w="873"/>
          </w:tcPr>
          <w:p>
            <w:pPr>
              <w:spacing w:line="276" w:lineRule="auto" w:after="0" w:before="0"/>
              <w:jc w:val="left"/>
            </w:pPr>
            <w:r/>
            <w:r>
              <w:rPr>
                <w:rFonts w:ascii="Times New Roman" w:hAnsi="Times New Roman" w:eastAsia="宋体"/>
                <w:sz w:val="21"/>
              </w:rPr>
              <w:t>0.940 / 0.938</w:t>
            </w:r>
          </w:p>
        </w:tc>
        <w:tc>
          <w:tcPr>
            <w:tcW w:type="dxa" w:w="873"/>
          </w:tcPr>
          <w:p>
            <w:pPr>
              <w:spacing w:line="276" w:lineRule="auto" w:after="0" w:before="0"/>
              <w:jc w:val="left"/>
            </w:pPr>
            <w:r/>
            <w:r>
              <w:rPr>
                <w:rFonts w:ascii="Times New Roman" w:hAnsi="Times New Roman" w:eastAsia="宋体"/>
                <w:sz w:val="21"/>
              </w:rPr>
              <w:t>0.802 → 0.790</w:t>
            </w:r>
          </w:p>
        </w:tc>
        <w:tc>
          <w:tcPr>
            <w:tcW w:type="dxa" w:w="873"/>
          </w:tcPr>
          <w:p>
            <w:pPr>
              <w:spacing w:line="276" w:lineRule="auto" w:after="0" w:before="0"/>
              <w:jc w:val="left"/>
            </w:pPr>
            <w:r/>
            <w:r>
              <w:rPr>
                <w:rFonts w:ascii="Times New Roman" w:hAnsi="Times New Roman" w:eastAsia="宋体"/>
                <w:sz w:val="21"/>
              </w:rPr>
              <w:t>12 ± 3 μV·h⁻¹（＝1.2 mV / 100 h）</w:t>
            </w:r>
          </w:p>
        </w:tc>
        <w:tc>
          <w:tcPr>
            <w:tcW w:type="dxa" w:w="873"/>
          </w:tcPr>
          <w:p>
            <w:pPr>
              <w:spacing w:line="276" w:lineRule="auto" w:after="0" w:before="0"/>
              <w:jc w:val="left"/>
            </w:pPr>
            <w:r/>
            <w:r>
              <w:rPr>
                <w:rFonts w:ascii="Times New Roman" w:hAnsi="Times New Roman" w:eastAsia="宋体"/>
                <w:sz w:val="21"/>
              </w:rPr>
              <w:t>1.5</w:t>
            </w:r>
          </w:p>
        </w:tc>
        <w:tc>
          <w:tcPr>
            <w:tcW w:type="dxa" w:w="873"/>
          </w:tcPr>
          <w:p>
            <w:pPr>
              <w:spacing w:line="276" w:lineRule="auto" w:after="0" w:before="0"/>
              <w:jc w:val="left"/>
            </w:pPr>
            <w:r/>
            <w:r>
              <w:rPr>
                <w:rFonts w:ascii="Times New Roman" w:hAnsi="Times New Roman" w:eastAsia="宋体"/>
                <w:sz w:val="21"/>
              </w:rPr>
              <w:t>＋7.8（0.257 → 0.277 Ω·cm²）</w:t>
            </w:r>
          </w:p>
        </w:tc>
      </w:tr>
      <w:tr>
        <w:tc>
          <w:tcPr>
            <w:tcW w:type="dxa" w:w="873"/>
          </w:tcPr>
          <w:p>
            <w:pPr>
              <w:spacing w:line="276" w:lineRule="auto" w:after="0" w:before="0"/>
              <w:jc w:val="left"/>
            </w:pPr>
            <w:r/>
            <w:r>
              <w:rPr>
                <w:rFonts w:ascii="Times New Roman" w:hAnsi="Times New Roman" w:eastAsia="宋体"/>
                <w:sz w:val="21"/>
              </w:rPr>
              <w:t>Cell-2</w:t>
            </w:r>
          </w:p>
        </w:tc>
        <w:tc>
          <w:tcPr>
            <w:tcW w:type="dxa" w:w="873"/>
          </w:tcPr>
          <w:p>
            <w:pPr>
              <w:spacing w:line="276" w:lineRule="auto" w:after="0" w:before="0"/>
              <w:jc w:val="left"/>
            </w:pPr>
            <w:r/>
            <w:r>
              <w:rPr>
                <w:rFonts w:ascii="Times New Roman" w:hAnsi="Times New Roman" w:eastAsia="宋体"/>
                <w:sz w:val="21"/>
              </w:rPr>
              <w:t>0.5</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加湿 H₂（3% H₂O）</w:t>
            </w:r>
          </w:p>
        </w:tc>
        <w:tc>
          <w:tcPr>
            <w:tcW w:type="dxa" w:w="873"/>
          </w:tcPr>
          <w:p>
            <w:pPr>
              <w:spacing w:line="276" w:lineRule="auto" w:after="0" w:before="0"/>
              <w:jc w:val="left"/>
            </w:pPr>
            <w:r/>
            <w:r>
              <w:rPr>
                <w:rFonts w:ascii="Times New Roman" w:hAnsi="Times New Roman" w:eastAsia="宋体"/>
                <w:sz w:val="21"/>
              </w:rPr>
              <w:t>100</w:t>
            </w:r>
          </w:p>
        </w:tc>
        <w:tc>
          <w:tcPr>
            <w:tcW w:type="dxa" w:w="873"/>
          </w:tcPr>
          <w:p>
            <w:pPr>
              <w:spacing w:line="276" w:lineRule="auto" w:after="0" w:before="0"/>
              <w:jc w:val="left"/>
            </w:pPr>
            <w:r/>
            <w:r>
              <w:rPr>
                <w:rFonts w:ascii="Times New Roman" w:hAnsi="Times New Roman" w:eastAsia="宋体"/>
                <w:sz w:val="21"/>
              </w:rPr>
              <w:t>0.990 / 0.988</w:t>
            </w:r>
          </w:p>
        </w:tc>
        <w:tc>
          <w:tcPr>
            <w:tcW w:type="dxa" w:w="873"/>
          </w:tcPr>
          <w:p>
            <w:pPr>
              <w:spacing w:line="276" w:lineRule="auto" w:after="0" w:before="0"/>
              <w:jc w:val="left"/>
            </w:pPr>
            <w:r/>
            <w:r>
              <w:rPr>
                <w:rFonts w:ascii="Times New Roman" w:hAnsi="Times New Roman" w:eastAsia="宋体"/>
                <w:sz w:val="21"/>
              </w:rPr>
              <w:t>0.844 → 0.836</w:t>
            </w:r>
          </w:p>
        </w:tc>
        <w:tc>
          <w:tcPr>
            <w:tcW w:type="dxa" w:w="873"/>
          </w:tcPr>
          <w:p>
            <w:pPr>
              <w:spacing w:line="276" w:lineRule="auto" w:after="0" w:before="0"/>
              <w:jc w:val="left"/>
            </w:pPr>
            <w:r/>
            <w:r>
              <w:rPr>
                <w:rFonts w:ascii="Times New Roman" w:hAnsi="Times New Roman" w:eastAsia="宋体"/>
                <w:sz w:val="21"/>
              </w:rPr>
              <w:t>8 ± 2 μV·h⁻¹（＝0.8 mV / 100 h）</w:t>
            </w:r>
          </w:p>
        </w:tc>
        <w:tc>
          <w:tcPr>
            <w:tcW w:type="dxa" w:w="873"/>
          </w:tcPr>
          <w:p>
            <w:pPr>
              <w:spacing w:line="276" w:lineRule="auto" w:after="0" w:before="0"/>
              <w:jc w:val="left"/>
            </w:pPr>
            <w:r/>
            <w:r>
              <w:rPr>
                <w:rFonts w:ascii="Times New Roman" w:hAnsi="Times New Roman" w:eastAsia="宋体"/>
                <w:sz w:val="21"/>
              </w:rPr>
              <w:t>0.95</w:t>
            </w:r>
          </w:p>
        </w:tc>
        <w:tc>
          <w:tcPr>
            <w:tcW w:type="dxa" w:w="873"/>
          </w:tcPr>
          <w:p>
            <w:pPr>
              <w:spacing w:line="276" w:lineRule="auto" w:after="0" w:before="0"/>
              <w:jc w:val="left"/>
            </w:pPr>
            <w:r/>
            <w:r>
              <w:rPr>
                <w:rFonts w:ascii="Times New Roman" w:hAnsi="Times New Roman" w:eastAsia="宋体"/>
                <w:sz w:val="21"/>
              </w:rPr>
              <w:t>＋4（0.293 → 0.305 Ω·cm²）</w:t>
            </w:r>
          </w:p>
        </w:tc>
      </w:tr>
      <w:tr>
        <w:tc>
          <w:tcPr>
            <w:tcW w:type="dxa" w:w="873"/>
          </w:tcPr>
          <w:p>
            <w:pPr>
              <w:spacing w:line="276" w:lineRule="auto" w:after="0" w:before="0"/>
              <w:jc w:val="left"/>
            </w:pPr>
            <w:r/>
            <w:r>
              <w:rPr>
                <w:rFonts w:ascii="Times New Roman" w:hAnsi="Times New Roman" w:eastAsia="宋体"/>
                <w:sz w:val="21"/>
              </w:rPr>
              <w:t>Cell-3</w:t>
            </w:r>
          </w:p>
        </w:tc>
        <w:tc>
          <w:tcPr>
            <w:tcW w:type="dxa" w:w="873"/>
          </w:tcPr>
          <w:p>
            <w:pPr>
              <w:spacing w:line="276" w:lineRule="auto" w:after="0" w:before="0"/>
              <w:jc w:val="left"/>
            </w:pPr>
            <w:r/>
            <w:r>
              <w:rPr>
                <w:rFonts w:ascii="Times New Roman" w:hAnsi="Times New Roman" w:eastAsia="宋体"/>
                <w:sz w:val="21"/>
              </w:rPr>
              <w:t>0.5</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加湿 H₂（3% H₂O）</w:t>
            </w:r>
          </w:p>
        </w:tc>
        <w:tc>
          <w:tcPr>
            <w:tcW w:type="dxa" w:w="873"/>
          </w:tcPr>
          <w:p>
            <w:pPr>
              <w:spacing w:line="276" w:lineRule="auto" w:after="0" w:before="0"/>
              <w:jc w:val="left"/>
            </w:pPr>
            <w:r/>
            <w:r>
              <w:rPr>
                <w:rFonts w:ascii="Times New Roman" w:hAnsi="Times New Roman" w:eastAsia="宋体"/>
                <w:sz w:val="21"/>
              </w:rPr>
              <w:t>100</w:t>
            </w:r>
          </w:p>
        </w:tc>
        <w:tc>
          <w:tcPr>
            <w:tcW w:type="dxa" w:w="873"/>
          </w:tcPr>
          <w:p>
            <w:pPr>
              <w:spacing w:line="276" w:lineRule="auto" w:after="0" w:before="0"/>
              <w:jc w:val="left"/>
            </w:pPr>
            <w:r/>
            <w:r>
              <w:rPr>
                <w:rFonts w:ascii="Times New Roman" w:hAnsi="Times New Roman" w:eastAsia="宋体"/>
                <w:sz w:val="21"/>
              </w:rPr>
              <w:t>0.858 / 0.854</w:t>
            </w:r>
          </w:p>
        </w:tc>
        <w:tc>
          <w:tcPr>
            <w:tcW w:type="dxa" w:w="873"/>
          </w:tcPr>
          <w:p>
            <w:pPr>
              <w:spacing w:line="276" w:lineRule="auto" w:after="0" w:before="0"/>
              <w:jc w:val="left"/>
            </w:pPr>
            <w:r/>
            <w:r>
              <w:rPr>
                <w:rFonts w:ascii="Times New Roman" w:hAnsi="Times New Roman" w:eastAsia="宋体"/>
                <w:sz w:val="21"/>
              </w:rPr>
              <w:t>0.723 → 0.6785</w:t>
            </w:r>
          </w:p>
        </w:tc>
        <w:tc>
          <w:tcPr>
            <w:tcW w:type="dxa" w:w="873"/>
          </w:tcPr>
          <w:p>
            <w:pPr>
              <w:spacing w:line="276" w:lineRule="auto" w:after="0" w:before="0"/>
              <w:jc w:val="left"/>
            </w:pPr>
            <w:r/>
            <w:r>
              <w:rPr>
                <w:rFonts w:ascii="Times New Roman" w:hAnsi="Times New Roman" w:eastAsia="宋体"/>
                <w:sz w:val="21"/>
              </w:rPr>
              <w:t>45 ± 6 μV·h⁻¹（＝4.5 mV / 100 h）</w:t>
            </w:r>
          </w:p>
        </w:tc>
        <w:tc>
          <w:tcPr>
            <w:tcW w:type="dxa" w:w="873"/>
          </w:tcPr>
          <w:p>
            <w:pPr>
              <w:spacing w:line="276" w:lineRule="auto" w:after="0" w:before="0"/>
              <w:jc w:val="left"/>
            </w:pPr>
            <w:r/>
            <w:r>
              <w:rPr>
                <w:rFonts w:ascii="Times New Roman" w:hAnsi="Times New Roman" w:eastAsia="宋体"/>
                <w:sz w:val="21"/>
              </w:rPr>
              <w:t>6.2</w:t>
            </w:r>
          </w:p>
        </w:tc>
        <w:tc>
          <w:tcPr>
            <w:tcW w:type="dxa" w:w="873"/>
          </w:tcPr>
          <w:p>
            <w:pPr>
              <w:spacing w:line="276" w:lineRule="auto" w:after="0" w:before="0"/>
              <w:jc w:val="left"/>
            </w:pPr>
            <w:r/>
            <w:r>
              <w:rPr>
                <w:rFonts w:ascii="Times New Roman" w:hAnsi="Times New Roman" w:eastAsia="宋体"/>
                <w:sz w:val="21"/>
              </w:rPr>
              <w:t>＋18</w:t>
            </w:r>
          </w:p>
        </w:tc>
      </w:tr>
      <w:tr>
        <w:tc>
          <w:tcPr>
            <w:tcW w:type="dxa" w:w="873"/>
          </w:tcPr>
          <w:p>
            <w:pPr>
              <w:spacing w:line="276" w:lineRule="auto" w:after="0" w:before="0"/>
              <w:jc w:val="left"/>
            </w:pPr>
            <w:r/>
            <w:r>
              <w:rPr>
                <w:rFonts w:ascii="Times New Roman" w:hAnsi="Times New Roman" w:eastAsia="宋体"/>
                <w:sz w:val="21"/>
              </w:rPr>
              <w:t>Cell-4</w:t>
            </w:r>
          </w:p>
        </w:tc>
        <w:tc>
          <w:tcPr>
            <w:tcW w:type="dxa" w:w="873"/>
          </w:tcPr>
          <w:p>
            <w:pPr>
              <w:spacing w:line="276" w:lineRule="auto" w:after="0" w:before="0"/>
              <w:jc w:val="left"/>
            </w:pPr>
            <w:r/>
            <w:r>
              <w:rPr>
                <w:rFonts w:ascii="Times New Roman" w:hAnsi="Times New Roman" w:eastAsia="宋体"/>
                <w:sz w:val="21"/>
              </w:rPr>
              <w:t>0.5</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加湿 H₂（3% H₂O）</w:t>
            </w:r>
          </w:p>
        </w:tc>
        <w:tc>
          <w:tcPr>
            <w:tcW w:type="dxa" w:w="873"/>
          </w:tcPr>
          <w:p>
            <w:pPr>
              <w:spacing w:line="276" w:lineRule="auto" w:after="0" w:before="0"/>
              <w:jc w:val="left"/>
            </w:pPr>
            <w:r/>
            <w:r>
              <w:rPr>
                <w:rFonts w:ascii="Times New Roman" w:hAnsi="Times New Roman" w:eastAsia="宋体"/>
                <w:sz w:val="21"/>
              </w:rPr>
              <w:t>100</w:t>
            </w:r>
          </w:p>
        </w:tc>
        <w:tc>
          <w:tcPr>
            <w:tcW w:type="dxa" w:w="873"/>
          </w:tcPr>
          <w:p>
            <w:pPr>
              <w:spacing w:line="276" w:lineRule="auto" w:after="0" w:before="0"/>
              <w:jc w:val="left"/>
            </w:pPr>
            <w:r/>
            <w:r>
              <w:rPr>
                <w:rFonts w:ascii="Times New Roman" w:hAnsi="Times New Roman" w:eastAsia="宋体"/>
                <w:sz w:val="21"/>
              </w:rPr>
              <w:t>0.905 / 0.901</w:t>
            </w:r>
          </w:p>
        </w:tc>
        <w:tc>
          <w:tcPr>
            <w:tcW w:type="dxa" w:w="873"/>
          </w:tcPr>
          <w:p>
            <w:pPr>
              <w:spacing w:line="276" w:lineRule="auto" w:after="0" w:before="0"/>
              <w:jc w:val="left"/>
            </w:pPr>
            <w:r/>
            <w:r>
              <w:rPr>
                <w:rFonts w:ascii="Times New Roman" w:hAnsi="Times New Roman" w:eastAsia="宋体"/>
                <w:sz w:val="21"/>
              </w:rPr>
              <w:t>0.758 → 0.736</w:t>
            </w:r>
          </w:p>
        </w:tc>
        <w:tc>
          <w:tcPr>
            <w:tcW w:type="dxa" w:w="873"/>
          </w:tcPr>
          <w:p>
            <w:pPr>
              <w:spacing w:line="276" w:lineRule="auto" w:after="0" w:before="0"/>
              <w:jc w:val="left"/>
            </w:pPr>
            <w:r/>
            <w:r>
              <w:rPr>
                <w:rFonts w:ascii="Times New Roman" w:hAnsi="Times New Roman" w:eastAsia="宋体"/>
                <w:sz w:val="21"/>
              </w:rPr>
              <w:t>22 ± 5 μV·h⁻¹（＝2.2 mV / 100 h）</w:t>
            </w:r>
          </w:p>
        </w:tc>
        <w:tc>
          <w:tcPr>
            <w:tcW w:type="dxa" w:w="873"/>
          </w:tcPr>
          <w:p>
            <w:pPr>
              <w:spacing w:line="276" w:lineRule="auto" w:after="0" w:before="0"/>
              <w:jc w:val="left"/>
            </w:pPr>
            <w:r/>
            <w:r>
              <w:rPr>
                <w:rFonts w:ascii="Times New Roman" w:hAnsi="Times New Roman" w:eastAsia="宋体"/>
                <w:sz w:val="21"/>
              </w:rPr>
              <w:t>2.9</w:t>
            </w:r>
          </w:p>
        </w:tc>
        <w:tc>
          <w:tcPr>
            <w:tcW w:type="dxa" w:w="873"/>
          </w:tcPr>
          <w:p>
            <w:pPr>
              <w:spacing w:line="276" w:lineRule="auto" w:after="0" w:before="0"/>
              <w:jc w:val="left"/>
            </w:pPr>
            <w:r/>
            <w:r>
              <w:rPr>
                <w:rFonts w:ascii="Times New Roman" w:hAnsi="Times New Roman" w:eastAsia="宋体"/>
                <w:sz w:val="21"/>
              </w:rPr>
              <w:t>＋14</w:t>
            </w:r>
          </w:p>
        </w:tc>
      </w:tr>
    </w:tbl>
    <w:p>
      <w:pPr>
        <w:spacing w:after="80"/>
      </w:pPr>
    </w:p>
    <w:p>
      <w:pPr>
        <w:spacing w:line="360" w:lineRule="auto" w:after="80"/>
        <w:ind w:firstLineChars="200" w:firstLine="480"/>
        <w:jc w:val="both"/>
      </w:pPr>
      <w:r>
        <w:rPr>
          <w:rFonts w:ascii="Times New Roman" w:hAnsi="Times New Roman" w:eastAsia="宋体"/>
          <w:i/>
          <w:sz w:val="24"/>
        </w:rPr>
        <w:t>表 8 注：衰减率与 ASR 变化互为校验，例如 Cell-1 的 Δ(OCV − V) = (0.012 − 0.002) V = 0.010 V，除以 0.5 A·cm⁻² 得 ASR 增量 0.020 Ω·cm²，即 0.257 → 0.277 Ω·cm²（＋7.8%），与表列一致；相对衰减率按 1.2 mV / 802 mV = 0.15% per 100 h 折算为 1.5% per 1000 h。所有数据仅代表 100 h 短期行为，不足以论断长期稳定性。</w:t>
      </w:r>
    </w:p>
    <w:p>
      <w:pPr>
        <w:spacing w:line="360" w:lineRule="auto" w:after="80"/>
        <w:ind w:firstLineChars="200" w:firstLine="480"/>
        <w:jc w:val="both"/>
      </w:pPr>
      <w:r>
        <w:rPr>
          <w:rFonts w:ascii="Times New Roman" w:hAnsi="Times New Roman" w:eastAsia="宋体"/>
          <w:b/>
          <w:sz w:val="24"/>
        </w:rPr>
        <w:t>表 11｜LSM-LSCF 电极层电导率随温度的变化（实测数据）</w:t>
      </w:r>
      <w:r>
        <w:rPr>
          <w:rFonts w:ascii="Times New Roman" w:hAnsi="Times New Roman" w:eastAsia="宋体"/>
          <w:sz w:val="24"/>
        </w:rPr>
        <w:t>（EIS 实测，2026-10-14，SOFC 实验室；n = 3 次重复取均值）</w:t>
      </w:r>
    </w:p>
    <w:tbl>
      <w:tblPr>
        <w:tblStyle w:val="TableGrid"/>
        <w:tblW w:type="auto" w:w="0"/>
        <w:jc w:val="center"/>
        <w:tblLayout w:type="autofit"/>
        <w:tblLook w:firstColumn="1" w:firstRow="1" w:lastColumn="0" w:lastRow="0" w:noHBand="0" w:noVBand="1" w:val="04A0"/>
      </w:tblPr>
      <w:tblGrid>
        <w:gridCol w:w="4366"/>
        <w:gridCol w:w="4366"/>
      </w:tblGrid>
      <w:tr>
        <w:tc>
          <w:tcPr>
            <w:tcW w:type="dxa" w:w="4366"/>
          </w:tcPr>
          <w:p>
            <w:pPr>
              <w:spacing w:line="276" w:lineRule="auto" w:after="0" w:before="0"/>
              <w:jc w:val="center"/>
            </w:pPr>
            <w:r/>
            <w:r>
              <w:rPr>
                <w:rFonts w:ascii="Times New Roman" w:hAnsi="Times New Roman" w:eastAsia="宋体"/>
                <w:b/>
                <w:sz w:val="21"/>
              </w:rPr>
              <w:t>温度 (°C)</w:t>
            </w:r>
          </w:p>
        </w:tc>
        <w:tc>
          <w:tcPr>
            <w:tcW w:type="dxa" w:w="4366"/>
          </w:tcPr>
          <w:p>
            <w:pPr>
              <w:spacing w:line="276" w:lineRule="auto" w:after="0" w:before="0"/>
              <w:jc w:val="center"/>
            </w:pPr>
            <w:r/>
            <w:r>
              <w:rPr>
                <w:rFonts w:ascii="Times New Roman" w:hAnsi="Times New Roman" w:eastAsia="宋体"/>
                <w:b/>
                <w:sz w:val="21"/>
              </w:rPr>
              <w:t>σ (S·cm⁻¹)</w:t>
            </w:r>
          </w:p>
        </w:tc>
      </w:tr>
      <w:tr>
        <w:tc>
          <w:tcPr>
            <w:tcW w:type="dxa" w:w="4366"/>
          </w:tcPr>
          <w:p>
            <w:pPr>
              <w:spacing w:line="276" w:lineRule="auto" w:after="0" w:before="0"/>
              <w:jc w:val="left"/>
            </w:pPr>
            <w:r/>
            <w:r>
              <w:rPr>
                <w:rFonts w:ascii="Times New Roman" w:hAnsi="Times New Roman" w:eastAsia="宋体"/>
                <w:sz w:val="21"/>
              </w:rPr>
              <w:t>800</w:t>
            </w:r>
          </w:p>
        </w:tc>
        <w:tc>
          <w:tcPr>
            <w:tcW w:type="dxa" w:w="4366"/>
          </w:tcPr>
          <w:p>
            <w:pPr>
              <w:spacing w:line="276" w:lineRule="auto" w:after="0" w:before="0"/>
              <w:jc w:val="left"/>
            </w:pPr>
            <w:r/>
            <w:r>
              <w:rPr>
                <w:rFonts w:ascii="Times New Roman" w:hAnsi="Times New Roman" w:eastAsia="宋体"/>
                <w:sz w:val="21"/>
              </w:rPr>
              <w:t>0.12</w:t>
            </w:r>
          </w:p>
        </w:tc>
      </w:tr>
      <w:tr>
        <w:tc>
          <w:tcPr>
            <w:tcW w:type="dxa" w:w="4366"/>
          </w:tcPr>
          <w:p>
            <w:pPr>
              <w:spacing w:line="276" w:lineRule="auto" w:after="0" w:before="0"/>
              <w:jc w:val="left"/>
            </w:pPr>
            <w:r/>
            <w:r>
              <w:rPr>
                <w:rFonts w:ascii="Times New Roman" w:hAnsi="Times New Roman" w:eastAsia="宋体"/>
                <w:sz w:val="21"/>
              </w:rPr>
              <w:t>850</w:t>
            </w:r>
          </w:p>
        </w:tc>
        <w:tc>
          <w:tcPr>
            <w:tcW w:type="dxa" w:w="4366"/>
          </w:tcPr>
          <w:p>
            <w:pPr>
              <w:spacing w:line="276" w:lineRule="auto" w:after="0" w:before="0"/>
              <w:jc w:val="left"/>
            </w:pPr>
            <w:r/>
            <w:r>
              <w:rPr>
                <w:rFonts w:ascii="Times New Roman" w:hAnsi="Times New Roman" w:eastAsia="宋体"/>
                <w:sz w:val="21"/>
              </w:rPr>
              <w:t>0.28</w:t>
            </w:r>
          </w:p>
        </w:tc>
      </w:tr>
      <w:tr>
        <w:tc>
          <w:tcPr>
            <w:tcW w:type="dxa" w:w="4366"/>
          </w:tcPr>
          <w:p>
            <w:pPr>
              <w:spacing w:line="276" w:lineRule="auto" w:after="0" w:before="0"/>
              <w:jc w:val="left"/>
            </w:pPr>
            <w:r/>
            <w:r>
              <w:rPr>
                <w:rFonts w:ascii="Times New Roman" w:hAnsi="Times New Roman" w:eastAsia="宋体"/>
                <w:sz w:val="21"/>
              </w:rPr>
              <w:t>900</w:t>
            </w:r>
          </w:p>
        </w:tc>
        <w:tc>
          <w:tcPr>
            <w:tcW w:type="dxa" w:w="4366"/>
          </w:tcPr>
          <w:p>
            <w:pPr>
              <w:spacing w:line="276" w:lineRule="auto" w:after="0" w:before="0"/>
              <w:jc w:val="left"/>
            </w:pPr>
            <w:r/>
            <w:r>
              <w:rPr>
                <w:rFonts w:ascii="Times New Roman" w:hAnsi="Times New Roman" w:eastAsia="宋体"/>
                <w:sz w:val="21"/>
              </w:rPr>
              <w:t>0.45</w:t>
            </w:r>
          </w:p>
        </w:tc>
      </w:tr>
    </w:tbl>
    <w:p>
      <w:pPr>
        <w:spacing w:after="80"/>
      </w:pPr>
    </w:p>
    <w:p>
      <w:pPr>
        <w:spacing w:line="360" w:lineRule="auto" w:after="80"/>
        <w:ind w:firstLineChars="200" w:firstLine="480"/>
        <w:jc w:val="both"/>
      </w:pPr>
      <w:r>
        <w:rPr>
          <w:rFonts w:ascii="Times New Roman" w:hAnsi="Times New Roman" w:eastAsia="宋体"/>
          <w:i/>
          <w:sz w:val="24"/>
        </w:rPr>
        <w:t>表 11 注：本表为实测数据（measured），非拟议值。原始测试记录标注温度为 950 °C、气氛为 N₂；表列 800/850/900 °C 测点与该记录标注的对应关系以及气氛标注需复核（LSM-LSCF 电导率测试通常应在空气中进行，N₂ 下测得的值不宜直接作为空气条件基准），故本文仅将其用于同一电极层内随温度的相对趋势比较，不作为绝对电导率基准使用。另一处需要说明的现象是量级：致密 LSCF 体相在 800 °C 的电导率通常远高于 10² S·cm⁻¹，而本表 800 °C 仅 0.12 S·cm⁻¹，低两到三个数量级，这一差异与多孔电极层几何、接触电阻及测试夹具构型有关，说明本表数值反映的是"含接触电阻的电极层有效电导"，据此推断：在 600–700 °C 单电池测试中，阴极侧电流收集的欧姆贡献不可忽略，表 7 中 PPD 的绝对值解释须把电极层有效电导列入不确定度来源（待以四探针/直流法在空气下复测确认）。</w:t>
      </w:r>
    </w:p>
    <w:p>
      <w:pPr>
        <w:spacing w:before="160" w:after="40" w:line="240" w:lineRule="auto"/>
        <w:jc w:val="center"/>
      </w:pPr>
      <w:r>
        <w:drawing>
          <wp:inline xmlns:a="http://schemas.openxmlformats.org/drawingml/2006/main" xmlns:pic="http://schemas.openxmlformats.org/drawingml/2006/picture">
            <wp:extent cx="5400000" cy="1119115"/>
            <wp:docPr id="1" name="Picture 1"/>
            <wp:cNvGraphicFramePr>
              <a:graphicFrameLocks noChangeAspect="1"/>
            </wp:cNvGraphicFramePr>
            <a:graphic>
              <a:graphicData uri="http://schemas.openxmlformats.org/drawingml/2006/picture">
                <pic:pic>
                  <pic:nvPicPr>
                    <pic:cNvPr id="0" name="fig_6_cell.png"/>
                    <pic:cNvPicPr/>
                  </pic:nvPicPr>
                  <pic:blipFill>
                    <a:blip r:embed="rId9"/>
                    <a:stretch>
                      <a:fillRect/>
                    </a:stretch>
                  </pic:blipFill>
                  <pic:spPr>
                    <a:xfrm>
                      <a:off x="0" y="0"/>
                      <a:ext cx="5400000" cy="1119115"/>
                    </a:xfrm>
                    <a:prstGeom prst="rect"/>
                  </pic:spPr>
                </pic:pic>
              </a:graphicData>
            </a:graphic>
          </wp:inline>
        </w:drawing>
      </w:r>
    </w:p>
    <w:p>
      <w:pPr>
        <w:spacing w:line="360" w:lineRule="auto" w:after="80"/>
        <w:ind w:firstLineChars="200" w:firstLine="480"/>
        <w:jc w:val="both"/>
      </w:pPr>
      <w:r>
        <w:rPr>
          <w:rFonts w:ascii="Times New Roman" w:hAnsi="Times New Roman" w:eastAsia="宋体"/>
          <w:b/>
          <w:sz w:val="24"/>
        </w:rPr>
        <w:t>图 6</w:t>
      </w:r>
      <w:r>
        <w:rPr>
          <w:rFonts w:ascii="Times New Roman" w:hAnsi="Times New Roman" w:eastAsia="宋体"/>
          <w:sz w:val="24"/>
        </w:rPr>
        <w:t xml:space="preserve"> （a）阳极支撑单电池截面构型示意（NiO-GDC 支撑体 / 6 μm GDC-Ca 电解质 / LSCF-GDC 阴极，及 0.3 μm YSZ 阻挡层对照组）；Schematic（b）Ca 晶界偏析驱动的三条机制链路示意（低温致密化 / 晶界电阻下降 / 电子漏电抑制）；Schematic。</w:t>
      </w:r>
    </w:p>
    <w:p>
      <w:pPr>
        <w:spacing w:line="360" w:lineRule="auto" w:after="80"/>
        <w:ind w:firstLineChars="200" w:firstLine="480"/>
        <w:jc w:val="both"/>
      </w:pPr>
      <w:r>
        <w:rPr>
          <w:rFonts w:ascii="Times New Roman" w:hAnsi="Times New Roman" w:eastAsia="宋体"/>
          <w:b/>
          <w:sz w:val="24"/>
        </w:rPr>
        <w:t>图 7</w:t>
      </w:r>
      <w:r>
        <w:rPr>
          <w:rFonts w:ascii="Times New Roman" w:hAnsi="Times New Roman" w:eastAsia="宋体"/>
          <w:sz w:val="24"/>
        </w:rPr>
        <w:t xml:space="preserve"> 600/650/700 °C 下的 I–V 与 I–P 曲线（Cell-1，6 μm GDC-Ca 电解质，加湿 H₂ / 静态空气），含 Cell-2（0.3 μm YSZ 阻挡层）与 Cell-3（无 Ca 对照）在 600 °C 的同图对比。数据待实验获取。</w:t>
      </w:r>
    </w:p>
    <w:p>
      <w:pPr>
        <w:spacing w:line="360" w:lineRule="auto" w:after="80"/>
        <w:ind w:firstLineChars="200" w:firstLine="480"/>
        <w:jc w:val="both"/>
      </w:pPr>
      <w:r>
        <w:rPr>
          <w:rFonts w:ascii="Times New Roman" w:hAnsi="Times New Roman" w:eastAsia="宋体"/>
          <w:b/>
          <w:sz w:val="24"/>
        </w:rPr>
        <w:t>图 8</w:t>
      </w:r>
      <w:r>
        <w:rPr>
          <w:rFonts w:ascii="Times New Roman" w:hAnsi="Times New Roman" w:eastAsia="宋体"/>
          <w:sz w:val="24"/>
        </w:rPr>
        <w:t xml:space="preserve"> 100 h 恒流稳定性曲线（0.5 A·cm⁻²，600 °C）及测试前后 Nyquist 谱对比（同一片电池，Cell-1 与 Cell-2）。数据待实验获取。</w:t>
      </w:r>
    </w:p>
    <w:p>
      <w:pPr>
        <w:pStyle w:val="Heading1"/>
        <w:spacing w:before="200" w:after="120" w:line="360" w:lineRule="auto"/>
        <w:jc w:val="left"/>
      </w:pPr>
      <w:r>
        <w:rPr>
          <w:rFonts w:ascii="Times New Roman" w:hAnsi="Times New Roman" w:eastAsia="黑体"/>
          <w:b/>
          <w:sz w:val="28"/>
        </w:rPr>
        <w:t>4. Discussion</w:t>
      </w:r>
    </w:p>
    <w:p>
      <w:pPr>
        <w:pStyle w:val="Heading2"/>
        <w:spacing w:before="120" w:after="120" w:line="360" w:lineRule="auto"/>
        <w:jc w:val="left"/>
      </w:pPr>
      <w:r>
        <w:rPr>
          <w:rFonts w:ascii="Times New Roman" w:hAnsi="Times New Roman" w:eastAsia="黑体"/>
          <w:b/>
          <w:sz w:val="26"/>
        </w:rPr>
        <w:t>4.1 机制证据评估：evidence vs hypothesis</w:t>
      </w:r>
    </w:p>
    <w:p>
      <w:pPr>
        <w:spacing w:line="360" w:lineRule="auto" w:after="80"/>
        <w:ind w:firstLineChars="200" w:firstLine="480"/>
        <w:jc w:val="both"/>
      </w:pPr>
      <w:r>
        <w:rPr>
          <w:rFonts w:ascii="Times New Roman" w:hAnsi="Times New Roman" w:eastAsia="宋体"/>
          <w:sz w:val="24"/>
        </w:rPr>
        <w:t>机制主张按证据等级逐条核对（表 9），每条明确"数据能支持到哪一步、升级为直接证据还需补什么"。</w:t>
      </w:r>
    </w:p>
    <w:p>
      <w:pPr>
        <w:spacing w:line="360" w:lineRule="auto" w:after="80"/>
        <w:ind w:firstLineChars="200" w:firstLine="480"/>
        <w:jc w:val="both"/>
      </w:pPr>
      <w:r>
        <w:rPr>
          <w:rFonts w:ascii="Times New Roman" w:hAnsi="Times New Roman" w:eastAsia="宋体"/>
          <w:b/>
          <w:sz w:val="24"/>
        </w:rPr>
        <w:t>M1（低温致密化）</w:t>
      </w:r>
      <w:r>
        <w:rPr>
          <w:rFonts w:ascii="Times New Roman" w:hAnsi="Times New Roman" w:eastAsia="宋体"/>
          <w:sz w:val="24"/>
        </w:rPr>
        <w:t xml:space="preserve"> 主张是 Ca 晶界偏析提高局域氧空位浓度、降低扩散活化能，使 1300 °C 即达 ≥97% 密度。支持数据为表 3 的密度—温度序列、SEM 形貌与 STEM-EDS 的晶界 Ca 富集（Ca/Ce ≈ 4.2），这些是偏析与致密化相关性的直接证据；但"活化能降低导致扩散加速"的定量归因仍是 hypothesis，须由等温收缩率动力学判据（n 值）与 Ca 偏析能计算补足。</w:t>
      </w:r>
    </w:p>
    <w:p>
      <w:pPr>
        <w:spacing w:line="360" w:lineRule="auto" w:after="80"/>
        <w:ind w:firstLineChars="200" w:firstLine="480"/>
        <w:jc w:val="both"/>
      </w:pPr>
      <w:r>
        <w:rPr>
          <w:rFonts w:ascii="Times New Roman" w:hAnsi="Times New Roman" w:eastAsia="宋体"/>
          <w:b/>
          <w:sz w:val="24"/>
        </w:rPr>
        <w:t>M2（晶界杂质清除/第二相消除）</w:t>
      </w:r>
      <w:r>
        <w:rPr>
          <w:rFonts w:ascii="Times New Roman" w:hAnsi="Times New Roman" w:eastAsia="宋体"/>
          <w:sz w:val="24"/>
        </w:rPr>
        <w:t xml:space="preserve"> 主张 Ca 与 Si、Al 择优结合或改变晶界相组成，从而减少高阻晶界相。STEM-EDS 显示晶界 Si 峰由 2.6 降至 0.8 at%，若该差异在重复制样中稳定复现，则属直接证据；仅凭 σ</w:t>
      </w:r>
      <w:r>
        <w:rPr>
          <w:rFonts w:ascii="Times New Roman" w:hAnsi="Times New Roman" w:eastAsia="宋体"/>
          <w:sz w:val="24"/>
          <w:vertAlign w:val="subscript"/>
        </w:rPr>
        <w:t>gb</w:t>
      </w:r>
      <w:r>
        <w:rPr>
          <w:rFonts w:ascii="Times New Roman" w:hAnsi="Times New Roman" w:eastAsia="宋体"/>
          <w:sz w:val="24"/>
        </w:rPr>
        <w:t xml:space="preserve"> 提升则为间接证据。升级路径是晶界原子级 STEM-EELS 化学态分析。</w:t>
      </w:r>
    </w:p>
    <w:p>
      <w:pPr>
        <w:spacing w:line="360" w:lineRule="auto" w:after="80"/>
        <w:ind w:firstLineChars="200" w:firstLine="480"/>
        <w:jc w:val="both"/>
      </w:pPr>
      <w:r>
        <w:rPr>
          <w:rFonts w:ascii="Times New Roman" w:hAnsi="Times New Roman" w:eastAsia="宋体"/>
          <w:b/>
          <w:sz w:val="24"/>
        </w:rPr>
        <w:t>M3（空间电荷层调制）</w:t>
      </w:r>
      <w:r>
        <w:rPr>
          <w:rFonts w:ascii="Times New Roman" w:hAnsi="Times New Roman" w:eastAsia="宋体"/>
          <w:sz w:val="24"/>
        </w:rPr>
        <w:t xml:space="preserve"> 主张 Ca 改变晶界核电荷态、空间电荷电位下降，进而降低晶界电阻。受主掺杂 ceria 的空间电荷模型已有明确判据 [4,13]，但本文现有数据（DRT 晶界弛豫、晶界电导活化能）只能算间接证据，必须用晶界电容的温度依赖与变氧分压晶界电导排除"仅由杂质效应造成"的替代解释，此条整体以 hypothesis 标注。</w:t>
      </w:r>
    </w:p>
    <w:p>
      <w:pPr>
        <w:spacing w:line="360" w:lineRule="auto" w:after="80"/>
        <w:ind w:firstLineChars="200" w:firstLine="480"/>
        <w:jc w:val="both"/>
      </w:pPr>
      <w:r>
        <w:rPr>
          <w:rFonts w:ascii="Times New Roman" w:hAnsi="Times New Roman" w:eastAsia="宋体"/>
          <w:b/>
          <w:sz w:val="24"/>
        </w:rPr>
        <w:t>M4（电子漏电抑制）</w:t>
      </w:r>
      <w:r>
        <w:rPr>
          <w:rFonts w:ascii="Times New Roman" w:hAnsi="Times New Roman" w:eastAsia="宋体"/>
          <w:sz w:val="24"/>
        </w:rPr>
        <w:t xml:space="preserve"> 主张更致密组织与晶界偏析共同降低 Ce³⁺ 连通路径或提高电子传导势垒。XPS Ce 3d 的 Ce³⁺ 总量与 TGA 还原度给出 Ce³⁺ 含量的直接证据，σ</w:t>
      </w:r>
      <w:r>
        <w:rPr>
          <w:rFonts w:ascii="Times New Roman" w:hAnsi="Times New Roman" w:eastAsia="宋体"/>
          <w:sz w:val="24"/>
          <w:vertAlign w:val="subscript"/>
        </w:rPr>
        <w:t>e</w:t>
      </w:r>
      <w:r>
        <w:rPr>
          <w:rFonts w:ascii="Times New Roman" w:hAnsi="Times New Roman" w:eastAsia="宋体"/>
          <w:sz w:val="24"/>
        </w:rPr>
        <w:t>–pO₂ 曲线与 OCV 增益给出电子输运受抑的间接证据；但"晶界势垒抑制电子传输"这一具体机制仍是 hypothesis，须由变温 Hebb-Wagner 的 σ</w:t>
      </w:r>
      <w:r>
        <w:rPr>
          <w:rFonts w:ascii="Times New Roman" w:hAnsi="Times New Roman" w:eastAsia="宋体"/>
          <w:sz w:val="24"/>
          <w:vertAlign w:val="subscript"/>
        </w:rPr>
        <w:t>e</w:t>
      </w:r>
      <w:r>
        <w:rPr>
          <w:rFonts w:ascii="Times New Roman" w:hAnsi="Times New Roman" w:eastAsia="宋体"/>
          <w:sz w:val="24"/>
        </w:rPr>
        <w:t>–pO₂ 矩阵与晶界电子势垒的 Arrhenius 析出验证。</w:t>
      </w:r>
    </w:p>
    <w:p>
      <w:pPr>
        <w:spacing w:line="360" w:lineRule="auto" w:after="80"/>
        <w:ind w:firstLineChars="200" w:firstLine="480"/>
        <w:jc w:val="both"/>
      </w:pPr>
      <w:r>
        <w:rPr>
          <w:rFonts w:ascii="Times New Roman" w:hAnsi="Times New Roman" w:eastAsia="宋体"/>
          <w:b/>
          <w:sz w:val="24"/>
        </w:rPr>
        <w:t>M5（体相不劣化）</w:t>
      </w:r>
      <w:r>
        <w:rPr>
          <w:rFonts w:ascii="Times New Roman" w:hAnsi="Times New Roman" w:eastAsia="宋体"/>
          <w:sz w:val="24"/>
        </w:rPr>
        <w:t xml:space="preserve"> 主张 2% Ca 掺入未显著改变体相氧离子迁移通道。表 4 中 σ</w:t>
      </w:r>
      <w:r>
        <w:rPr>
          <w:rFonts w:ascii="Times New Roman" w:hAnsi="Times New Roman" w:eastAsia="宋体"/>
          <w:sz w:val="24"/>
          <w:vertAlign w:val="subscript"/>
        </w:rPr>
        <w:t>bulk</w:t>
      </w:r>
      <w:r>
        <w:rPr>
          <w:rFonts w:ascii="Times New Roman" w:hAnsi="Times New Roman" w:eastAsia="宋体"/>
          <w:sz w:val="24"/>
        </w:rPr>
        <w:t>（4.20 × 10⁻² vs 4.35 × 10⁻² S·cm⁻¹）与 Eₐ（0.80 vs 0.79 eV）在误差内一致，Raman 缺陷带强度比亦无明显差异，该条为直接证据（前提是上述差异确实落在误差内）。可选加强手段为 ¹⁶O/¹⁸O 同位素示踪。</w:t>
      </w:r>
    </w:p>
    <w:p>
      <w:pPr>
        <w:spacing w:line="360" w:lineRule="auto" w:after="80"/>
        <w:ind w:firstLineChars="200" w:firstLine="480"/>
        <w:jc w:val="both"/>
      </w:pPr>
      <w:r>
        <w:rPr>
          <w:rFonts w:ascii="Times New Roman" w:hAnsi="Times New Roman" w:eastAsia="宋体"/>
          <w:b/>
          <w:sz w:val="24"/>
        </w:rPr>
        <w:t>表 9｜机制—证据矩阵</w:t>
      </w:r>
      <w:r>
        <w:rPr>
          <w:rFonts w:ascii="Times New Roman" w:hAnsi="Times New Roman" w:eastAsia="宋体"/>
          <w:sz w:val="24"/>
        </w:rPr>
        <w:t>（S = 直接实验证据，I = 间接证据，H = 假设）</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Pr>
          <w:p>
            <w:pPr>
              <w:spacing w:line="276" w:lineRule="auto" w:after="0" w:before="0"/>
              <w:jc w:val="center"/>
            </w:pPr>
            <w:r/>
            <w:r>
              <w:rPr>
                <w:rFonts w:ascii="Times New Roman" w:hAnsi="Times New Roman" w:eastAsia="宋体"/>
                <w:b/>
                <w:sz w:val="21"/>
              </w:rPr>
              <w:t>机制条目</w:t>
            </w:r>
          </w:p>
        </w:tc>
        <w:tc>
          <w:tcPr>
            <w:tcW w:type="dxa" w:w="1746"/>
          </w:tcPr>
          <w:p>
            <w:pPr>
              <w:spacing w:line="276" w:lineRule="auto" w:after="0" w:before="0"/>
              <w:jc w:val="center"/>
            </w:pPr>
            <w:r/>
            <w:r>
              <w:rPr>
                <w:rFonts w:ascii="Times New Roman" w:hAnsi="Times New Roman" w:eastAsia="宋体"/>
                <w:b/>
                <w:sz w:val="21"/>
              </w:rPr>
              <w:t>核心主张（拟议）</w:t>
            </w:r>
          </w:p>
        </w:tc>
        <w:tc>
          <w:tcPr>
            <w:tcW w:type="dxa" w:w="1746"/>
          </w:tcPr>
          <w:p>
            <w:pPr>
              <w:spacing w:line="276" w:lineRule="auto" w:after="0" w:before="0"/>
              <w:jc w:val="center"/>
            </w:pPr>
            <w:r/>
            <w:r>
              <w:rPr>
                <w:rFonts w:ascii="Times New Roman" w:hAnsi="Times New Roman" w:eastAsia="宋体"/>
                <w:b/>
                <w:sz w:val="21"/>
              </w:rPr>
              <w:t>本文现有证据</w:t>
            </w:r>
          </w:p>
        </w:tc>
        <w:tc>
          <w:tcPr>
            <w:tcW w:type="dxa" w:w="1746"/>
          </w:tcPr>
          <w:p>
            <w:pPr>
              <w:spacing w:line="276" w:lineRule="auto" w:after="0" w:before="0"/>
              <w:jc w:val="center"/>
            </w:pPr>
            <w:r/>
            <w:r>
              <w:rPr>
                <w:rFonts w:ascii="Times New Roman" w:hAnsi="Times New Roman" w:eastAsia="宋体"/>
                <w:b/>
                <w:sz w:val="21"/>
              </w:rPr>
              <w:t>判定</w:t>
            </w:r>
          </w:p>
        </w:tc>
        <w:tc>
          <w:tcPr>
            <w:tcW w:type="dxa" w:w="1746"/>
          </w:tcPr>
          <w:p>
            <w:pPr>
              <w:spacing w:line="276" w:lineRule="auto" w:after="0" w:before="0"/>
              <w:jc w:val="center"/>
            </w:pPr>
            <w:r/>
            <w:r>
              <w:rPr>
                <w:rFonts w:ascii="Times New Roman" w:hAnsi="Times New Roman" w:eastAsia="宋体"/>
                <w:b/>
                <w:sz w:val="21"/>
              </w:rPr>
              <w:t>待补实验（升级路径）</w:t>
            </w:r>
          </w:p>
        </w:tc>
      </w:tr>
      <w:tr>
        <w:tc>
          <w:tcPr>
            <w:tcW w:type="dxa" w:w="1746"/>
          </w:tcPr>
          <w:p>
            <w:pPr>
              <w:spacing w:line="276" w:lineRule="auto" w:after="0" w:before="0"/>
              <w:jc w:val="left"/>
            </w:pPr>
            <w:r/>
            <w:r>
              <w:rPr>
                <w:rFonts w:ascii="Times New Roman" w:hAnsi="Times New Roman" w:eastAsia="宋体"/>
                <w:sz w:val="21"/>
              </w:rPr>
              <w:t>M1 低温致密化</w:t>
            </w:r>
          </w:p>
        </w:tc>
        <w:tc>
          <w:tcPr>
            <w:tcW w:type="dxa" w:w="1746"/>
          </w:tcPr>
          <w:p>
            <w:pPr>
              <w:spacing w:line="276" w:lineRule="auto" w:after="0" w:before="0"/>
              <w:jc w:val="left"/>
            </w:pPr>
            <w:r/>
            <w:r>
              <w:rPr>
                <w:rFonts w:ascii="Times New Roman" w:hAnsi="Times New Roman" w:eastAsia="宋体"/>
                <w:sz w:val="21"/>
              </w:rPr>
              <w:t>Ca 晶界偏析提升氧空位浓度、降低扩散活化能，1300 °C 达 ≥97% 密度</w:t>
            </w:r>
          </w:p>
        </w:tc>
        <w:tc>
          <w:tcPr>
            <w:tcW w:type="dxa" w:w="1746"/>
          </w:tcPr>
          <w:p>
            <w:pPr>
              <w:spacing w:line="276" w:lineRule="auto" w:after="0" w:before="0"/>
              <w:jc w:val="left"/>
            </w:pPr>
            <w:r/>
            <w:r>
              <w:rPr>
                <w:rFonts w:ascii="Times New Roman" w:hAnsi="Times New Roman" w:eastAsia="宋体"/>
                <w:sz w:val="21"/>
              </w:rPr>
              <w:t>密度—温度曲线（表 3）、SEM、STEM-EDS 晶界 Ca 富集</w:t>
            </w:r>
          </w:p>
        </w:tc>
        <w:tc>
          <w:tcPr>
            <w:tcW w:type="dxa" w:w="1746"/>
          </w:tcPr>
          <w:p>
            <w:pPr>
              <w:spacing w:line="276" w:lineRule="auto" w:after="0" w:before="0"/>
              <w:jc w:val="left"/>
            </w:pPr>
            <w:r/>
            <w:r>
              <w:rPr>
                <w:rFonts w:ascii="Times New Roman" w:hAnsi="Times New Roman" w:eastAsia="宋体"/>
                <w:sz w:val="21"/>
              </w:rPr>
              <w:t>偏析—致密化相关性为 S；"活化能降低"的定量归因为 H</w:t>
            </w:r>
          </w:p>
        </w:tc>
        <w:tc>
          <w:tcPr>
            <w:tcW w:type="dxa" w:w="1746"/>
          </w:tcPr>
          <w:p>
            <w:pPr>
              <w:spacing w:line="276" w:lineRule="auto" w:after="0" w:before="0"/>
              <w:jc w:val="left"/>
            </w:pPr>
            <w:r/>
            <w:r>
              <w:rPr>
                <w:rFonts w:ascii="Times New Roman" w:hAnsi="Times New Roman" w:eastAsia="宋体"/>
                <w:sz w:val="21"/>
              </w:rPr>
              <w:t>变温等温收缩率动力学（n 值）、Ca 偏析能计算</w:t>
            </w:r>
          </w:p>
        </w:tc>
      </w:tr>
      <w:tr>
        <w:tc>
          <w:tcPr>
            <w:tcW w:type="dxa" w:w="1746"/>
          </w:tcPr>
          <w:p>
            <w:pPr>
              <w:spacing w:line="276" w:lineRule="auto" w:after="0" w:before="0"/>
              <w:jc w:val="left"/>
            </w:pPr>
            <w:r/>
            <w:r>
              <w:rPr>
                <w:rFonts w:ascii="Times New Roman" w:hAnsi="Times New Roman" w:eastAsia="宋体"/>
                <w:sz w:val="21"/>
              </w:rPr>
              <w:t>M2 晶界杂质清除</w:t>
            </w:r>
          </w:p>
        </w:tc>
        <w:tc>
          <w:tcPr>
            <w:tcW w:type="dxa" w:w="1746"/>
          </w:tcPr>
          <w:p>
            <w:pPr>
              <w:spacing w:line="276" w:lineRule="auto" w:after="0" w:before="0"/>
              <w:jc w:val="left"/>
            </w:pPr>
            <w:r/>
            <w:r>
              <w:rPr>
                <w:rFonts w:ascii="Times New Roman" w:hAnsi="Times New Roman" w:eastAsia="宋体"/>
                <w:sz w:val="21"/>
              </w:rPr>
              <w:t>Ca 与 Si/Al 择优结合，减少高阻晶界相</w:t>
            </w:r>
          </w:p>
        </w:tc>
        <w:tc>
          <w:tcPr>
            <w:tcW w:type="dxa" w:w="1746"/>
          </w:tcPr>
          <w:p>
            <w:pPr>
              <w:spacing w:line="276" w:lineRule="auto" w:after="0" w:before="0"/>
              <w:jc w:val="left"/>
            </w:pPr>
            <w:r/>
            <w:r>
              <w:rPr>
                <w:rFonts w:ascii="Times New Roman" w:hAnsi="Times New Roman" w:eastAsia="宋体"/>
                <w:sz w:val="21"/>
              </w:rPr>
              <w:t>晶界 Si 峰 2.6 → 0.8 at%（STEM-EDS）、DRT 晶界半圆变化</w:t>
            </w:r>
          </w:p>
        </w:tc>
        <w:tc>
          <w:tcPr>
            <w:tcW w:type="dxa" w:w="1746"/>
          </w:tcPr>
          <w:p>
            <w:pPr>
              <w:spacing w:line="276" w:lineRule="auto" w:after="0" w:before="0"/>
              <w:jc w:val="left"/>
            </w:pPr>
            <w:r/>
            <w:r>
              <w:rPr>
                <w:rFonts w:ascii="Times New Roman" w:hAnsi="Times New Roman" w:eastAsia="宋体"/>
                <w:sz w:val="21"/>
              </w:rPr>
              <w:t>若 EDS 峰减弱可复现则为 S；仅靠 σ</w:t>
            </w:r>
            <w:r>
              <w:rPr>
                <w:rFonts w:ascii="Times New Roman" w:hAnsi="Times New Roman" w:eastAsia="宋体"/>
                <w:sz w:val="21"/>
                <w:vertAlign w:val="subscript"/>
              </w:rPr>
              <w:t>gb</w:t>
            </w:r>
            <w:r>
              <w:rPr>
                <w:rFonts w:ascii="Times New Roman" w:hAnsi="Times New Roman" w:eastAsia="宋体"/>
                <w:sz w:val="21"/>
              </w:rPr>
              <w:t xml:space="preserve"> 提升则为 I</w:t>
            </w:r>
          </w:p>
        </w:tc>
        <w:tc>
          <w:tcPr>
            <w:tcW w:type="dxa" w:w="1746"/>
          </w:tcPr>
          <w:p>
            <w:pPr>
              <w:spacing w:line="276" w:lineRule="auto" w:after="0" w:before="0"/>
              <w:jc w:val="left"/>
            </w:pPr>
            <w:r/>
            <w:r>
              <w:rPr>
                <w:rFonts w:ascii="Times New Roman" w:hAnsi="Times New Roman" w:eastAsia="宋体"/>
                <w:sz w:val="21"/>
              </w:rPr>
              <w:t>晶界原子级 STEM-EELS 化学态</w:t>
            </w:r>
          </w:p>
        </w:tc>
      </w:tr>
      <w:tr>
        <w:tc>
          <w:tcPr>
            <w:tcW w:type="dxa" w:w="1746"/>
          </w:tcPr>
          <w:p>
            <w:pPr>
              <w:spacing w:line="276" w:lineRule="auto" w:after="0" w:before="0"/>
              <w:jc w:val="left"/>
            </w:pPr>
            <w:r/>
            <w:r>
              <w:rPr>
                <w:rFonts w:ascii="Times New Roman" w:hAnsi="Times New Roman" w:eastAsia="宋体"/>
                <w:sz w:val="21"/>
              </w:rPr>
              <w:t>M3 空间电荷层调制</w:t>
            </w:r>
          </w:p>
        </w:tc>
        <w:tc>
          <w:tcPr>
            <w:tcW w:type="dxa" w:w="1746"/>
          </w:tcPr>
          <w:p>
            <w:pPr>
              <w:spacing w:line="276" w:lineRule="auto" w:after="0" w:before="0"/>
              <w:jc w:val="left"/>
            </w:pPr>
            <w:r/>
            <w:r>
              <w:rPr>
                <w:rFonts w:ascii="Times New Roman" w:hAnsi="Times New Roman" w:eastAsia="宋体"/>
                <w:sz w:val="21"/>
              </w:rPr>
              <w:t>Ca 改变晶界核电荷态，空间电荷电位下降</w:t>
            </w:r>
          </w:p>
        </w:tc>
        <w:tc>
          <w:tcPr>
            <w:tcW w:type="dxa" w:w="1746"/>
          </w:tcPr>
          <w:p>
            <w:pPr>
              <w:spacing w:line="276" w:lineRule="auto" w:after="0" w:before="0"/>
              <w:jc w:val="left"/>
            </w:pPr>
            <w:r/>
            <w:r>
              <w:rPr>
                <w:rFonts w:ascii="Times New Roman" w:hAnsi="Times New Roman" w:eastAsia="宋体"/>
                <w:sz w:val="21"/>
              </w:rPr>
              <w:t>DRT 晶界弛豫频率/电容变化、晶界电导活化能</w:t>
            </w:r>
          </w:p>
        </w:tc>
        <w:tc>
          <w:tcPr>
            <w:tcW w:type="dxa" w:w="1746"/>
          </w:tcPr>
          <w:p>
            <w:pPr>
              <w:spacing w:line="276" w:lineRule="auto" w:after="0" w:before="0"/>
              <w:jc w:val="left"/>
            </w:pPr>
            <w:r/>
            <w:r>
              <w:rPr>
                <w:rFonts w:ascii="Times New Roman" w:hAnsi="Times New Roman" w:eastAsia="宋体"/>
                <w:sz w:val="21"/>
              </w:rPr>
              <w:t>H / I</w:t>
            </w:r>
          </w:p>
        </w:tc>
        <w:tc>
          <w:tcPr>
            <w:tcW w:type="dxa" w:w="1746"/>
          </w:tcPr>
          <w:p>
            <w:pPr>
              <w:spacing w:line="276" w:lineRule="auto" w:after="0" w:before="0"/>
              <w:jc w:val="left"/>
            </w:pPr>
            <w:r/>
            <w:r>
              <w:rPr>
                <w:rFonts w:ascii="Times New Roman" w:hAnsi="Times New Roman" w:eastAsia="宋体"/>
                <w:sz w:val="21"/>
              </w:rPr>
              <w:t>变氧分压晶界电导、晶界电容温度依赖</w:t>
            </w:r>
          </w:p>
        </w:tc>
      </w:tr>
      <w:tr>
        <w:tc>
          <w:tcPr>
            <w:tcW w:type="dxa" w:w="1746"/>
          </w:tcPr>
          <w:p>
            <w:pPr>
              <w:spacing w:line="276" w:lineRule="auto" w:after="0" w:before="0"/>
              <w:jc w:val="left"/>
            </w:pPr>
            <w:r/>
            <w:r>
              <w:rPr>
                <w:rFonts w:ascii="Times New Roman" w:hAnsi="Times New Roman" w:eastAsia="宋体"/>
                <w:sz w:val="21"/>
              </w:rPr>
              <w:t>M4 电子漏电抑制</w:t>
            </w:r>
          </w:p>
        </w:tc>
        <w:tc>
          <w:tcPr>
            <w:tcW w:type="dxa" w:w="1746"/>
          </w:tcPr>
          <w:p>
            <w:pPr>
              <w:spacing w:line="276" w:lineRule="auto" w:after="0" w:before="0"/>
              <w:jc w:val="left"/>
            </w:pPr>
            <w:r/>
            <w:r>
              <w:rPr>
                <w:rFonts w:ascii="Times New Roman" w:hAnsi="Times New Roman" w:eastAsia="宋体"/>
                <w:sz w:val="21"/>
              </w:rPr>
              <w:t>致密组织＋晶界偏析降低 Ce³⁺ 连通路径或提高电子势垒</w:t>
            </w:r>
          </w:p>
        </w:tc>
        <w:tc>
          <w:tcPr>
            <w:tcW w:type="dxa" w:w="1746"/>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–pO₂（表 5、图 5）、XPS Ce³⁺ 分数、TGA 还原度、OCV 增益</w:t>
            </w:r>
          </w:p>
        </w:tc>
        <w:tc>
          <w:tcPr>
            <w:tcW w:type="dxa" w:w="1746"/>
          </w:tcPr>
          <w:p>
            <w:pPr>
              <w:spacing w:line="276" w:lineRule="auto" w:after="0" w:before="0"/>
              <w:jc w:val="left"/>
            </w:pPr>
            <w:r/>
            <w:r>
              <w:rPr>
                <w:rFonts w:ascii="Times New Roman" w:hAnsi="Times New Roman" w:eastAsia="宋体"/>
                <w:sz w:val="21"/>
              </w:rPr>
              <w:t>Ce³⁺ 总量为 S；"晶界势垒抑制电子传输"为 H / I</w:t>
            </w:r>
          </w:p>
        </w:tc>
        <w:tc>
          <w:tcPr>
            <w:tcW w:type="dxa" w:w="1746"/>
          </w:tcPr>
          <w:p>
            <w:pPr>
              <w:spacing w:line="276" w:lineRule="auto" w:after="0" w:before="0"/>
              <w:jc w:val="left"/>
            </w:pPr>
            <w:r/>
            <w:r>
              <w:rPr>
                <w:rFonts w:ascii="Times New Roman" w:hAnsi="Times New Roman" w:eastAsia="宋体"/>
                <w:sz w:val="21"/>
              </w:rPr>
              <w:t>变温 σ</w:t>
            </w:r>
            <w:r>
              <w:rPr>
                <w:rFonts w:ascii="Times New Roman" w:hAnsi="Times New Roman" w:eastAsia="宋体"/>
                <w:sz w:val="21"/>
                <w:vertAlign w:val="subscript"/>
              </w:rPr>
              <w:t>e</w:t>
            </w:r>
            <w:r>
              <w:rPr>
                <w:rFonts w:ascii="Times New Roman" w:hAnsi="Times New Roman" w:eastAsia="宋体"/>
                <w:sz w:val="21"/>
              </w:rPr>
              <w:t>–pO₂ 矩阵、晶界电子势垒的 Arrhenius 析出</w:t>
            </w:r>
          </w:p>
        </w:tc>
      </w:tr>
      <w:tr>
        <w:tc>
          <w:tcPr>
            <w:tcW w:type="dxa" w:w="1746"/>
          </w:tcPr>
          <w:p>
            <w:pPr>
              <w:spacing w:line="276" w:lineRule="auto" w:after="0" w:before="0"/>
              <w:jc w:val="left"/>
            </w:pPr>
            <w:r/>
            <w:r>
              <w:rPr>
                <w:rFonts w:ascii="Times New Roman" w:hAnsi="Times New Roman" w:eastAsia="宋体"/>
                <w:sz w:val="21"/>
              </w:rPr>
              <w:t>M5 体相电导不劣化</w:t>
            </w:r>
          </w:p>
        </w:tc>
        <w:tc>
          <w:tcPr>
            <w:tcW w:type="dxa" w:w="1746"/>
          </w:tcPr>
          <w:p>
            <w:pPr>
              <w:spacing w:line="276" w:lineRule="auto" w:after="0" w:before="0"/>
              <w:jc w:val="left"/>
            </w:pPr>
            <w:r/>
            <w:r>
              <w:rPr>
                <w:rFonts w:ascii="Times New Roman" w:hAnsi="Times New Roman" w:eastAsia="宋体"/>
                <w:sz w:val="21"/>
              </w:rPr>
              <w:t>2% Ca 未显著改变体相氧离子迁移通道</w:t>
            </w:r>
          </w:p>
        </w:tc>
        <w:tc>
          <w:tcPr>
            <w:tcW w:type="dxa" w:w="1746"/>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bulk</w:t>
            </w:r>
            <w:r>
              <w:rPr>
                <w:rFonts w:ascii="Times New Roman" w:hAnsi="Times New Roman" w:eastAsia="宋体"/>
                <w:sz w:val="21"/>
              </w:rPr>
              <w:t xml:space="preserve"> 与 Eₐ 与无 Ca 样一致（表 4）、Raman 缺陷带</w:t>
            </w:r>
          </w:p>
        </w:tc>
        <w:tc>
          <w:tcPr>
            <w:tcW w:type="dxa" w:w="1746"/>
          </w:tcPr>
          <w:p>
            <w:pPr>
              <w:spacing w:line="276" w:lineRule="auto" w:after="0" w:before="0"/>
              <w:jc w:val="left"/>
            </w:pPr>
            <w:r/>
            <w:r>
              <w:rPr>
                <w:rFonts w:ascii="Times New Roman" w:hAnsi="Times New Roman" w:eastAsia="宋体"/>
                <w:sz w:val="21"/>
              </w:rPr>
              <w:t>S（以差异落在误差内为前提）</w:t>
            </w:r>
          </w:p>
        </w:tc>
        <w:tc>
          <w:tcPr>
            <w:tcW w:type="dxa" w:w="1746"/>
          </w:tcPr>
          <w:p>
            <w:pPr>
              <w:spacing w:line="276" w:lineRule="auto" w:after="0" w:before="0"/>
              <w:jc w:val="left"/>
            </w:pPr>
            <w:r/>
            <w:r>
              <w:rPr>
                <w:rFonts w:ascii="Times New Roman" w:hAnsi="Times New Roman" w:eastAsia="宋体"/>
                <w:sz w:val="21"/>
              </w:rPr>
              <w:t>¹⁶O/¹⁸O 同位素示踪（可选）</w:t>
            </w:r>
          </w:p>
        </w:tc>
      </w:tr>
    </w:tbl>
    <w:p>
      <w:pPr>
        <w:spacing w:after="80"/>
      </w:pPr>
    </w:p>
    <w:p>
      <w:pPr>
        <w:pStyle w:val="Heading2"/>
        <w:spacing w:before="120" w:after="120" w:line="360" w:lineRule="auto"/>
        <w:jc w:val="left"/>
      </w:pPr>
      <w:r>
        <w:rPr>
          <w:rFonts w:ascii="Times New Roman" w:hAnsi="Times New Roman" w:eastAsia="黑体"/>
          <w:b/>
          <w:sz w:val="26"/>
        </w:rPr>
        <w:t>4.2 文献对比：量化差异化</w:t>
      </w:r>
    </w:p>
    <w:p>
      <w:pPr>
        <w:spacing w:line="360" w:lineRule="auto" w:after="80"/>
        <w:ind w:firstLineChars="200" w:firstLine="480"/>
        <w:jc w:val="both"/>
      </w:pPr>
      <w:r>
        <w:rPr>
          <w:rFonts w:ascii="Times New Roman" w:hAnsi="Times New Roman" w:eastAsia="宋体"/>
          <w:sz w:val="24"/>
        </w:rPr>
        <w:t>对标按"同一可比口径"逐条展开（表 10），凡厚度、阻挡层、燃料或温度不可比的行，差异点一栏显式声明，不以"性能更优"一笔带过。三条比较结论值得强调。其一，与薄膜路线 [1] 相比，本文的 6 μm 陶瓷片在 600 °C 给出的 OCV 与 PPD 处在同一量级但不可直接比较：薄膜是在更高温度（800 °C）与更薄厚度下取得约 2 W·cm⁻²，厚度与温度两项同时不同，因此本文把它作为"几何降阻"的基线而非对手数据。其二，与多元共掺体系 [6] 相比，该体系在 750 °C 空气中致密化、σ ≈ 8 × 10⁻³ S·cm⁻¹，本文的增量在于把致密化温度进一步压到 1300 °C 并给出 600 °C 还原条件下的迁移数指标，两者按各自的优化目标互补而非竞争。其三，与 Co 助烧路线 [16] 及浸渗辅助烧结路线 [7] 相比，本文主张的差异点不是"更容易致密"，而是"不以晶界电导为代价"：GDC20-Ca2-Co 在 1250 °C 达到 97.2% 密度，却在 600 °C 给出 66.8% 的晶界电阻占比（表 4），而 GDC20-Ca2 为 49.4%，这组对照即为该主张的定量支撑。YSZ/GDC 双层湿法共烧路线 [10] 提供了 OCV 提升的结构基线，本文 Cell-2（0.990 V）与 Cell-1（0.940 V）的 0.05 V 差距，定量说明在 6 μm GDC-Ca 上再引入 0.3 μm 阻挡层的边际收益已经很小，而结构复杂度与界面电阻的代价仍然存在。</w:t>
      </w:r>
    </w:p>
    <w:p>
      <w:pPr>
        <w:spacing w:line="360" w:lineRule="auto" w:after="80"/>
        <w:ind w:firstLineChars="200" w:firstLine="480"/>
        <w:jc w:val="both"/>
      </w:pPr>
      <w:r>
        <w:rPr>
          <w:rFonts w:ascii="Times New Roman" w:hAnsi="Times New Roman" w:eastAsia="宋体"/>
          <w:b/>
          <w:sz w:val="24"/>
        </w:rPr>
        <w:t>表 10｜同条件性能对比</w:t>
      </w:r>
      <w:r>
        <w:rPr>
          <w:rFonts w:ascii="Times New Roman" w:hAnsi="Times New Roman" w:eastAsia="宋体"/>
          <w:sz w:val="24"/>
        </w:rPr>
        <w:t>（各行给出白名单编号与可直接核验的参数；标注「待核对原文」的字段须以原文数据填入，本文不代拟）</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文献</w:t>
            </w:r>
          </w:p>
        </w:tc>
        <w:tc>
          <w:tcPr>
            <w:tcW w:type="dxa" w:w="794"/>
          </w:tcPr>
          <w:p>
            <w:pPr>
              <w:spacing w:line="276" w:lineRule="auto" w:after="0" w:before="0"/>
              <w:jc w:val="center"/>
            </w:pPr>
            <w:r/>
            <w:r>
              <w:rPr>
                <w:rFonts w:ascii="Times New Roman" w:hAnsi="Times New Roman" w:eastAsia="宋体"/>
                <w:b/>
                <w:sz w:val="21"/>
              </w:rPr>
              <w:t>体系</w:t>
            </w:r>
          </w:p>
        </w:tc>
        <w:tc>
          <w:tcPr>
            <w:tcW w:type="dxa" w:w="794"/>
          </w:tcPr>
          <w:p>
            <w:pPr>
              <w:spacing w:line="276" w:lineRule="auto" w:after="0" w:before="0"/>
              <w:jc w:val="center"/>
            </w:pPr>
            <w:r/>
            <w:r>
              <w:rPr>
                <w:rFonts w:ascii="Times New Roman" w:hAnsi="Times New Roman" w:eastAsia="宋体"/>
                <w:b/>
                <w:sz w:val="21"/>
              </w:rPr>
              <w:t>烧结条件</w:t>
            </w:r>
          </w:p>
        </w:tc>
        <w:tc>
          <w:tcPr>
            <w:tcW w:type="dxa" w:w="794"/>
          </w:tcPr>
          <w:p>
            <w:pPr>
              <w:spacing w:line="276" w:lineRule="auto" w:after="0" w:before="0"/>
              <w:jc w:val="center"/>
            </w:pPr>
            <w:r/>
            <w:r>
              <w:rPr>
                <w:rFonts w:ascii="Times New Roman" w:hAnsi="Times New Roman" w:eastAsia="宋体"/>
                <w:b/>
                <w:sz w:val="21"/>
              </w:rPr>
              <w:t>厚度 (μm)</w:t>
            </w:r>
          </w:p>
        </w:tc>
        <w:tc>
          <w:tcPr>
            <w:tcW w:type="dxa" w:w="794"/>
          </w:tcPr>
          <w:p>
            <w:pPr>
              <w:spacing w:line="276" w:lineRule="auto" w:after="0" w:before="0"/>
              <w:jc w:val="center"/>
            </w:pPr>
            <w:r/>
            <w:r>
              <w:rPr>
                <w:rFonts w:ascii="Times New Roman" w:hAnsi="Times New Roman" w:eastAsia="宋体"/>
                <w:b/>
                <w:sz w:val="21"/>
              </w:rPr>
              <w:t>阻挡层</w:t>
            </w:r>
          </w:p>
        </w:tc>
        <w:tc>
          <w:tcPr>
            <w:tcW w:type="dxa" w:w="794"/>
          </w:tcPr>
          <w:p>
            <w:pPr>
              <w:spacing w:line="276" w:lineRule="auto" w:after="0" w:before="0"/>
              <w:jc w:val="center"/>
            </w:pPr>
            <w:r/>
            <w:r>
              <w:rPr>
                <w:rFonts w:ascii="Times New Roman" w:hAnsi="Times New Roman" w:eastAsia="宋体"/>
                <w:b/>
                <w:sz w:val="21"/>
              </w:rPr>
              <w:t>燃料</w:t>
            </w:r>
          </w:p>
        </w:tc>
        <w:tc>
          <w:tcPr>
            <w:tcW w:type="dxa" w:w="794"/>
          </w:tcPr>
          <w:p>
            <w:pPr>
              <w:spacing w:line="276" w:lineRule="auto" w:after="0" w:before="0"/>
              <w:jc w:val="center"/>
            </w:pPr>
            <w:r/>
            <w:r>
              <w:rPr>
                <w:rFonts w:ascii="Times New Roman" w:hAnsi="Times New Roman" w:eastAsia="宋体"/>
                <w:b/>
                <w:sz w:val="21"/>
              </w:rPr>
              <w:t>测试温度 (°C)</w:t>
            </w:r>
          </w:p>
        </w:tc>
        <w:tc>
          <w:tcPr>
            <w:tcW w:type="dxa" w:w="794"/>
          </w:tcPr>
          <w:p>
            <w:pPr>
              <w:spacing w:line="276" w:lineRule="auto" w:after="0" w:before="0"/>
              <w:jc w:val="center"/>
            </w:pPr>
            <w:r/>
            <w:r>
              <w:rPr>
                <w:rFonts w:ascii="Times New Roman" w:hAnsi="Times New Roman" w:eastAsia="宋体"/>
                <w:b/>
                <w:sz w:val="21"/>
              </w:rPr>
              <w:t>OCV (V)</w:t>
            </w:r>
          </w:p>
        </w:tc>
        <w:tc>
          <w:tcPr>
            <w:tcW w:type="dxa" w:w="794"/>
          </w:tcPr>
          <w:p>
            <w:pPr>
              <w:spacing w:line="276" w:lineRule="auto" w:after="0" w:before="0"/>
              <w:jc w:val="center"/>
            </w:pPr>
            <w:r/>
            <w:r>
              <w:rPr>
                <w:rFonts w:ascii="Times New Roman" w:hAnsi="Times New Roman" w:eastAsia="宋体"/>
                <w:b/>
                <w:sz w:val="21"/>
              </w:rPr>
              <w:t>PPD (W·cm⁻²)</w:t>
            </w:r>
          </w:p>
        </w:tc>
        <w:tc>
          <w:tcPr>
            <w:tcW w:type="dxa" w:w="794"/>
          </w:tcPr>
          <w:p>
            <w:pPr>
              <w:spacing w:line="276" w:lineRule="auto" w:after="0" w:before="0"/>
              <w:jc w:val="center"/>
            </w:pPr>
            <w:r/>
            <w:r>
              <w:rPr>
                <w:rFonts w:ascii="Times New Roman" w:hAnsi="Times New Roman" w:eastAsia="宋体"/>
                <w:b/>
                <w:sz w:val="21"/>
              </w:rPr>
              <w:t>稳定性</w:t>
            </w:r>
          </w:p>
        </w:tc>
        <w:tc>
          <w:tcPr>
            <w:tcW w:type="dxa" w:w="794"/>
          </w:tcPr>
          <w:p>
            <w:pPr>
              <w:spacing w:line="276" w:lineRule="auto" w:after="0" w:before="0"/>
              <w:jc w:val="center"/>
            </w:pPr>
            <w:r/>
            <w:r>
              <w:rPr>
                <w:rFonts w:ascii="Times New Roman" w:hAnsi="Times New Roman" w:eastAsia="宋体"/>
                <w:b/>
                <w:sz w:val="21"/>
              </w:rPr>
              <w:t>与本文的差异点</w:t>
            </w:r>
          </w:p>
        </w:tc>
      </w:tr>
      <w:tr>
        <w:tc>
          <w:tcPr>
            <w:tcW w:type="dxa" w:w="794"/>
          </w:tcPr>
          <w:p>
            <w:pPr>
              <w:spacing w:line="276" w:lineRule="auto" w:after="0" w:before="0"/>
              <w:jc w:val="left"/>
            </w:pPr>
            <w:r/>
            <w:r>
              <w:rPr>
                <w:rFonts w:ascii="Times New Roman" w:hAnsi="Times New Roman" w:eastAsia="宋体"/>
                <w:sz w:val="21"/>
              </w:rPr>
              <w:t>[1]</w:t>
            </w:r>
          </w:p>
        </w:tc>
        <w:tc>
          <w:tcPr>
            <w:tcW w:type="dxa" w:w="794"/>
          </w:tcPr>
          <w:p>
            <w:pPr>
              <w:spacing w:line="276" w:lineRule="auto" w:after="0" w:before="0"/>
              <w:jc w:val="left"/>
            </w:pPr>
            <w:r/>
            <w:r>
              <w:rPr>
                <w:rFonts w:ascii="Times New Roman" w:hAnsi="Times New Roman" w:eastAsia="宋体"/>
                <w:sz w:val="21"/>
              </w:rPr>
              <w:t>磁控溅射 GDC 薄膜</w:t>
            </w:r>
          </w:p>
        </w:tc>
        <w:tc>
          <w:tcPr>
            <w:tcW w:type="dxa" w:w="794"/>
          </w:tcPr>
          <w:p>
            <w:pPr>
              <w:spacing w:line="276" w:lineRule="auto" w:after="0" w:before="0"/>
              <w:jc w:val="left"/>
            </w:pPr>
            <w:r/>
            <w:r>
              <w:rPr>
                <w:rFonts w:ascii="Times New Roman" w:hAnsi="Times New Roman" w:eastAsia="宋体"/>
                <w:sz w:val="21"/>
              </w:rPr>
              <w:t>薄膜沉积</w:t>
            </w:r>
          </w:p>
        </w:tc>
        <w:tc>
          <w:tcPr>
            <w:tcW w:type="dxa" w:w="794"/>
          </w:tcPr>
          <w:p>
            <w:pPr>
              <w:spacing w:line="276" w:lineRule="auto" w:after="0" w:before="0"/>
              <w:jc w:val="left"/>
            </w:pPr>
            <w:r/>
            <w:r>
              <w:rPr>
                <w:rFonts w:ascii="Times New Roman" w:hAnsi="Times New Roman" w:eastAsia="宋体"/>
                <w:sz w:val="21"/>
              </w:rPr>
              <w:t>3</w:t>
            </w:r>
          </w:p>
        </w:tc>
        <w:tc>
          <w:tcPr>
            <w:tcW w:type="dxa" w:w="794"/>
          </w:tcPr>
          <w:p>
            <w:pPr>
              <w:spacing w:line="276" w:lineRule="auto" w:after="0" w:before="0"/>
              <w:jc w:val="left"/>
            </w:pPr>
            <w:r/>
            <w:r>
              <w:rPr>
                <w:rFonts w:ascii="Times New Roman" w:hAnsi="Times New Roman" w:eastAsia="宋体"/>
                <w:sz w:val="21"/>
              </w:rPr>
              <w:t>无（薄膜直连）</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800</w:t>
            </w:r>
          </w:p>
        </w:tc>
        <w:tc>
          <w:tcPr>
            <w:tcW w:type="dxa" w:w="794"/>
          </w:tcPr>
          <w:p>
            <w:pPr>
              <w:spacing w:line="276" w:lineRule="auto" w:after="0" w:before="0"/>
              <w:jc w:val="left"/>
            </w:pPr>
            <w:r/>
            <w:r>
              <w:rPr>
                <w:rFonts w:ascii="Times New Roman" w:hAnsi="Times New Roman" w:eastAsia="宋体"/>
                <w:sz w:val="21"/>
              </w:rPr>
              <w:t>&gt;0.9</w:t>
            </w:r>
          </w:p>
        </w:tc>
        <w:tc>
          <w:tcPr>
            <w:tcW w:type="dxa" w:w="794"/>
          </w:tcPr>
          <w:p>
            <w:pPr>
              <w:spacing w:line="276" w:lineRule="auto" w:after="0" w:before="0"/>
              <w:jc w:val="left"/>
            </w:pPr>
            <w:r/>
            <w:r>
              <w:rPr>
                <w:rFonts w:ascii="Times New Roman" w:hAnsi="Times New Roman" w:eastAsia="宋体"/>
                <w:sz w:val="21"/>
              </w:rPr>
              <w:t>≈2</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温度高 200 °C、厚度仅 1/2；薄膜 vs 陶瓷片不可直接比较</w:t>
            </w:r>
          </w:p>
        </w:tc>
      </w:tr>
      <w:tr>
        <w:tc>
          <w:tcPr>
            <w:tcW w:type="dxa" w:w="794"/>
          </w:tcPr>
          <w:p>
            <w:pPr>
              <w:spacing w:line="276" w:lineRule="auto" w:after="0" w:before="0"/>
              <w:jc w:val="left"/>
            </w:pPr>
            <w:r/>
            <w:r>
              <w:rPr>
                <w:rFonts w:ascii="Times New Roman" w:hAnsi="Times New Roman" w:eastAsia="宋体"/>
                <w:sz w:val="21"/>
              </w:rPr>
              <w:t>[6]</w:t>
            </w:r>
          </w:p>
        </w:tc>
        <w:tc>
          <w:tcPr>
            <w:tcW w:type="dxa" w:w="794"/>
          </w:tcPr>
          <w:p>
            <w:pPr>
              <w:spacing w:line="276" w:lineRule="auto" w:after="0" w:before="0"/>
              <w:jc w:val="left"/>
            </w:pPr>
            <w:r/>
            <w:r>
              <w:rPr>
                <w:rFonts w:ascii="Times New Roman" w:hAnsi="Times New Roman" w:eastAsia="宋体"/>
                <w:sz w:val="21"/>
              </w:rPr>
              <w:t>Gd-Bi-Mn 多元共掺 ceria</w:t>
            </w:r>
          </w:p>
        </w:tc>
        <w:tc>
          <w:tcPr>
            <w:tcW w:type="dxa" w:w="794"/>
          </w:tcPr>
          <w:p>
            <w:pPr>
              <w:spacing w:line="276" w:lineRule="auto" w:after="0" w:before="0"/>
              <w:jc w:val="left"/>
            </w:pPr>
            <w:r/>
            <w:r>
              <w:rPr>
                <w:rFonts w:ascii="Times New Roman" w:hAnsi="Times New Roman" w:eastAsia="宋体"/>
                <w:sz w:val="21"/>
              </w:rPr>
              <w:t>750 °C 空气致密化</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750</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交流电导 σ ≈ 8 × 10⁻³ S·cm⁻¹（750 °C）；本文给出 600 °C 还原条件下的 σ</w:t>
            </w:r>
            <w:r>
              <w:rPr>
                <w:rFonts w:ascii="Times New Roman" w:hAnsi="Times New Roman" w:eastAsia="宋体"/>
                <w:sz w:val="21"/>
                <w:vertAlign w:val="subscript"/>
              </w:rPr>
              <w:t>e</w:t>
            </w:r>
            <w:r>
              <w:rPr>
                <w:rFonts w:ascii="Times New Roman" w:hAnsi="Times New Roman" w:eastAsia="宋体"/>
                <w:sz w:val="21"/>
              </w:rPr>
              <w:t>/t</w:t>
            </w:r>
            <w:r>
              <w:rPr>
                <w:rFonts w:ascii="Times New Roman" w:hAnsi="Times New Roman" w:eastAsia="宋体"/>
                <w:sz w:val="21"/>
                <w:vertAlign w:val="subscript"/>
              </w:rPr>
              <w:t>ion</w:t>
            </w:r>
          </w:p>
        </w:tc>
      </w:tr>
      <w:tr>
        <w:tc>
          <w:tcPr>
            <w:tcW w:type="dxa" w:w="794"/>
          </w:tcPr>
          <w:p>
            <w:pPr>
              <w:spacing w:line="276" w:lineRule="auto" w:after="0" w:before="0"/>
              <w:jc w:val="left"/>
            </w:pPr>
            <w:r/>
            <w:r>
              <w:rPr>
                <w:rFonts w:ascii="Times New Roman" w:hAnsi="Times New Roman" w:eastAsia="宋体"/>
                <w:sz w:val="21"/>
              </w:rPr>
              <w:t>[10]</w:t>
            </w:r>
          </w:p>
        </w:tc>
        <w:tc>
          <w:tcPr>
            <w:tcW w:type="dxa" w:w="794"/>
          </w:tcPr>
          <w:p>
            <w:pPr>
              <w:spacing w:line="276" w:lineRule="auto" w:after="0" w:before="0"/>
              <w:jc w:val="left"/>
            </w:pPr>
            <w:r/>
            <w:r>
              <w:rPr>
                <w:rFonts w:ascii="Times New Roman" w:hAnsi="Times New Roman" w:eastAsia="宋体"/>
                <w:sz w:val="21"/>
              </w:rPr>
              <w:t>YSZ/GDC 双层（湿法共烧）</w:t>
            </w:r>
          </w:p>
        </w:tc>
        <w:tc>
          <w:tcPr>
            <w:tcW w:type="dxa" w:w="794"/>
          </w:tcPr>
          <w:p>
            <w:pPr>
              <w:spacing w:line="276" w:lineRule="auto" w:after="0" w:before="0"/>
              <w:jc w:val="left"/>
            </w:pPr>
            <w:r/>
            <w:r>
              <w:rPr>
                <w:rFonts w:ascii="Times New Roman" w:hAnsi="Times New Roman" w:eastAsia="宋体"/>
                <w:sz w:val="21"/>
              </w:rPr>
              <w:t>共烧</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YSZ/GDC 双层</w:t>
            </w:r>
          </w:p>
        </w:tc>
        <w:tc>
          <w:tcPr>
            <w:tcW w:type="dxa" w:w="794"/>
          </w:tcPr>
          <w:p>
            <w:pPr>
              <w:spacing w:line="276" w:lineRule="auto" w:after="0" w:before="0"/>
              <w:jc w:val="left"/>
            </w:pPr>
            <w:r/>
            <w:r>
              <w:rPr>
                <w:rFonts w:ascii="Times New Roman" w:hAnsi="Times New Roman" w:eastAsia="宋体"/>
                <w:sz w:val="21"/>
              </w:rPr>
              <w:t>H₂ 基</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双层结构基线（高于单层无阻挡组）</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双层 vs 本文单层/0.3 μm 超薄阻挡层；工艺复杂度与界面电阻代价不同</w:t>
            </w:r>
          </w:p>
        </w:tc>
      </w:tr>
      <w:tr>
        <w:tc>
          <w:tcPr>
            <w:tcW w:type="dxa" w:w="794"/>
          </w:tcPr>
          <w:p>
            <w:pPr>
              <w:spacing w:line="276" w:lineRule="auto" w:after="0" w:before="0"/>
              <w:jc w:val="left"/>
            </w:pPr>
            <w:r/>
            <w:r>
              <w:rPr>
                <w:rFonts w:ascii="Times New Roman" w:hAnsi="Times New Roman" w:eastAsia="宋体"/>
                <w:sz w:val="21"/>
              </w:rPr>
              <w:t>[7]</w:t>
            </w:r>
          </w:p>
        </w:tc>
        <w:tc>
          <w:tcPr>
            <w:tcW w:type="dxa" w:w="794"/>
          </w:tcPr>
          <w:p>
            <w:pPr>
              <w:spacing w:line="276" w:lineRule="auto" w:after="0" w:before="0"/>
              <w:jc w:val="left"/>
            </w:pPr>
            <w:r/>
            <w:r>
              <w:rPr>
                <w:rFonts w:ascii="Times New Roman" w:hAnsi="Times New Roman" w:eastAsia="宋体"/>
                <w:sz w:val="21"/>
              </w:rPr>
              <w:t>浸渗辅助烧结 GDC</w:t>
            </w:r>
          </w:p>
        </w:tc>
        <w:tc>
          <w:tcPr>
            <w:tcW w:type="dxa" w:w="794"/>
          </w:tcPr>
          <w:p>
            <w:pPr>
              <w:spacing w:line="276" w:lineRule="auto" w:after="0" w:before="0"/>
              <w:jc w:val="left"/>
            </w:pPr>
            <w:r/>
            <w:r>
              <w:rPr>
                <w:rFonts w:ascii="Times New Roman" w:hAnsi="Times New Roman" w:eastAsia="宋体"/>
                <w:sz w:val="21"/>
              </w:rPr>
              <w:t>浸渗 ＋ 烧结</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替代烧结路线对照；本文以 1300 °C 常规烧结获得同等密度</w:t>
            </w:r>
          </w:p>
        </w:tc>
      </w:tr>
      <w:tr>
        <w:tc>
          <w:tcPr>
            <w:tcW w:type="dxa" w:w="794"/>
          </w:tcPr>
          <w:p>
            <w:pPr>
              <w:spacing w:line="276" w:lineRule="auto" w:after="0" w:before="0"/>
              <w:jc w:val="left"/>
            </w:pPr>
            <w:r/>
            <w:r>
              <w:rPr>
                <w:rFonts w:ascii="Times New Roman" w:hAnsi="Times New Roman" w:eastAsia="宋体"/>
                <w:sz w:val="21"/>
              </w:rPr>
              <w:t>[16]</w:t>
            </w:r>
          </w:p>
        </w:tc>
        <w:tc>
          <w:tcPr>
            <w:tcW w:type="dxa" w:w="794"/>
          </w:tcPr>
          <w:p>
            <w:pPr>
              <w:spacing w:line="276" w:lineRule="auto" w:after="0" w:before="0"/>
              <w:jc w:val="left"/>
            </w:pPr>
            <w:r/>
            <w:r>
              <w:rPr>
                <w:rFonts w:ascii="Times New Roman" w:hAnsi="Times New Roman" w:eastAsia="宋体"/>
                <w:sz w:val="21"/>
              </w:rPr>
              <w:t>CoO 助烧 GDC（纳米晶）</w:t>
            </w:r>
          </w:p>
        </w:tc>
        <w:tc>
          <w:tcPr>
            <w:tcW w:type="dxa" w:w="794"/>
          </w:tcPr>
          <w:p>
            <w:pPr>
              <w:spacing w:line="276" w:lineRule="auto" w:after="0" w:before="0"/>
              <w:jc w:val="left"/>
            </w:pPr>
            <w:r/>
            <w:r>
              <w:rPr>
                <w:rFonts w:ascii="Times New Roman" w:hAnsi="Times New Roman" w:eastAsia="宋体"/>
                <w:sz w:val="21"/>
              </w:rPr>
              <w:t>助烧剂 ＋ 烧结</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助烧剂换致密化的代价对照；本文以 GDC20-Ca2-Co（97.2%，R</w:t>
            </w:r>
            <w:r>
              <w:rPr>
                <w:rFonts w:ascii="Times New Roman" w:hAnsi="Times New Roman" w:eastAsia="宋体"/>
                <w:sz w:val="21"/>
                <w:vertAlign w:val="subscript"/>
              </w:rPr>
              <w:t>gb</w:t>
            </w:r>
            <w:r>
              <w:rPr>
                <w:rFonts w:ascii="Times New Roman" w:hAnsi="Times New Roman" w:eastAsia="宋体"/>
                <w:sz w:val="21"/>
              </w:rPr>
              <w:t xml:space="preserve"> 占比 66.8%）定量复现该代价</w:t>
            </w:r>
          </w:p>
        </w:tc>
      </w:tr>
      <w:tr>
        <w:tc>
          <w:tcPr>
            <w:tcW w:type="dxa" w:w="794"/>
          </w:tcPr>
          <w:p>
            <w:pPr>
              <w:spacing w:line="276" w:lineRule="auto" w:after="0" w:before="0"/>
              <w:jc w:val="left"/>
            </w:pPr>
            <w:r/>
            <w:r>
              <w:rPr>
                <w:rFonts w:ascii="Times New Roman" w:hAnsi="Times New Roman" w:eastAsia="宋体"/>
                <w:sz w:val="21"/>
              </w:rPr>
              <w:t>[8]</w:t>
            </w:r>
          </w:p>
        </w:tc>
        <w:tc>
          <w:tcPr>
            <w:tcW w:type="dxa" w:w="794"/>
          </w:tcPr>
          <w:p>
            <w:pPr>
              <w:spacing w:line="276" w:lineRule="auto" w:after="0" w:before="0"/>
              <w:jc w:val="left"/>
            </w:pPr>
            <w:r/>
            <w:r>
              <w:rPr>
                <w:rFonts w:ascii="Times New Roman" w:hAnsi="Times New Roman" w:eastAsia="宋体"/>
                <w:sz w:val="21"/>
              </w:rPr>
              <w:t>LSCF 阴极 / GDC 微结构匹配</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电极—电解质界面匹配对 PPD 的影响口径</w:t>
            </w:r>
          </w:p>
        </w:tc>
      </w:tr>
      <w:tr>
        <w:tc>
          <w:tcPr>
            <w:tcW w:type="dxa" w:w="794"/>
          </w:tcPr>
          <w:p>
            <w:pPr>
              <w:spacing w:line="276" w:lineRule="auto" w:after="0" w:before="0"/>
              <w:jc w:val="left"/>
            </w:pPr>
            <w:r/>
            <w:r>
              <w:rPr>
                <w:rFonts w:ascii="Times New Roman" w:hAnsi="Times New Roman" w:eastAsia="宋体"/>
                <w:sz w:val="21"/>
              </w:rPr>
              <w:t>[14]</w:t>
            </w:r>
          </w:p>
        </w:tc>
        <w:tc>
          <w:tcPr>
            <w:tcW w:type="dxa" w:w="794"/>
          </w:tcPr>
          <w:p>
            <w:pPr>
              <w:spacing w:line="276" w:lineRule="auto" w:after="0" w:before="0"/>
              <w:jc w:val="left"/>
            </w:pPr>
            <w:r/>
            <w:r>
              <w:rPr>
                <w:rFonts w:ascii="Times New Roman" w:hAnsi="Times New Roman" w:eastAsia="宋体"/>
                <w:sz w:val="21"/>
              </w:rPr>
              <w:t>Ce₀.₈₈(Gd₀.₅Pr₀.₅)₀.₁₂O₂</w:t>
            </w:r>
          </w:p>
        </w:tc>
        <w:tc>
          <w:tcPr>
            <w:tcW w:type="dxa" w:w="794"/>
          </w:tcPr>
          <w:p>
            <w:pPr>
              <w:spacing w:line="276" w:lineRule="auto" w:after="0" w:before="0"/>
              <w:jc w:val="left"/>
            </w:pPr>
            <w:r/>
            <w:r>
              <w:rPr>
                <w:rFonts w:ascii="Times New Roman" w:hAnsi="Times New Roman" w:eastAsia="宋体"/>
                <w:sz w:val="21"/>
              </w:rPr>
              <w:t>1300 °C（原文报道）</w:t>
            </w:r>
          </w:p>
        </w:tc>
        <w:tc>
          <w:tcPr>
            <w:tcW w:type="dxa" w:w="794"/>
          </w:tcPr>
          <w:p>
            <w:pPr>
              <w:spacing w:line="276" w:lineRule="auto" w:after="0" w:before="0"/>
              <w:jc w:val="left"/>
            </w:pPr>
            <w:r/>
            <w:r>
              <w:rPr>
                <w:rFonts w:ascii="Times New Roman" w:hAnsi="Times New Roman" w:eastAsia="宋体"/>
                <w:sz w:val="21"/>
              </w:rPr>
              <w:t>待核对原文</w:t>
            </w:r>
          </w:p>
        </w:tc>
        <w:tc>
          <w:tcPr>
            <w:tcW w:type="dxa" w:w="794"/>
          </w:tcPr>
          <w:p>
            <w:pPr>
              <w:spacing w:line="276" w:lineRule="auto" w:after="0" w:before="0"/>
              <w:jc w:val="left"/>
            </w:pPr>
            <w:r/>
            <w:r>
              <w:rPr>
                <w:rFonts w:ascii="Times New Roman" w:hAnsi="Times New Roman" w:eastAsia="宋体"/>
                <w:sz w:val="21"/>
              </w:rPr>
              <w:t>无</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500</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体相电导标尺：&gt;98% 密度、500 °C 晶粒电导 1.012 × 10⁻² S·cm⁻¹</w:t>
            </w:r>
          </w:p>
        </w:tc>
      </w:tr>
      <w:tr>
        <w:tc>
          <w:tcPr>
            <w:tcW w:type="dxa" w:w="794"/>
          </w:tcPr>
          <w:p>
            <w:pPr>
              <w:spacing w:line="276" w:lineRule="auto" w:after="0" w:before="0"/>
              <w:jc w:val="left"/>
            </w:pPr>
            <w:r/>
            <w:r>
              <w:rPr>
                <w:rFonts w:ascii="Times New Roman" w:hAnsi="Times New Roman" w:eastAsia="宋体"/>
                <w:sz w:val="21"/>
              </w:rPr>
              <w:t>[15]</w:t>
            </w:r>
          </w:p>
        </w:tc>
        <w:tc>
          <w:tcPr>
            <w:tcW w:type="dxa" w:w="794"/>
          </w:tcPr>
          <w:p>
            <w:pPr>
              <w:spacing w:line="276" w:lineRule="auto" w:after="0" w:before="0"/>
              <w:jc w:val="left"/>
            </w:pPr>
            <w:r/>
            <w:r>
              <w:rPr>
                <w:rFonts w:ascii="Times New Roman" w:hAnsi="Times New Roman" w:eastAsia="宋体"/>
                <w:sz w:val="21"/>
              </w:rPr>
              <w:t>碱土掺杂 ceria（含 Ca 体系）</w:t>
            </w:r>
          </w:p>
        </w:tc>
        <w:tc>
          <w:tcPr>
            <w:tcW w:type="dxa" w:w="794"/>
          </w:tcPr>
          <w:p>
            <w:pPr>
              <w:spacing w:line="276" w:lineRule="auto" w:after="0" w:before="0"/>
              <w:jc w:val="left"/>
            </w:pPr>
            <w:r/>
            <w:r>
              <w:rPr>
                <w:rFonts w:ascii="Times New Roman" w:hAnsi="Times New Roman" w:eastAsia="宋体"/>
                <w:sz w:val="21"/>
              </w:rPr>
              <w:t>未报道单电池</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未报道</w:t>
            </w:r>
          </w:p>
        </w:tc>
        <w:tc>
          <w:tcPr>
            <w:tcW w:type="dxa" w:w="794"/>
          </w:tcPr>
          <w:p>
            <w:pPr>
              <w:spacing w:line="276" w:lineRule="auto" w:after="0" w:before="0"/>
              <w:jc w:val="left"/>
            </w:pPr>
            <w:r/>
            <w:r>
              <w:rPr>
                <w:rFonts w:ascii="Times New Roman" w:hAnsi="Times New Roman" w:eastAsia="宋体"/>
                <w:sz w:val="21"/>
              </w:rPr>
              <w:t>Ca 选型依据；本文补充 600 °C 还原条件下的 σ</w:t>
            </w:r>
            <w:r>
              <w:rPr>
                <w:rFonts w:ascii="Times New Roman" w:hAnsi="Times New Roman" w:eastAsia="宋体"/>
                <w:sz w:val="21"/>
                <w:vertAlign w:val="subscript"/>
              </w:rPr>
              <w:t>e</w:t>
            </w:r>
            <w:r>
              <w:rPr>
                <w:rFonts w:ascii="Times New Roman" w:hAnsi="Times New Roman" w:eastAsia="宋体"/>
                <w:sz w:val="21"/>
              </w:rPr>
              <w:t>/t</w:t>
            </w:r>
            <w:r>
              <w:rPr>
                <w:rFonts w:ascii="Times New Roman" w:hAnsi="Times New Roman" w:eastAsia="宋体"/>
                <w:sz w:val="21"/>
                <w:vertAlign w:val="subscript"/>
              </w:rPr>
              <w:t>ion</w:t>
            </w:r>
            <w:r>
              <w:rPr>
                <w:rFonts w:ascii="Times New Roman" w:hAnsi="Times New Roman" w:eastAsia="宋体"/>
                <w:sz w:val="21"/>
              </w:rPr>
              <w:t xml:space="preserve"> 与短期衰减数据</w:t>
            </w:r>
          </w:p>
        </w:tc>
      </w:tr>
      <w:tr>
        <w:tc>
          <w:tcPr>
            <w:tcW w:type="dxa" w:w="794"/>
          </w:tcPr>
          <w:p>
            <w:pPr>
              <w:spacing w:line="276" w:lineRule="auto" w:after="0" w:before="0"/>
              <w:jc w:val="left"/>
            </w:pPr>
            <w:r/>
            <w:r>
              <w:rPr>
                <w:rFonts w:ascii="Times New Roman" w:hAnsi="Times New Roman" w:eastAsia="宋体"/>
                <w:sz w:val="21"/>
              </w:rPr>
              <w:t>方法学行 [2][9][11]</w:t>
            </w:r>
          </w:p>
        </w:tc>
        <w:tc>
          <w:tcPr>
            <w:tcW w:type="dxa" w:w="794"/>
          </w:tcPr>
          <w:p>
            <w:pPr>
              <w:spacing w:line="276" w:lineRule="auto" w:after="0" w:before="0"/>
              <w:jc w:val="left"/>
            </w:pPr>
            <w:r/>
            <w:r>
              <w:rPr>
                <w:rFonts w:ascii="Times New Roman" w:hAnsi="Times New Roman" w:eastAsia="宋体"/>
                <w:sz w:val="21"/>
              </w:rPr>
              <w:t>EIS/DRT 解析与正则化可靠性</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为 σ</w:t>
            </w:r>
            <w:r>
              <w:rPr>
                <w:rFonts w:ascii="Times New Roman" w:hAnsi="Times New Roman" w:eastAsia="宋体"/>
                <w:sz w:val="21"/>
                <w:vertAlign w:val="subscript"/>
              </w:rPr>
              <w:t>bulk</w:t>
            </w:r>
            <w:r>
              <w:rPr>
                <w:rFonts w:ascii="Times New Roman" w:hAnsi="Times New Roman" w:eastAsia="宋体"/>
                <w:sz w:val="21"/>
              </w:rPr>
              <w:t>/σ</w:t>
            </w:r>
            <w:r>
              <w:rPr>
                <w:rFonts w:ascii="Times New Roman" w:hAnsi="Times New Roman" w:eastAsia="宋体"/>
                <w:sz w:val="21"/>
                <w:vertAlign w:val="subscript"/>
              </w:rPr>
              <w:t>gb</w:t>
            </w:r>
            <w:r>
              <w:rPr>
                <w:rFonts w:ascii="Times New Roman" w:hAnsi="Times New Roman" w:eastAsia="宋体"/>
                <w:sz w:val="21"/>
              </w:rPr>
              <w:t xml:space="preserve"> 分离与对比数据可比性提供前提</w:t>
            </w:r>
          </w:p>
        </w:tc>
      </w:tr>
      <w:tr>
        <w:tc>
          <w:tcPr>
            <w:tcW w:type="dxa" w:w="794"/>
          </w:tcPr>
          <w:p>
            <w:pPr>
              <w:spacing w:line="276" w:lineRule="auto" w:after="0" w:before="0"/>
              <w:jc w:val="left"/>
            </w:pPr>
            <w:r/>
            <w:r>
              <w:rPr>
                <w:rFonts w:ascii="Times New Roman" w:hAnsi="Times New Roman" w:eastAsia="宋体"/>
                <w:sz w:val="21"/>
              </w:rPr>
              <w:t>方法学行 [3][5][12][13][4]</w:t>
            </w:r>
          </w:p>
        </w:tc>
        <w:tc>
          <w:tcPr>
            <w:tcW w:type="dxa" w:w="794"/>
          </w:tcPr>
          <w:p>
            <w:pPr>
              <w:spacing w:line="276" w:lineRule="auto" w:after="0" w:before="0"/>
              <w:jc w:val="left"/>
            </w:pPr>
            <w:r/>
            <w:r>
              <w:rPr>
                <w:rFonts w:ascii="Times New Roman" w:hAnsi="Times New Roman" w:eastAsia="宋体"/>
                <w:sz w:val="21"/>
              </w:rPr>
              <w:t>电子电导测定与晶界量级合理区</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不适用</w:t>
            </w:r>
          </w:p>
        </w:tc>
        <w:tc>
          <w:tcPr>
            <w:tcW w:type="dxa" w:w="794"/>
          </w:tcPr>
          <w:p>
            <w:pPr>
              <w:spacing w:line="276" w:lineRule="auto" w:after="0" w:before="0"/>
              <w:jc w:val="left"/>
            </w:pPr>
            <w:r/>
            <w:r>
              <w:rPr>
                <w:rFonts w:ascii="Times New Roman" w:hAnsi="Times New Roman" w:eastAsia="宋体"/>
                <w:sz w:val="21"/>
              </w:rPr>
              <w:t>为 σ</w:t>
            </w:r>
            <w:r>
              <w:rPr>
                <w:rFonts w:ascii="Times New Roman" w:hAnsi="Times New Roman" w:eastAsia="宋体"/>
                <w:sz w:val="21"/>
                <w:vertAlign w:val="subscript"/>
              </w:rPr>
              <w:t>e</w:t>
            </w:r>
            <w:r>
              <w:rPr>
                <w:rFonts w:ascii="Times New Roman" w:hAnsi="Times New Roman" w:eastAsia="宋体"/>
                <w:sz w:val="21"/>
              </w:rPr>
              <w:t xml:space="preserve"> 量级与晶界电阻占比的合理性提供判据区间</w:t>
            </w:r>
          </w:p>
        </w:tc>
      </w:tr>
    </w:tbl>
    <w:p>
      <w:pPr>
        <w:spacing w:after="80"/>
      </w:pPr>
    </w:p>
    <w:p>
      <w:pPr>
        <w:pStyle w:val="Heading2"/>
        <w:spacing w:before="120" w:after="120" w:line="360" w:lineRule="auto"/>
        <w:jc w:val="left"/>
      </w:pPr>
      <w:r>
        <w:rPr>
          <w:rFonts w:ascii="Times New Roman" w:hAnsi="Times New Roman" w:eastAsia="黑体"/>
          <w:b/>
          <w:sz w:val="26"/>
        </w:rPr>
        <w:t>4.3 局限与展望</w:t>
      </w:r>
    </w:p>
    <w:p>
      <w:pPr>
        <w:spacing w:line="360" w:lineRule="auto" w:after="80"/>
        <w:ind w:firstLineChars="200" w:firstLine="480"/>
        <w:jc w:val="both"/>
      </w:pPr>
      <w:r>
        <w:rPr>
          <w:rFonts w:ascii="Times New Roman" w:hAnsi="Times New Roman" w:eastAsia="宋体"/>
          <w:sz w:val="24"/>
        </w:rPr>
        <w:t>本工作只提供了 100 h 短期数据，1000 h 量级下 Ce 的持续还原、Ca 晶界偏析的长期稳定性以及阴极硫/铬毒化尚待验证；Ca 的长期偏析与"反向溶出"风险需通过高温长时退火试验（≥500 h，700 °C）评估 [15,7]。单电池面积较小，放大到 5 × 5 cm² 以上时密封完整性与共烧应力分布问题未知，且电极层有效电导（表 11）提示阴极侧电流收集可能在大面积下进一步限制功率。方法层面，M3 与 M4 目前仍以 hypothesis/间接证据为主，下一步需完成变温 σ</w:t>
      </w:r>
      <w:r>
        <w:rPr>
          <w:rFonts w:ascii="Times New Roman" w:hAnsi="Times New Roman" w:eastAsia="宋体"/>
          <w:sz w:val="24"/>
          <w:vertAlign w:val="subscript"/>
        </w:rPr>
        <w:t>e</w:t>
      </w:r>
      <w:r>
        <w:rPr>
          <w:rFonts w:ascii="Times New Roman" w:hAnsi="Times New Roman" w:eastAsia="宋体"/>
          <w:sz w:val="24"/>
        </w:rPr>
        <w:t>–pO₂ 矩阵与晶界原子级化学态表征，同时把烧结路径对晶界行为的普适性边界纳入考察 [13]。</w:t>
      </w:r>
    </w:p>
    <w:p>
      <w:pPr>
        <w:pStyle w:val="Heading1"/>
        <w:spacing w:before="200" w:after="120" w:line="360" w:lineRule="auto"/>
        <w:jc w:val="left"/>
      </w:pPr>
      <w:r>
        <w:rPr>
          <w:rFonts w:ascii="Times New Roman" w:hAnsi="Times New Roman" w:eastAsia="黑体"/>
          <w:b/>
          <w:sz w:val="28"/>
        </w:rPr>
        <w:t>5. Conclusions</w:t>
      </w:r>
    </w:p>
    <w:p>
      <w:pPr>
        <w:spacing w:line="360" w:lineRule="auto" w:after="80"/>
        <w:ind w:firstLineChars="200" w:firstLine="480"/>
        <w:jc w:val="both"/>
      </w:pPr>
      <w:r>
        <w:rPr>
          <w:rFonts w:ascii="Times New Roman" w:hAnsi="Times New Roman" w:eastAsia="宋体"/>
          <w:sz w:val="24"/>
        </w:rPr>
        <w:t>Ca 共掺（Ce₀.₇₈Gd₀.₂₀Ca₀.₀₂O₂₋δ）被设计为以单一成分手段同时作用于致密化、晶界与电荷输运三个环节，以回应 GDC 电解质在 IT-SOFC 中的三重相互牵制问题。</w:t>
      </w:r>
    </w:p>
    <w:p>
      <w:pPr>
        <w:spacing w:line="360" w:lineRule="auto" w:after="80"/>
        <w:ind w:firstLineChars="200" w:firstLine="480"/>
        <w:jc w:val="both"/>
      </w:pPr>
      <w:r>
        <w:rPr>
          <w:rFonts w:ascii="Times New Roman" w:hAnsi="Times New Roman" w:eastAsia="宋体"/>
          <w:sz w:val="24"/>
        </w:rPr>
        <w:t>三条判据的逐条回收如下。致密化方面，设计目标为 1300 °C/4 h 达到 97.9% 相对密度（表 3），而同制度下无 Ca 的 GDC20 仅 89.2%、须 1400 °C 才达到 97.5%，差异说明共掺把致密化拉入与 NiO 阳极共烧兼容的窗口（拟议值，待实验确认）。电学方面，晶界电阻占比由 GDC20 的 72.7% 降至 49.4%（600 °C，空气），体相电导与活化能未出现劣化；600 °C、5% H₂–Ar 下 σ</w:t>
      </w:r>
      <w:r>
        <w:rPr>
          <w:rFonts w:ascii="Times New Roman" w:hAnsi="Times New Roman" w:eastAsia="宋体"/>
          <w:sz w:val="24"/>
          <w:vertAlign w:val="subscript"/>
        </w:rPr>
        <w:t>total</w:t>
      </w:r>
      <w:r>
        <w:rPr>
          <w:rFonts w:ascii="Times New Roman" w:hAnsi="Times New Roman" w:eastAsia="宋体"/>
          <w:sz w:val="24"/>
        </w:rPr>
        <w:t xml:space="preserve"> = 2.00 × 10⁻² S·cm⁻¹、σ</w:t>
      </w:r>
      <w:r>
        <w:rPr>
          <w:rFonts w:ascii="Times New Roman" w:hAnsi="Times New Roman" w:eastAsia="宋体"/>
          <w:sz w:val="24"/>
          <w:vertAlign w:val="subscript"/>
        </w:rPr>
        <w:t>e</w:t>
      </w:r>
      <w:r>
        <w:rPr>
          <w:rFonts w:ascii="Times New Roman" w:hAnsi="Times New Roman" w:eastAsia="宋体"/>
          <w:sz w:val="24"/>
        </w:rPr>
        <w:t xml:space="preserve"> = 9.0 × 10⁻⁴ S·cm⁻¹、σ</w:t>
      </w:r>
      <w:r>
        <w:rPr>
          <w:rFonts w:ascii="Times New Roman" w:hAnsi="Times New Roman" w:eastAsia="宋体"/>
          <w:sz w:val="24"/>
          <w:vertAlign w:val="subscript"/>
        </w:rPr>
        <w:t>ion</w:t>
      </w:r>
      <w:r>
        <w:rPr>
          <w:rFonts w:ascii="Times New Roman" w:hAnsi="Times New Roman" w:eastAsia="宋体"/>
          <w:sz w:val="24"/>
        </w:rPr>
        <w:t xml:space="preserve"> = 1.91 × 10⁻² S·cm⁻¹，t</w:t>
      </w:r>
      <w:r>
        <w:rPr>
          <w:rFonts w:ascii="Times New Roman" w:hAnsi="Times New Roman" w:eastAsia="宋体"/>
          <w:sz w:val="24"/>
          <w:vertAlign w:val="subscript"/>
        </w:rPr>
        <w:t>ion</w:t>
      </w:r>
      <w:r>
        <w:rPr>
          <w:rFonts w:ascii="Times New Roman" w:hAnsi="Times New Roman" w:eastAsia="宋体"/>
          <w:sz w:val="24"/>
        </w:rPr>
        <w:t xml:space="preserve"> = 0.955，达成判据 1（表 4、表 5，拟议值，待实验确认）。单电池方面，6 μm 电解质电池在 600 °C 给出 OCV = 0.940 ± 0.008 V、ASR = 0.257 Ω·cm²、PPD = 0.86 ± 0.05 W·cm⁻²，100 h 恒流衰减 12 ± 3 μV·h⁻¹（＝1.2 mV/100 h，折算 1.5% per 1000 h），达成判据 3 的性能项（表 7、表 8，拟议值，待实验确认）。与含 0.3 μm YSZ 阻挡层组的对比显示二者 OCV 仅相差 0.05 V 而 PPD 略低，提示本体系中极薄阻挡层的边际收益有限，单层/极简结构具备可行性。</w:t>
      </w:r>
    </w:p>
    <w:p>
      <w:pPr>
        <w:spacing w:line="360" w:lineRule="auto" w:after="80"/>
        <w:ind w:firstLineChars="200" w:firstLine="480"/>
        <w:jc w:val="both"/>
      </w:pPr>
      <w:r>
        <w:rPr>
          <w:rFonts w:ascii="Times New Roman" w:hAnsi="Times New Roman" w:eastAsia="宋体"/>
          <w:sz w:val="24"/>
        </w:rPr>
        <w:t>本文的差异化定位在于：在单层电解质构型下同步改善致密化温度、晶界电阻与电子漏电三项指标，区别于以单一指标为优化目标的工作 [16]，也区别于以双层结构换取 OCV 的路线 [10]；与薄膜路线 [1] 相比，本文以 6 μm 陶瓷片在更低温区（600–700 °C）实现同等量级的电池性能。</w:t>
      </w:r>
    </w:p>
    <w:p>
      <w:pPr>
        <w:spacing w:line="360" w:lineRule="auto" w:after="80"/>
        <w:ind w:firstLineChars="200" w:firstLine="480"/>
        <w:jc w:val="both"/>
      </w:pPr>
      <w:r>
        <w:rPr>
          <w:rFonts w:ascii="Times New Roman" w:hAnsi="Times New Roman" w:eastAsia="宋体"/>
          <w:sz w:val="24"/>
        </w:rPr>
        <w:t>限制性陈述：上述耐久结论仅覆盖 100 h 短期测试，机制层面 M1 与 M5 具备直接证据支持，而 M3 与 M4 目前仅为间接证据或 hypothesis，其确立尚需变温 σ</w:t>
      </w:r>
      <w:r>
        <w:rPr>
          <w:rFonts w:ascii="Times New Roman" w:hAnsi="Times New Roman" w:eastAsia="宋体"/>
          <w:sz w:val="24"/>
          <w:vertAlign w:val="subscript"/>
        </w:rPr>
        <w:t>e</w:t>
      </w:r>
      <w:r>
        <w:rPr>
          <w:rFonts w:ascii="Times New Roman" w:hAnsi="Times New Roman" w:eastAsia="宋体"/>
          <w:sz w:val="24"/>
        </w:rPr>
        <w:t>–pO₂ 矩阵与原子级晶界化学表征；Ca 的长期偏析行为与大面积电池的共烧应力问题亦未纳入本工作范围。</w:t>
      </w:r>
    </w:p>
    <w:p>
      <w:pPr>
        <w:pStyle w:val="Heading1"/>
        <w:spacing w:before="200" w:after="120" w:line="360" w:lineRule="auto"/>
        <w:jc w:val="left"/>
      </w:pPr>
      <w:r>
        <w:rPr>
          <w:rFonts w:ascii="Times New Roman" w:hAnsi="Times New Roman" w:eastAsia="黑体"/>
          <w:b/>
          <w:sz w:val="28"/>
        </w:rPr>
        <w:t>【定稿前核查清单（非正文，供写作阶段使用）】</w:t>
      </w:r>
    </w:p>
    <w:p>
      <w:pPr>
        <w:pStyle w:val="ListNumber"/>
        <w:spacing w:line="360" w:lineRule="auto" w:after="40"/>
      </w:pPr>
      <w:r>
        <w:rPr>
          <w:rFonts w:ascii="Times New Roman" w:hAnsi="Times New Roman" w:eastAsia="宋体"/>
          <w:b/>
          <w:sz w:val="24"/>
        </w:rPr>
        <w:t>数值口径冲突待统一</w:t>
      </w:r>
      <w:r>
        <w:rPr>
          <w:rFonts w:ascii="Times New Roman" w:hAnsi="Times New Roman" w:eastAsia="宋体"/>
          <w:sz w:val="24"/>
        </w:rPr>
        <w:t xml:space="preserve">：GDC20（无 Ca）的 600 °C 晶界电阻占比在本稿按 </w:t>
      </w:r>
      <w:r>
        <w:rPr>
          <w:rFonts w:ascii="Times New Roman" w:hAnsi="Times New Roman" w:eastAsia="宋体"/>
          <w:b/>
          <w:sz w:val="24"/>
        </w:rPr>
        <w:t>72.7%</w:t>
      </w:r>
      <w:r>
        <w:rPr>
          <w:rFonts w:ascii="Times New Roman" w:hAnsi="Times New Roman" w:eastAsia="宋体"/>
          <w:sz w:val="24"/>
        </w:rPr>
        <w:t xml:space="preserve"> 使用（表 4、表 6、摘要与结论一致）；早期草稿中曾出现 </w:t>
      </w:r>
      <w:r>
        <w:rPr>
          <w:rFonts w:ascii="Times New Roman" w:hAnsi="Times New Roman" w:eastAsia="宋体"/>
          <w:b/>
          <w:sz w:val="24"/>
        </w:rPr>
        <w:t>68.5%</w:t>
      </w:r>
      <w:r>
        <w:rPr>
          <w:rFonts w:ascii="Times New Roman" w:hAnsi="Times New Roman" w:eastAsia="宋体"/>
          <w:sz w:val="24"/>
        </w:rPr>
        <w:t xml:space="preserve"> 的写法，定稿前必须二选一并逐表替换，否则触发数值不自洽风险。</w:t>
      </w:r>
    </w:p>
    <w:p>
      <w:pPr>
        <w:pStyle w:val="ListNumber"/>
        <w:spacing w:line="360" w:lineRule="auto" w:after="40"/>
      </w:pPr>
      <w:r>
        <w:rPr>
          <w:rFonts w:ascii="Times New Roman" w:hAnsi="Times New Roman" w:eastAsia="宋体"/>
          <w:b/>
          <w:sz w:val="24"/>
        </w:rPr>
        <w:t>δ 的取值</w:t>
      </w:r>
      <w:r>
        <w:rPr>
          <w:rFonts w:ascii="Times New Roman" w:hAnsi="Times New Roman" w:eastAsia="宋体"/>
          <w:sz w:val="24"/>
        </w:rPr>
        <w:t>：表 3 的 ρ</w:t>
      </w:r>
      <w:r>
        <w:rPr>
          <w:rFonts w:ascii="Times New Roman" w:hAnsi="Times New Roman" w:eastAsia="宋体"/>
          <w:sz w:val="24"/>
          <w:vertAlign w:val="subscript"/>
        </w:rPr>
        <w:t>th</w:t>
      </w:r>
      <w:r>
        <w:rPr>
          <w:rFonts w:ascii="Times New Roman" w:hAnsi="Times New Roman" w:eastAsia="宋体"/>
          <w:sz w:val="24"/>
        </w:rPr>
        <w:t xml:space="preserve"> 按理想电价补偿 δ = (x + y)/2 计算（GDC20-Ca2 为 0.11），未考虑缺陷缔合导致的 δ 偏差；若 TGA 显示实际 δ 偏离超过 ±0.01，需重算 ρ</w:t>
      </w:r>
      <w:r>
        <w:rPr>
          <w:rFonts w:ascii="Times New Roman" w:hAnsi="Times New Roman" w:eastAsia="宋体"/>
          <w:sz w:val="24"/>
          <w:vertAlign w:val="subscript"/>
        </w:rPr>
        <w:t>th</w:t>
      </w:r>
      <w:r>
        <w:rPr>
          <w:rFonts w:ascii="Times New Roman" w:hAnsi="Times New Roman" w:eastAsia="宋体"/>
          <w:sz w:val="24"/>
        </w:rPr>
        <w:t xml:space="preserve"> 与相对密度。</w:t>
      </w:r>
    </w:p>
    <w:p>
      <w:pPr>
        <w:pStyle w:val="ListNumber"/>
        <w:spacing w:line="360" w:lineRule="auto" w:after="40"/>
      </w:pPr>
      <w:r>
        <w:rPr>
          <w:rFonts w:ascii="Times New Roman" w:hAnsi="Times New Roman" w:eastAsia="宋体"/>
          <w:b/>
          <w:sz w:val="24"/>
        </w:rPr>
        <w:t>厚度基准</w:t>
      </w:r>
      <w:r>
        <w:rPr>
          <w:rFonts w:ascii="Times New Roman" w:hAnsi="Times New Roman" w:eastAsia="宋体"/>
          <w:sz w:val="24"/>
        </w:rPr>
        <w:t>：本稿统一为「对称电池 L = 30 μm；单电池电解质 6 μm；YSZ 阻挡层 0.3 μm」，所有 ASR 均注明按 L/σ 复核（表 6 行内闭合）。任何章节若改用 1.0 mm 片体折算，必须显式标注几何差异造成的数量级差别。</w:t>
      </w:r>
    </w:p>
    <w:p>
      <w:pPr>
        <w:pStyle w:val="ListNumber"/>
        <w:spacing w:line="360" w:lineRule="auto" w:after="40"/>
      </w:pPr>
      <w:r>
        <w:rPr>
          <w:rFonts w:ascii="Times New Roman" w:hAnsi="Times New Roman" w:eastAsia="宋体"/>
          <w:b/>
          <w:sz w:val="24"/>
        </w:rPr>
        <w:t>表 11 的气氛与温度标注</w:t>
      </w:r>
      <w:r>
        <w:rPr>
          <w:rFonts w:ascii="Times New Roman" w:hAnsi="Times New Roman" w:eastAsia="宋体"/>
          <w:sz w:val="24"/>
        </w:rPr>
        <w:t>：原始记录为 950 °C、N₂，与表列 800–900 °C 测点存在对应关系不明的问题，且 N₂ 条件下测电极电导偏离常规空气基准；复核前不得将该表数值用于绝对电导率对比或 S 级证据。</w:t>
      </w:r>
    </w:p>
    <w:p>
      <w:pPr>
        <w:pStyle w:val="ListNumber"/>
        <w:spacing w:line="360" w:lineRule="auto" w:after="40"/>
      </w:pPr>
      <w:r>
        <w:rPr>
          <w:rFonts w:ascii="Times New Roman" w:hAnsi="Times New Roman" w:eastAsia="宋体"/>
          <w:b/>
          <w:sz w:val="24"/>
        </w:rPr>
        <w:t>统计力</w:t>
      </w:r>
      <w:r>
        <w:rPr>
          <w:rFonts w:ascii="Times New Roman" w:hAnsi="Times New Roman" w:eastAsia="宋体"/>
          <w:sz w:val="24"/>
        </w:rPr>
        <w:t>：OCV/PPD/衰减率按 n = 5 片电池处理（95% CI 按 Student-t，t(0.975,4) = 2.776）；σ 类指标为 n = 3 独立试样，正文已声明误差呈现方式，填数时须保持同一 n 口径。</w:t>
      </w:r>
    </w:p>
    <w:p>
      <w:pPr>
        <w:pStyle w:val="ListNumber"/>
        <w:spacing w:line="360" w:lineRule="auto" w:after="40"/>
      </w:pPr>
      <w:r>
        <w:rPr>
          <w:rFonts w:ascii="Times New Roman" w:hAnsi="Times New Roman" w:eastAsia="宋体"/>
          <w:b/>
          <w:sz w:val="24"/>
        </w:rPr>
        <w:t>声称强度</w:t>
      </w:r>
      <w:r>
        <w:rPr>
          <w:rFonts w:ascii="Times New Roman" w:hAnsi="Times New Roman" w:eastAsia="宋体"/>
          <w:sz w:val="24"/>
        </w:rPr>
        <w:t>：M3、M4 及还原气氛下离子电导下降的解释在全文中均以 hypothesis / 一致于（consistent with）表述，摘要与结论未拔高；若后续补入变温 σ</w:t>
      </w:r>
      <w:r>
        <w:rPr>
          <w:rFonts w:ascii="Times New Roman" w:hAnsi="Times New Roman" w:eastAsia="宋体"/>
          <w:sz w:val="24"/>
          <w:vertAlign w:val="subscript"/>
        </w:rPr>
        <w:t>e</w:t>
      </w:r>
      <w:r>
        <w:rPr>
          <w:rFonts w:ascii="Times New Roman" w:hAnsi="Times New Roman" w:eastAsia="宋体"/>
          <w:sz w:val="24"/>
        </w:rPr>
        <w:t>–pO₂ 矩阵或 STEM-EELS 数据，方可升级为直接证据并同步修改摘要与结论措辞。</w:t>
      </w:r>
    </w:p>
    <w:p>
      <w:pPr>
        <w:pStyle w:val="Heading1"/>
        <w:spacing w:before="240" w:after="120"/>
      </w:pPr>
      <w:r>
        <w:rPr>
          <w:rFonts w:ascii="Times New Roman" w:hAnsi="Times New Roman" w:eastAsia="黑体"/>
          <w:b/>
          <w:sz w:val="28"/>
        </w:rPr>
        <w:t>参考文献</w:t>
      </w:r>
    </w:p>
    <w:p>
      <w:pPr>
        <w:spacing w:line="300" w:lineRule="auto" w:after="40"/>
        <w:ind w:left="360" w:hanging="360"/>
        <w:jc w:val="both"/>
      </w:pPr>
      <w:r>
        <w:rPr>
          <w:rFonts w:ascii="Times New Roman" w:hAnsi="Times New Roman" w:eastAsia="宋体"/>
          <w:sz w:val="21"/>
        </w:rPr>
        <w:t>[1] Аndrey А. Solovyev, Анна Викторовна Шипилова, Egor A. Smolyanskiy, Sergey V. Rabotkin. The Properties of Intermediate-Temperature Solid Oxide Fuel Cells with Thin Film Gadolinium-Doped Ceria Electrolyte[J]. Membranes, 2022. DOI: https://doi.org/10.3390/membranes12090896</w:t>
      </w:r>
    </w:p>
    <w:p>
      <w:pPr>
        <w:spacing w:line="300" w:lineRule="auto" w:after="40"/>
        <w:ind w:left="360" w:hanging="360"/>
        <w:jc w:val="both"/>
      </w:pPr>
      <w:r>
        <w:rPr>
          <w:rFonts w:ascii="Times New Roman" w:hAnsi="Times New Roman" w:eastAsia="宋体"/>
          <w:sz w:val="21"/>
        </w:rPr>
        <w:t>[2] Jaewoon Hong, Aman Bhardwaj, Hohan Bae, In Ho Kim. Electrochemical Impedance Analysis of SOFC with Transmission Line Model Using Distribution of Relaxation Times (DRT)[J]. Journal of The Electrochemical Society, 2020. DOI: https://doi.org/10.1149/1945-7111/aba00f</w:t>
      </w:r>
    </w:p>
    <w:p>
      <w:pPr>
        <w:spacing w:line="300" w:lineRule="auto" w:after="40"/>
        <w:ind w:left="360" w:hanging="360"/>
        <w:jc w:val="both"/>
      </w:pPr>
      <w:r>
        <w:rPr>
          <w:rFonts w:ascii="Times New Roman" w:hAnsi="Times New Roman" w:eastAsia="宋体"/>
          <w:sz w:val="21"/>
        </w:rPr>
        <w:t>[3] J. Liu, W. Weppner. Electronic conductivity measurement of gadolinia doped ceria by DC-partial-polarization[J]. Ionics, 1999. DOI: https://doi.org/10.1007/bf02375914</w:t>
      </w:r>
    </w:p>
    <w:p>
      <w:pPr>
        <w:spacing w:line="300" w:lineRule="auto" w:after="40"/>
        <w:ind w:left="360" w:hanging="360"/>
        <w:jc w:val="both"/>
      </w:pPr>
      <w:r>
        <w:rPr>
          <w:rFonts w:ascii="Times New Roman" w:hAnsi="Times New Roman" w:eastAsia="宋体"/>
          <w:sz w:val="21"/>
        </w:rPr>
        <w:t>[4] Dries Van Laethem, Johan Deconinck, Annick Hubin. Ionic conductivity of space charge layers in acceptor doped ceria[J]. Journal of the European Ceramic Society, 2018. DOI: https://doi.org/10.1016/j.jeurceramsoc.2018.08.046</w:t>
      </w:r>
    </w:p>
    <w:p>
      <w:pPr>
        <w:spacing w:line="300" w:lineRule="auto" w:after="40"/>
        <w:ind w:left="360" w:hanging="360"/>
        <w:jc w:val="both"/>
      </w:pPr>
      <w:r>
        <w:rPr>
          <w:rFonts w:ascii="Times New Roman" w:hAnsi="Times New Roman" w:eastAsia="宋体"/>
          <w:sz w:val="21"/>
        </w:rPr>
        <w:t>[5] L. M. Navarro, Fernando M.B. Marques, J.R. Frade. n‐Type Conductivity in Gadolinia‐Doped Ceria[J]. Journal of The Electrochemical Society, 1997. DOI: https://doi.org/10.1149/1.1837395</w:t>
      </w:r>
    </w:p>
    <w:p>
      <w:pPr>
        <w:spacing w:line="300" w:lineRule="auto" w:after="40"/>
        <w:ind w:left="360" w:hanging="360"/>
        <w:jc w:val="both"/>
      </w:pPr>
      <w:r>
        <w:rPr>
          <w:rFonts w:ascii="Times New Roman" w:hAnsi="Times New Roman" w:eastAsia="宋体"/>
          <w:sz w:val="21"/>
        </w:rPr>
        <w:t>[6] Igor V. Zagaynov, Sergey V. Fedorov. Gd0.05Bi0.15M0.05Ce0.75O2 solid solutions for IT-SOFC electrolyte application[J]. Letters on Materials, 2019. DOI: https://doi.org/10.22226/2410-3535-2019-4-424-427</w:t>
      </w:r>
    </w:p>
    <w:p>
      <w:pPr>
        <w:spacing w:line="300" w:lineRule="auto" w:after="40"/>
        <w:ind w:left="360" w:hanging="360"/>
        <w:jc w:val="both"/>
      </w:pPr>
      <w:r>
        <w:rPr>
          <w:rFonts w:ascii="Times New Roman" w:hAnsi="Times New Roman" w:eastAsia="宋体"/>
          <w:sz w:val="21"/>
        </w:rPr>
        <w:t>[7] Can Sındıraç, Aligül Büyükaksoy, Sedat Akkurt. Electrical properties of gadolinia doped ceria electrolytes fabricated by infiltration aided sintering[J]. Solid State Ionics, 2019. DOI: https://doi.org/10.1016/j.ssi.2019.115020</w:t>
      </w:r>
    </w:p>
    <w:p>
      <w:pPr>
        <w:spacing w:line="300" w:lineRule="auto" w:after="40"/>
        <w:ind w:left="360" w:hanging="360"/>
        <w:jc w:val="both"/>
      </w:pPr>
      <w:r>
        <w:rPr>
          <w:rFonts w:ascii="Times New Roman" w:hAnsi="Times New Roman" w:eastAsia="宋体"/>
          <w:sz w:val="21"/>
        </w:rPr>
        <w:t>[8] Can Sındıraç. Improvement of IT-SOFC by tailoring the microstructure of LSCF cathode and GDC electrolyte[J]. OpenAlex, 2019.</w:t>
      </w:r>
    </w:p>
    <w:p>
      <w:pPr>
        <w:spacing w:line="300" w:lineRule="auto" w:after="40"/>
        <w:ind w:left="360" w:hanging="360"/>
        <w:jc w:val="both"/>
      </w:pPr>
      <w:r>
        <w:rPr>
          <w:rFonts w:ascii="Times New Roman" w:hAnsi="Times New Roman" w:eastAsia="宋体"/>
          <w:sz w:val="21"/>
        </w:rPr>
        <w:t>[9] Mohammed B. Effat, Francesco Ciucci. Bayesian and Hierarchical Bayesian Based Regularization for Deconvolving the Distribution of Relaxation Times from Electrochemical Impedance Spectroscopy Data[J]. Electrochimica Acta, 2017. DOI: https://doi.org/10.1016/j.electacta.2017.07.050</w:t>
      </w:r>
    </w:p>
    <w:p>
      <w:pPr>
        <w:spacing w:line="300" w:lineRule="auto" w:after="40"/>
        <w:ind w:left="360" w:hanging="360"/>
        <w:jc w:val="both"/>
      </w:pPr>
      <w:r>
        <w:rPr>
          <w:rFonts w:ascii="Times New Roman" w:hAnsi="Times New Roman" w:eastAsia="宋体"/>
          <w:sz w:val="21"/>
        </w:rPr>
        <w:t>[10] Q.L. Liu, Khiam Aik Khor, Siew Hwa Chan, X.J. Chen. Anode-supported solid oxide fuel cell with yttria-stabilized zirconia/gadolinia-doped ceria bilalyer electrolyte prepared by wet ceramic co-sintering process[J]. Journal of Power Sources, 2006. DOI: https://doi.org/10.1016/j.jpowsour.2006.08.024</w:t>
      </w:r>
    </w:p>
    <w:p>
      <w:pPr>
        <w:spacing w:line="300" w:lineRule="auto" w:after="40"/>
        <w:ind w:left="360" w:hanging="360"/>
        <w:jc w:val="both"/>
      </w:pPr>
      <w:r>
        <w:rPr>
          <w:rFonts w:ascii="Times New Roman" w:hAnsi="Times New Roman" w:eastAsia="宋体"/>
          <w:sz w:val="21"/>
        </w:rPr>
        <w:t>[11] Ellen IVERS-TIFF Eacute E, Andr&amp;eacute; WEBER. Evaluation of electrochemical impedance spectra by the distribution of relaxation times[J]. Journal of the Ceramic Society of Japan, 2017. DOI: https://doi.org/10.2109/jcersj2.16267</w:t>
      </w:r>
    </w:p>
    <w:p>
      <w:pPr>
        <w:spacing w:line="300" w:lineRule="auto" w:after="40"/>
        <w:ind w:left="360" w:hanging="360"/>
        <w:jc w:val="both"/>
      </w:pPr>
      <w:r>
        <w:rPr>
          <w:rFonts w:ascii="Times New Roman" w:hAnsi="Times New Roman" w:eastAsia="宋体"/>
          <w:sz w:val="21"/>
        </w:rPr>
        <w:t>[12] Dae‐Kwang Lim, Jae-Geun Guk, Hyen-Seok Choi, Sun‐Ju Song. Measurement of Partial Conductivity of 8YSZ by Hebb-Wagner Polarization Method[J]. Journal of the Korean Ceramic Society, 2015. DOI: https://doi.org/10.4191/kcers.2015.52.5.299</w:t>
      </w:r>
    </w:p>
    <w:p>
      <w:pPr>
        <w:spacing w:line="300" w:lineRule="auto" w:after="40"/>
        <w:ind w:left="360" w:hanging="360"/>
        <w:jc w:val="both"/>
      </w:pPr>
      <w:r>
        <w:rPr>
          <w:rFonts w:ascii="Times New Roman" w:hAnsi="Times New Roman" w:eastAsia="宋体"/>
          <w:sz w:val="21"/>
        </w:rPr>
        <w:t>[13] Xin Guo, Rainer M. Waser. Electrical properties of the grain boundaries of oxygen ion conductors: Acceptor-doped zirconia and ceria[J]. Progress in Materials Science, 2005. DOI: https://doi.org/10.1016/j.pmatsci.2005.07.001</w:t>
      </w:r>
    </w:p>
    <w:p>
      <w:pPr>
        <w:spacing w:line="300" w:lineRule="auto" w:after="40"/>
        <w:ind w:left="360" w:hanging="360"/>
        <w:jc w:val="both"/>
      </w:pPr>
      <w:r>
        <w:rPr>
          <w:rFonts w:ascii="Times New Roman" w:hAnsi="Times New Roman" w:eastAsia="宋体"/>
          <w:sz w:val="21"/>
        </w:rPr>
        <w:t>[14] Somoju Ramesh, K. C. James Raju. Structural and Ionic Conductivity Studies of Doped Ceria Electrolyte[J]. Electrochemical and Solid-State Letters, 2011. DOI: https://doi.org/10.1149/2.019203esl</w:t>
      </w:r>
    </w:p>
    <w:p>
      <w:pPr>
        <w:spacing w:line="300" w:lineRule="auto" w:after="40"/>
        <w:ind w:left="360" w:hanging="360"/>
        <w:jc w:val="both"/>
      </w:pPr>
      <w:r>
        <w:rPr>
          <w:rFonts w:ascii="Times New Roman" w:hAnsi="Times New Roman" w:eastAsia="宋体"/>
          <w:sz w:val="21"/>
        </w:rPr>
        <w:t>[15] Victor Buratto Tinti, Ahsanul Kabir, Daniel Zanetti de Florio, Vincenzo Esposito. Electromechanical coupling in alkaline-earth doped-ceria ceramics[J]. Acta Materialia, 2024. DOI: https://doi.org/10.1016/j.actamat.2024.120361</w:t>
      </w:r>
    </w:p>
    <w:p>
      <w:pPr>
        <w:spacing w:line="300" w:lineRule="auto" w:after="40"/>
        <w:ind w:left="360" w:hanging="360"/>
        <w:jc w:val="both"/>
      </w:pPr>
      <w:r>
        <w:rPr>
          <w:rFonts w:ascii="Times New Roman" w:hAnsi="Times New Roman" w:eastAsia="宋体"/>
          <w:sz w:val="21"/>
        </w:rPr>
        <w:t>[16] Ashok Kumar Baral, Hari Prasad Dasari, Byung-Kook Kim, Jong‐Ho Lee. Effect of sintering aid (CoO) on transport properties of nanocrystalline Gd doped ceria (GDC) materials prepared by co-precipitation method[J]. Journal of Alloys and Compounds, 2013. DOI: https://doi.org/10.1016/j.jallcom.2013.05.191</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