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第三章：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启动流程：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electmaster-&gt;gateway-&gt;allocation-&gt;recovery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判断节点是否过半，否则放弃master节点加入集群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Discovery.zen.minimum_master_nodes = master_eligible/2 + 1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即使设置了如下参数，集群仍然会强制分配主分片，选择版本信息最新的分片左为主分片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cluster.routing.allocation.enable:none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节点掉线时间不重新分配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index.unassigned.node_left.delayed_timeout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主分片recovery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重放translog过程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副本分片recovery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两个阶段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phase1: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主分片复制translog发送到副本分片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phase2: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主分片处理phase1阶段期间新增的索引，生成translog发送给副本分片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第五章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bully算法+得票数过半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第七章写入流程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sz w:val="20"/>
        </w:rPr>
        <w:drawing>
          <wp:inline distT="0" distB="0" distL="0" distR="0">
            <wp:extent cx="5731510" cy="297878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1932_40169144/fImage129840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794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写Lucene和事务日志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>Engine封装了Lucene和translog的调用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  <w:r>
        <w:rPr>
          <w:color w:val="auto"/>
          <w:sz w:val="21"/>
          <w:szCs w:val="21"/>
          <w:rFonts w:ascii="Calibri" w:eastAsia="宋体" w:hAnsi="宋体" w:cs="宋体"/>
        </w:rPr>
        <w:t xml:space="preserve">写Lucene之前先生成sequence Number和version。这些都是在InternalEngine类实现的</w:t>
      </w: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p>
      <w:pPr>
        <w:spacing w:lineRule="auto" w:line="259"/>
        <w:rPr>
          <w:color w:val="auto"/>
          <w:sz w:val="21"/>
          <w:szCs w:val="21"/>
          <w:rFonts w:ascii="Calibri" w:eastAsia="宋体" w:hAnsi="宋体" w:cs="宋体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1"/>
        <w:szCs w:val="21"/>
      </w:rPr>
    </w:rPrDefault>
  </w:docDefaults>
  <w:style w:default="1" w:styleId="PO1" w:type="paragraph">
    <w:name w:val="Normal"/>
    <w:qFormat/>
    <w:uiPriority w:val="1"/>
    <w:pPr>
      <w:jc w:val="both"/>
      <w:spacing w:lineRule="auto" w:line="240" w:after="0"/>
      <w:rPr/>
      <w:autoSpaceDE w:val="0"/>
      <w:autoSpaceDN w:val="0"/>
    </w:pPr>
    <w:rPr>
      <w:color w:val="auto"/>
      <w:sz w:val="21"/>
      <w:szCs w:val="21"/>
      <w:rFonts w:ascii="Calibri" w:eastAsia="宋体" w:hAnsi="宋体" w:cs="宋体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1"/>
      <w:szCs w:val="21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98409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