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ETF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LOF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QDII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开放式基金和封闭基金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