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pPr>
      <w:r>
        <w:rPr>
          <w:b w:val="0"/>
        </w:rPr>
        <w:t>Minimax H3部署方案</w:t>
      </w:r>
    </w:p>
    <w:p>
      <w:pPr>
        <w:pStyle w:val="Subtitle"/>
        <w:snapToGrid w:val="0"/>
      </w:pPr>
      <w:r>
        <w:rPr>
          <w:b w:val="0"/>
        </w:rPr>
        <w:t>从模型调研与显卡评估到 CPU 部署和 API 封装</w:t>
      </w:r>
    </w:p>
    <w:p>
      <w:pPr>
        <w:pStyle w:val="Heading2"/>
        <w:snapToGrid w:val="0"/>
      </w:pPr>
      <w:r>
        <w:rPr>
          <w:lang w:val="en-US" w:eastAsia="zh-CN"/>
        </w:rPr>
        <w:t xml:space="preserve">目标与整体思路</w:t>
      </w:r>
    </w:p>
    <w:p>
      <w:pPr>
        <w:snapToGrid w:val="0"/>
      </w:pPr>
      <w:r>
        <w:rPr>
          <w:lang w:val="en-US" w:eastAsia="zh-CN"/>
        </w:rPr>
        <w:t xml:space="preserve">本方案回答一个完整的工程问题：如何自己部署一个 MiniMax H3 模型，并封装成 API。目标是在自己管理的服务器上运行 H3 权重，让调用方提交一张参考图和提示词，通过异步任务获取带音轨的 MP4 视频。</w:t>
      </w:r>
    </w:p>
    <w:p>
      <w:pPr>
        <w:snapToGrid w:val="0"/>
      </w:pPr>
      <w:r>
        <w:rPr>
          <w:lang w:val="en-US" w:eastAsia="zh-CN"/>
        </w:rPr>
        <w:t xml:space="preserve">我的起点是把 H3 部署在自己的设备上。先查官方模型卡、框架配方和权重清单，再对照手头 RTX 5060 Ti 的16GB显存与32GB系统内存：前者不足以完整常驻原精度大组件，后者也低于所查INT8卸载方案约75GB的主机权重需求。当前整机不满足这两条路线的条件，因此继续查公司已有云资源，最终选择能直接创建的大核数、大内存 CPU ECS。</w:t>
      </w:r>
    </w:p>
    <w:p>
      <w:pPr>
        <w:pStyle w:val="Heading2"/>
        <w:snapToGrid w:val="0"/>
      </w:pPr>
      <w:r>
        <w:rPr>
          <w:lang w:val="en-US" w:eastAsia="zh-CN"/>
        </w:rPr>
        <w:t xml:space="preserve">从调研到服务的五个步骤</w:t>
      </w:r>
    </w:p>
    <w:p>
      <w:pPr>
        <w:snapToGrid w:val="0"/>
      </w:pPr>
      <w:r>
        <w:rPr>
          <w:lang w:val="en-US" w:eastAsia="zh-CN"/>
          <w:b/>
        </w:rPr>
        <w:t xml:space="preserve">1 查清 H3 要什么。</w:t>
      </w:r>
      <w:r>
        <w:rPr>
          <w:lang w:val="en-US" w:eastAsia="zh-CN"/>
        </w:rPr>
        <w:t xml:space="preserve">从任务分区、模型组件、精度、显存、系统内存和磁盘六个方面拆解条件，把官方示例与本次目标对应起来。</w:t>
      </w:r>
    </w:p>
    <w:p>
      <w:pPr>
        <w:snapToGrid w:val="0"/>
      </w:pPr>
      <w:r>
        <w:rPr>
          <w:lang w:val="en-US" w:eastAsia="zh-CN"/>
          <w:b/>
        </w:rPr>
        <w:t xml:space="preserve">2 评估自己的整机。</w:t>
      </w:r>
      <w:r>
        <w:rPr>
          <w:lang w:val="en-US" w:eastAsia="zh-CN"/>
        </w:rPr>
        <w:t xml:space="preserve">把5060 Ti的16GB显存、32GB系统内存，分别与完整组件常驻和INT8＋CPU卸载的要求对照，再看画布、精度与主机配置。</w:t>
      </w:r>
    </w:p>
    <w:p>
      <w:pPr>
        <w:snapToGrid w:val="0"/>
      </w:pPr>
      <w:r>
        <w:rPr>
          <w:lang w:val="en-US" w:eastAsia="zh-CN"/>
          <w:b/>
        </w:rPr>
        <w:t xml:space="preserve">3 核对能拿到的云资源。</w:t>
      </w:r>
      <w:r>
        <w:rPr>
          <w:lang w:val="en-US" w:eastAsia="zh-CN"/>
        </w:rPr>
        <w:t xml:space="preserve">在公司已有云账号中查看 veMLP、GPU ECS 和容器资源，区分权限、配额、库存与真实可创建规格，最终选到 160 vCPU、768GiB 的 CPU ECS。</w:t>
      </w:r>
    </w:p>
    <w:p>
      <w:pPr>
        <w:snapToGrid w:val="0"/>
      </w:pPr>
      <w:r>
        <w:rPr>
          <w:lang w:val="en-US" w:eastAsia="zh-CN"/>
          <w:b/>
        </w:rPr>
        <w:t xml:space="preserve">4 在 CPU 上落实推理。</w:t>
      </w:r>
      <w:r>
        <w:rPr>
          <w:lang w:val="en-US" w:eastAsia="zh-CN"/>
        </w:rPr>
        <w:t xml:space="preserve">固定 PyTorch CPU 与模型框架版本，准备权重、CPU attention 和精度设置，依次完成环境检查、短任务、单图 Ref2VA 与长视频生成。</w:t>
      </w:r>
    </w:p>
    <w:p>
      <w:pPr>
        <w:snapToGrid w:val="0"/>
      </w:pPr>
      <w:r>
        <w:rPr>
          <w:lang w:val="en-US" w:eastAsia="zh-CN"/>
          <w:b/>
        </w:rPr>
        <w:t xml:space="preserve">5 封装 API 并接入应用。</w:t>
      </w:r>
      <w:r>
        <w:rPr>
          <w:lang w:val="en-US" w:eastAsia="zh-CN"/>
        </w:rPr>
        <w:t xml:space="preserve">用 FastAPI、SQLite 和独立 worker 封装提交、查询和下载，再接入客户端与视频工作台。长时间推理由后台任务完成，前台保留可恢复的任务 ID。</w:t>
      </w:r>
    </w:p>
    <w:p>
      <w:pPr>
        <w:pStyle w:val="Heading2"/>
        <w:snapToGrid w:val="0"/>
      </w:pPr>
      <w:r>
        <w:rPr>
          <w:lang w:val="en-US" w:eastAsia="zh-CN"/>
        </w:rPr>
        <w:t xml:space="preserve">调用方看到的完整流程</w:t>
      </w:r>
    </w:p>
    <w:p>
      <w:pPr>
        <w:snapToGrid w:val="0"/>
      </w:pPr>
      <w:r>
        <w:rPr>
          <w:lang w:val="en-US" w:eastAsia="zh-CN"/>
        </w:rPr>
        <w:t xml:space="preserve">携带 Bearer Key 提交参考图和提示词 → API 返回 task_id → worker 执行自部署 H3 推理 → 客户端按任务 ID 查询状态 → 生成完成后取得签名链接并下载 MP4。同一提交使用幂等键，连接中断后继续查询原任务。</w:t>
      </w:r>
    </w:p>
    <w:p>
      <w:pPr>
        <w:snapToGrid w:val="0"/>
      </w:pPr>
      <w:r>
        <w:rPr>
          <w:lang w:val="en-US" w:eastAsia="zh-CN"/>
        </w:rPr>
        <w:t xml:space="preserve">最终交付是一套自部署 H3 运行环境、一组可调用的异步 API，以及配套客户端和视频工作台。后文按这条路线展开资源选型、部署命令、API 开发和实际生成案例。</w:t>
      </w:r>
    </w:p>
    <w:p>
      <w:pPr>
        <w:pStyle w:val="Heading2"/>
        <w:snapToGrid w:val="0"/>
        <w:pageBreakBefore/>
      </w:pPr>
      <w:r>
        <w:t>部署结果与原始视频</w:t>
      </w:r>
    </w:p>
    <w:p>
      <w:pPr>
        <w:snapToGrid w:val="0"/>
      </w:pPr>
      <w:r>
        <w:rPr>
          <w:b w:val="0"/>
        </w:rPr>
        <w:t>调研后的选择是：用公司已有云账号能开出的160 vCPU、768GiB CPU ECS承载H3。我的台式机是RTX5060 Ti 16GB显存＋32GB系统内存，既不满足完整权重常驻的显存要求，也不满足上述INT8卸载方案的主机内存条件。随后在云端按完整单图Ref2VA推进，取得五秒和十五秒音视频，并封装成可调用的异步API。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632"/>
      </w:tblGrid>
      <w:tr>
        <w:trPr>
          <w:cantSplit/>
          <w:tblHeader/>
        </w:trPr>
        <w:tc>
          <w:tcPr>
            <w:tcW w:type="dxa" w:w="2448"/>
            <w:vAlign w:val="center"/>
            <w:tcMar>
              <w:top w:w="80" w:type="dxa"/>
              <w:bottom w:w="80" w:type="dxa"/>
              <w:left w:w="100" w:type="dxa"/>
              <w:right w:w="100" w:type="dxa"/>
            </w:tcMar>
            <w:shd w:fill="18354B"/>
          </w:tcPr>
          <w:p>
            <w:pPr>
              <w:spacing w:after="0" w:line="280" w:lineRule="exact"/>
              <w:jc w:val="left"/>
            </w:pPr>
            <w:r>
              <w:rPr>
                <w:b/>
                <w:color w:val="FFFFFF"/>
                <w:sz w:val="20"/>
              </w:rPr>
              <w:t>结果</w:t>
            </w:r>
          </w:p>
        </w:tc>
        <w:tc>
          <w:tcPr>
            <w:tcW w:type="dxa" w:w="7632"/>
            <w:vAlign w:val="center"/>
            <w:tcMar>
              <w:top w:w="80" w:type="dxa"/>
              <w:bottom w:w="80" w:type="dxa"/>
              <w:left w:w="100" w:type="dxa"/>
              <w:right w:w="100" w:type="dxa"/>
            </w:tcMar>
            <w:shd w:fill="18354B"/>
          </w:tcPr>
          <w:p>
            <w:pPr>
              <w:spacing w:after="0" w:line="280" w:lineRule="exact"/>
              <w:jc w:val="left"/>
            </w:pPr>
            <w:r>
              <w:rPr>
                <w:b/>
                <w:color w:val="FFFFFF"/>
                <w:sz w:val="20"/>
              </w:rPr>
              <w:t>本次实测</w:t>
            </w:r>
          </w:p>
        </w:tc>
      </w:tr>
      <w:tr>
        <w:trPr>
          <w:cantSplit/>
        </w:trPr>
        <w:tc>
          <w:tcPr>
            <w:tcW w:type="dxa" w:w="2448"/>
            <w:vAlign w:val="center"/>
            <w:tcMar>
              <w:top w:w="80" w:type="dxa"/>
              <w:bottom w:w="80" w:type="dxa"/>
              <w:left w:w="100" w:type="dxa"/>
              <w:right w:w="100" w:type="dxa"/>
            </w:tcMar>
            <w:shd w:fill="FFFFFF"/>
          </w:tcPr>
          <w:p>
            <w:pPr>
              <w:spacing w:after="0" w:line="280" w:lineRule="exact"/>
              <w:jc w:val="left"/>
            </w:pPr>
            <w:r>
              <w:rPr>
                <w:b w:val="0"/>
                <w:color w:val="000000"/>
                <w:sz w:val="20"/>
              </w:rPr>
              <w:t>五秒参考图样例</w:t>
            </w:r>
          </w:p>
        </w:tc>
        <w:tc>
          <w:tcPr>
            <w:tcW w:type="dxa" w:w="7632"/>
            <w:vAlign w:val="center"/>
            <w:tcMar>
              <w:top w:w="80" w:type="dxa"/>
              <w:bottom w:w="80" w:type="dxa"/>
              <w:left w:w="100" w:type="dxa"/>
              <w:right w:w="100" w:type="dxa"/>
            </w:tcMar>
            <w:shd w:fill="FFFFFF"/>
          </w:tcPr>
          <w:p>
            <w:pPr>
              <w:spacing w:after="0" w:line="280" w:lineRule="exact"/>
              <w:jc w:val="left"/>
            </w:pPr>
            <w:r>
              <w:rPr>
                <w:b w:val="0"/>
                <w:color w:val="000000"/>
                <w:sz w:val="20"/>
              </w:rPr>
              <w:t>768×768，约5.17秒，完整49次采样；CPU约109分钟</w:t>
            </w:r>
          </w:p>
        </w:tc>
      </w:tr>
      <w:tr>
        <w:trPr>
          <w:cantSplit/>
        </w:trPr>
        <w:tc>
          <w:tcPr>
            <w:tcW w:type="dxa" w:w="2448"/>
            <w:vAlign w:val="center"/>
            <w:tcMar>
              <w:top w:w="80" w:type="dxa"/>
              <w:bottom w:w="80" w:type="dxa"/>
              <w:left w:w="100" w:type="dxa"/>
              <w:right w:w="100" w:type="dxa"/>
            </w:tcMar>
            <w:shd w:fill="F1F5F8"/>
          </w:tcPr>
          <w:p>
            <w:pPr>
              <w:spacing w:after="0" w:line="280" w:lineRule="exact"/>
              <w:jc w:val="left"/>
            </w:pPr>
            <w:r>
              <w:rPr>
                <w:b w:val="0"/>
                <w:color w:val="000000"/>
                <w:sz w:val="20"/>
              </w:rPr>
              <w:t>十五秒电影人物片</w:t>
            </w:r>
          </w:p>
        </w:tc>
        <w:tc>
          <w:tcPr>
            <w:tcW w:type="dxa" w:w="7632"/>
            <w:vAlign w:val="center"/>
            <w:tcMar>
              <w:top w:w="80" w:type="dxa"/>
              <w:bottom w:w="80" w:type="dxa"/>
              <w:left w:w="100" w:type="dxa"/>
              <w:right w:w="100" w:type="dxa"/>
            </w:tcMar>
            <w:shd w:fill="F1F5F8"/>
          </w:tcPr>
          <w:p>
            <w:pPr>
              <w:spacing w:after="0" w:line="280" w:lineRule="exact"/>
              <w:jc w:val="left"/>
            </w:pPr>
            <w:r>
              <w:rPr>
                <w:b w:val="0"/>
                <w:color w:val="000000"/>
                <w:sz w:val="20"/>
              </w:rPr>
              <w:t>1344×768，360帧，24fps；CPU约14小时21分钟，峰值RSS约145.09GiB</w:t>
            </w:r>
          </w:p>
        </w:tc>
      </w:tr>
      <w:tr>
        <w:trPr>
          <w:cantSplit/>
        </w:trPr>
        <w:tc>
          <w:tcPr>
            <w:tcW w:type="dxa" w:w="2448"/>
            <w:vAlign w:val="center"/>
            <w:tcMar>
              <w:top w:w="80" w:type="dxa"/>
              <w:bottom w:w="80" w:type="dxa"/>
              <w:left w:w="100" w:type="dxa"/>
              <w:right w:w="100" w:type="dxa"/>
            </w:tcMar>
            <w:shd w:fill="FFFFFF"/>
          </w:tcPr>
          <w:p>
            <w:pPr>
              <w:spacing w:after="0" w:line="280" w:lineRule="exact"/>
              <w:jc w:val="left"/>
            </w:pPr>
            <w:r>
              <w:rPr>
                <w:b w:val="0"/>
                <w:color w:val="000000"/>
                <w:sz w:val="20"/>
              </w:rPr>
              <w:t>按公开价重新估算</w:t>
            </w:r>
          </w:p>
        </w:tc>
        <w:tc>
          <w:tcPr>
            <w:tcW w:type="dxa" w:w="7632"/>
            <w:vAlign w:val="center"/>
            <w:tcMar>
              <w:top w:w="80" w:type="dxa"/>
              <w:bottom w:w="80" w:type="dxa"/>
              <w:left w:w="100" w:type="dxa"/>
              <w:right w:w="100" w:type="dxa"/>
            </w:tcMar>
            <w:shd w:fill="FFFFFF"/>
          </w:tcPr>
          <w:p>
            <w:pPr>
              <w:spacing w:after="0" w:line="280" w:lineRule="exact"/>
              <w:jc w:val="left"/>
            </w:pPr>
            <w:r>
              <w:rPr>
                <w:b w:val="0"/>
                <w:color w:val="000000"/>
                <w:sz w:val="20"/>
              </w:rPr>
              <w:t>同等CPU与580GiB云盘运行约14.52小时，参考费用约596.18元，另加公网等费用</w:t>
            </w:r>
          </w:p>
        </w:tc>
      </w:tr>
      <w:tr>
        <w:trPr>
          <w:cantSplit/>
        </w:trPr>
        <w:tc>
          <w:tcPr>
            <w:tcW w:type="dxa" w:w="2448"/>
            <w:vAlign w:val="center"/>
            <w:tcMar>
              <w:top w:w="80" w:type="dxa"/>
              <w:bottom w:w="80" w:type="dxa"/>
              <w:left w:w="100" w:type="dxa"/>
              <w:right w:w="100" w:type="dxa"/>
            </w:tcMar>
            <w:shd w:fill="F1F5F8"/>
          </w:tcPr>
          <w:p>
            <w:pPr>
              <w:spacing w:after="0" w:line="280" w:lineRule="exact"/>
              <w:jc w:val="left"/>
            </w:pPr>
            <w:r>
              <w:rPr>
                <w:b w:val="0"/>
                <w:color w:val="000000"/>
                <w:sz w:val="20"/>
              </w:rPr>
              <w:t>接口开发</w:t>
            </w:r>
          </w:p>
        </w:tc>
        <w:tc>
          <w:tcPr>
            <w:tcW w:type="dxa" w:w="7632"/>
            <w:vAlign w:val="center"/>
            <w:tcMar>
              <w:top w:w="80" w:type="dxa"/>
              <w:bottom w:w="80" w:type="dxa"/>
              <w:left w:w="100" w:type="dxa"/>
              <w:right w:w="100" w:type="dxa"/>
            </w:tcMar>
            <w:shd w:fill="F1F5F8"/>
          </w:tcPr>
          <w:p>
            <w:pPr>
              <w:spacing w:after="0" w:line="280" w:lineRule="exact"/>
              <w:jc w:val="left"/>
            </w:pPr>
            <w:r>
              <w:rPr>
                <w:b w:val="0"/>
                <w:color w:val="000000"/>
                <w:sz w:val="20"/>
              </w:rPr>
              <w:t>开发方案见第12节；单图 Ref2VA 的V2风格API已完成CPU实机联调，测试后节省停机</w:t>
            </w:r>
          </w:p>
        </w:tc>
      </w:tr>
    </w:tbl>
    <w:p>
      <w:pPr>
        <w:spacing w:after="40" w:line="96" w:lineRule="auto"/>
        <w:snapToGrid w:val="0"/>
      </w:pPr>
      <w:r>
        <w:rPr>
          <w:b w:val="0"/>
        </w:rPr>
      </w:r>
      <w:r>
        <w:rPr>
          <w:sz w:val="4"/>
        </w:rPr>
      </w:r>
    </w:p>
    <w:p>
      <w:pPr>
        <w:snapToGrid w:val="0"/>
      </w:pPr>
      <w:r>
        <w:rPr>
          <w:b w:val="0"/>
        </w:rPr>
        <w:t>这条路线来自模型要求、本地显卡容量和可用云资源的逐项比较。它适合能取得大内存 CPU、愿意等待的离线创作；计算预算时同时考虑实例单价和完整运行窗口。</w:t>
      </w:r>
    </w:p>
    <w:p>
      <w:pPr>
        <w:keepNext/>
        <w:spacing w:line="240" w:lineRule="auto"/>
        <w:jc w:val="center"/>
        <w:snapToGrid w:val="0"/>
      </w:pPr>
      <w:r>
        <w:object w:dxaOrig="8064" w:dyaOrig="4608">
          <v:shapetype id="_x0000_t10011" coordsize="21600,21600" filled="f" stroked="f" o:spt="75" o:preferrelative="t">
            <v:path gradientshapeok="t" o:connecttype="rect"/>
          </v:shapetype>
          <v:shape id="_x0000_i10011" type="#_x0000_t10011" style="width:403.2pt;height:230.4pt" alt="Embedded MP4 attachment; open in a compatible desktop application" o:ole="t">
            <v:imagedata r:id="rId10" o:title="h3-cinematic-15s.mp4"/>
          </v:shape>
          <o:OLEObject Type="Embed" ProgID="Package" ShapeID="_x0000_i10011" DrawAspect="Icon" ObjectID="_10011" r:id="rId11"/>
        </w:object>
      </w:r>
    </w:p>
    <w:p>
      <w:pPr>
        <w:pStyle w:val="Caption"/>
        <w:snapToGrid w:val="0"/>
      </w:pPr>
      <w:r>
        <w:rPr>
          <w:b w:val="0"/>
        </w:rPr>
        <w:t>原始视频附件  h3-cinematic-15s.mp4  15秒  1534926 bytes</w:t>
      </w:r>
    </w:p>
    <w:p>
      <w:pPr>
        <w:spacing w:after="140" w:line="270" w:lineRule="exact"/>
        <w:snapToGrid w:val="0"/>
      </w:pPr>
      <w:r>
        <w:rPr>
          <w:b w:val="0"/>
          <w:sz w:val="19"/>
        </w:rPr>
        <w:t>视频文件已完整嵌入文档，不依赖某台电脑的原路径。支持 OLE 的桌面 Word 可双击对象调用关联播放器；Mac、网页版或 WPS 的对象支持取决于客户端，也可直接播放随文附上的同名 MP4。</w:t>
      </w:r>
    </w:p>
    <w:p>
      <w:pPr>
        <w:pStyle w:val="Heading1"/>
        <w:pageBreakBefore/>
        <w:snapToGrid w:val="0"/>
      </w:pPr>
      <w:r>
        <w:t>前期调研一 先拆解 H3 的运行条件</w:t>
      </w:r>
    </w:p>
    <w:p>
      <w:pPr>
        <w:snapToGrid w:val="0"/>
      </w:pPr>
      <w:r>
        <w:t>我先弄清“部署 H3”实际要运行什么：阅读 MiniMax 官方模型卡，确认模型结构与任务分区；再对照 Diffusers 的组件加载代码和 SGLang 的部署配方，最后用固定版本的文件清单复算体积。模型卡回答组成，框架文档回答怎么执行，清单回答要准备多少文件。[3、9、11]</w:t>
      </w:r>
    </w:p>
    <w:p>
      <w:pPr>
        <w:pStyle w:val="Heading2"/>
        <w:snapToGrid w:val="0"/>
      </w:pPr>
      <w:r>
        <w:t>先明确目标与模型分区</w:t>
      </w:r>
    </w:p>
    <w:p>
      <w:pPr>
        <w:snapToGrid w:val="0"/>
      </w:pPr>
      <w:r>
        <w:t>初期先梳理文生和首尾帧路径，后续需求明确为单张参考图生成音视频 Ref2VA。两者分别使用 transformer 与 transformer_ref，共享文本编码器、tokenizer/processor、双 VAE 和调度器。正式请求按工作流加载对应分支；“H3 33B”并不是部署时唯一要准备的组件。</w:t>
      </w:r>
    </w:p>
    <w:p>
      <w:pPr>
        <w:snapToGrid w:val="0"/>
      </w:pPr>
      <w:r>
        <w:t>官方模型卡写明，H3 Omni-Transformer 约 33B 参数，条件编码器采用完整 Qwen3-VL-32B。仅按两者参数量乘 BF16 的每参数 2 字节估算，就已是约 130GB 的数量级，随后还要考虑 VAE、激活和解码过程。[9]</w:t>
      </w:r>
    </w:p>
    <w:p>
      <w:pPr>
        <w:pStyle w:val="Heading2"/>
        <w:snapToGrid w:val="0"/>
      </w:pPr>
      <w:r>
        <w:t>把容量按组件算清楚</w:t>
      </w:r>
    </w:p>
    <w:tbl>
      <w:tblPr>
        <w:tblW w:w="1008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2400"/>
        <w:gridCol w:w="5360"/>
        <w:gridCol w:w="2320"/>
      </w:tblGrid>
      <w:tr>
        <w:trPr>
          <w:cantSplit/>
          <w:tblHeader/>
        </w:trPr>
        <w:tc>
          <w:tcPr>
            <w:tcW w:w="2400" w:type="dxa"/>
            <w:vAlign w:val="center"/>
            <w:shd w:fill="18384B"/>
          </w:tcPr>
          <w:p>
            <w:pPr>
              <w:spacing w:after="0" w:line="270" w:lineRule="exact"/>
            </w:pPr>
            <w:r>
              <w:rPr>
                <w:rFonts w:ascii="Arial" w:hAnsi="Arial" w:eastAsia="Hiragino Sans GB"/>
                <w:sz w:val="21"/>
                <w:color w:val="FFFFFF"/>
                <w:b/>
              </w:rPr>
              <w:t>组件</w:t>
            </w:r>
          </w:p>
        </w:tc>
        <w:tc>
          <w:tcPr>
            <w:tcW w:w="5360" w:type="dxa"/>
            <w:vAlign w:val="center"/>
            <w:shd w:fill="18384B"/>
          </w:tcPr>
          <w:p>
            <w:pPr>
              <w:spacing w:after="0" w:line="270" w:lineRule="exact"/>
            </w:pPr>
            <w:r>
              <w:rPr>
                <w:rFonts w:ascii="Arial" w:hAnsi="Arial" w:eastAsia="Hiragino Sans GB"/>
                <w:sz w:val="21"/>
                <w:color w:val="FFFFFF"/>
                <w:b/>
              </w:rPr>
              <w:t>部署作用</w:t>
            </w:r>
          </w:p>
        </w:tc>
        <w:tc>
          <w:tcPr>
            <w:tcW w:w="2320" w:type="dxa"/>
            <w:vAlign w:val="center"/>
            <w:shd w:fill="18384B"/>
          </w:tcPr>
          <w:p>
            <w:pPr>
              <w:spacing w:after="0" w:line="270" w:lineRule="exact"/>
            </w:pPr>
            <w:r>
              <w:rPr>
                <w:rFonts w:ascii="Arial" w:hAnsi="Arial" w:eastAsia="Hiragino Sans GB"/>
                <w:sz w:val="21"/>
                <w:color w:val="FFFFFF"/>
                <w:b/>
              </w:rPr>
              <w:t>固定文件容量</w:t>
            </w:r>
          </w:p>
        </w:tc>
      </w:tr>
      <w:tr>
        <w:trPr>
          <w:cantSplit/>
        </w:trPr>
        <w:tc>
          <w:tcPr>
            <w:tcW w:w="2400" w:type="dxa"/>
            <w:vAlign w:val="center"/>
            <w:shd w:fill="FFFFFF"/>
          </w:tcPr>
          <w:p>
            <w:pPr>
              <w:spacing w:after="0" w:line="270" w:lineRule="exact"/>
            </w:pPr>
            <w:r>
              <w:rPr>
                <w:rFonts w:ascii="Arial" w:hAnsi="Arial" w:eastAsia="Hiragino Sans GB"/>
                <w:sz w:val="21"/>
                <w:color w:val="000000"/>
              </w:rPr>
              <w:t>Transformer 分支</w:t>
            </w:r>
          </w:p>
        </w:tc>
        <w:tc>
          <w:tcPr>
            <w:tcW w:w="5360" w:type="dxa"/>
            <w:vAlign w:val="center"/>
            <w:shd w:fill="FFFFFF"/>
          </w:tcPr>
          <w:p>
            <w:pPr>
              <w:spacing w:after="0" w:line="270" w:lineRule="exact"/>
            </w:pPr>
            <w:r>
              <w:rPr>
                <w:rFonts w:ascii="Arial" w:hAnsi="Arial" w:eastAsia="Hiragino Sans GB"/>
                <w:sz w:val="21"/>
                <w:color w:val="000000"/>
              </w:rPr>
              <w:t>文生或参考图工作流的主生成网络</w:t>
            </w:r>
          </w:p>
        </w:tc>
        <w:tc>
          <w:tcPr>
            <w:tcW w:w="2320" w:type="dxa"/>
            <w:vAlign w:val="center"/>
            <w:shd w:fill="FFFFFF"/>
          </w:tcPr>
          <w:p>
            <w:pPr>
              <w:spacing w:after="0" w:line="270" w:lineRule="exact"/>
            </w:pPr>
            <w:r>
              <w:rPr>
                <w:rFonts w:ascii="Arial" w:hAnsi="Arial" w:eastAsia="Hiragino Sans GB"/>
                <w:sz w:val="21"/>
                <w:color w:val="000000"/>
              </w:rPr>
              <w:t>约 61.729GiB</w:t>
            </w:r>
          </w:p>
        </w:tc>
      </w:tr>
      <w:tr>
        <w:trPr>
          <w:cantSplit/>
        </w:trPr>
        <w:tc>
          <w:tcPr>
            <w:tcW w:w="2400" w:type="dxa"/>
            <w:vAlign w:val="center"/>
            <w:shd w:fill="F0F5F8"/>
          </w:tcPr>
          <w:p>
            <w:pPr>
              <w:spacing w:after="0" w:line="270" w:lineRule="exact"/>
            </w:pPr>
            <w:r>
              <w:rPr>
                <w:rFonts w:ascii="Arial" w:hAnsi="Arial" w:eastAsia="Hiragino Sans GB"/>
                <w:sz w:val="21"/>
                <w:color w:val="000000"/>
              </w:rPr>
              <w:t>Qwen3-VL 编码器</w:t>
            </w:r>
          </w:p>
        </w:tc>
        <w:tc>
          <w:tcPr>
            <w:tcW w:w="5360" w:type="dxa"/>
            <w:vAlign w:val="center"/>
            <w:shd w:fill="F0F5F8"/>
          </w:tcPr>
          <w:p>
            <w:pPr>
              <w:spacing w:after="0" w:line="270" w:lineRule="exact"/>
            </w:pPr>
            <w:r>
              <w:rPr>
                <w:rFonts w:ascii="Arial" w:hAnsi="Arial" w:eastAsia="Hiragino Sans GB"/>
                <w:sz w:val="21"/>
                <w:color w:val="000000"/>
              </w:rPr>
              <w:t>编码提示词和参考条件</w:t>
            </w:r>
          </w:p>
        </w:tc>
        <w:tc>
          <w:tcPr>
            <w:tcW w:w="2320" w:type="dxa"/>
            <w:vAlign w:val="center"/>
            <w:shd w:fill="F0F5F8"/>
          </w:tcPr>
          <w:p>
            <w:pPr>
              <w:spacing w:after="0" w:line="270" w:lineRule="exact"/>
            </w:pPr>
            <w:r>
              <w:rPr>
                <w:rFonts w:ascii="Arial" w:hAnsi="Arial" w:eastAsia="Hiragino Sans GB"/>
                <w:sz w:val="21"/>
                <w:color w:val="000000"/>
              </w:rPr>
              <w:t>约 62.144GiB</w:t>
            </w:r>
          </w:p>
        </w:tc>
      </w:tr>
      <w:tr>
        <w:trPr>
          <w:cantSplit/>
        </w:trPr>
        <w:tc>
          <w:tcPr>
            <w:tcW w:w="2400" w:type="dxa"/>
            <w:vAlign w:val="center"/>
            <w:shd w:fill="FFFFFF"/>
          </w:tcPr>
          <w:p>
            <w:pPr>
              <w:spacing w:after="0" w:line="270" w:lineRule="exact"/>
            </w:pPr>
            <w:r>
              <w:rPr>
                <w:rFonts w:ascii="Arial" w:hAnsi="Arial" w:eastAsia="Hiragino Sans GB"/>
                <w:sz w:val="21"/>
                <w:color w:val="000000"/>
              </w:rPr>
              <w:t>视频 VAE</w:t>
            </w:r>
          </w:p>
        </w:tc>
        <w:tc>
          <w:tcPr>
            <w:tcW w:w="5360" w:type="dxa"/>
            <w:vAlign w:val="center"/>
            <w:shd w:fill="FFFFFF"/>
          </w:tcPr>
          <w:p>
            <w:pPr>
              <w:spacing w:after="0" w:line="270" w:lineRule="exact"/>
            </w:pPr>
            <w:r>
              <w:rPr>
                <w:rFonts w:ascii="Arial" w:hAnsi="Arial" w:eastAsia="Hiragino Sans GB"/>
                <w:sz w:val="21"/>
                <w:color w:val="000000"/>
              </w:rPr>
              <w:t>视频潜变量与画面之间转换</w:t>
            </w:r>
          </w:p>
        </w:tc>
        <w:tc>
          <w:tcPr>
            <w:tcW w:w="2320" w:type="dxa"/>
            <w:vAlign w:val="center"/>
            <w:shd w:fill="FFFFFF"/>
          </w:tcPr>
          <w:p>
            <w:pPr>
              <w:spacing w:after="0" w:line="270" w:lineRule="exact"/>
            </w:pPr>
            <w:r>
              <w:rPr>
                <w:rFonts w:ascii="Arial" w:hAnsi="Arial" w:eastAsia="Hiragino Sans GB"/>
                <w:sz w:val="21"/>
                <w:color w:val="000000"/>
              </w:rPr>
              <w:t>约 9.700GiB</w:t>
            </w:r>
          </w:p>
        </w:tc>
      </w:tr>
      <w:tr>
        <w:trPr>
          <w:cantSplit/>
        </w:trPr>
        <w:tc>
          <w:tcPr>
            <w:tcW w:w="2400" w:type="dxa"/>
            <w:vAlign w:val="center"/>
            <w:shd w:fill="F0F5F8"/>
          </w:tcPr>
          <w:p>
            <w:pPr>
              <w:spacing w:after="0" w:line="270" w:lineRule="exact"/>
            </w:pPr>
            <w:r>
              <w:rPr>
                <w:rFonts w:ascii="Arial" w:hAnsi="Arial" w:eastAsia="Hiragino Sans GB"/>
                <w:sz w:val="21"/>
                <w:color w:val="000000"/>
              </w:rPr>
              <w:t>音频 VAE</w:t>
            </w:r>
          </w:p>
        </w:tc>
        <w:tc>
          <w:tcPr>
            <w:tcW w:w="5360" w:type="dxa"/>
            <w:vAlign w:val="center"/>
            <w:shd w:fill="F0F5F8"/>
          </w:tcPr>
          <w:p>
            <w:pPr>
              <w:spacing w:after="0" w:line="270" w:lineRule="exact"/>
            </w:pPr>
            <w:r>
              <w:rPr>
                <w:rFonts w:ascii="Arial" w:hAnsi="Arial" w:eastAsia="Hiragino Sans GB"/>
                <w:sz w:val="21"/>
                <w:color w:val="000000"/>
              </w:rPr>
              <w:t>音频潜变量与声音之间转换</w:t>
            </w:r>
          </w:p>
        </w:tc>
        <w:tc>
          <w:tcPr>
            <w:tcW w:w="2320" w:type="dxa"/>
            <w:vAlign w:val="center"/>
            <w:shd w:fill="F0F5F8"/>
          </w:tcPr>
          <w:p>
            <w:pPr>
              <w:spacing w:after="0" w:line="270" w:lineRule="exact"/>
            </w:pPr>
            <w:r>
              <w:rPr>
                <w:rFonts w:ascii="Arial" w:hAnsi="Arial" w:eastAsia="Hiragino Sans GB"/>
                <w:sz w:val="21"/>
                <w:color w:val="000000"/>
              </w:rPr>
              <w:t>约 0.564GiB</w:t>
            </w:r>
          </w:p>
        </w:tc>
      </w:tr>
    </w:tbl>
    <w:p>
      <w:pPr>
        <w:snapToGrid w:val="0"/>
      </w:pPr>
      <w:r>
        <w:t>上表按本项目固定清单逐文件累加，是磁盘文件容量，用于设备容量初筛。一份 Transformer 与共享文件约 134.158GiB；本项目先保留基础分支、再补 Ref 分支，磁盘合计约 195.887GiB。单次 Ref2VA 使用其中对应的 Transformer 分支。</w:t>
      </w:r>
    </w:p>
    <w:p>
      <w:pPr>
        <w:snapToGrid w:val="0"/>
      </w:pPr>
      <w:r>
        <w:t>显存、系统内存和磁盘各解决不同问题：磁盘保存权重，显存或 RAM 承载运行张量，激活与工作区还需要余量。接下来判断设备时，我先看能否容纳所选精度和组件放置方式，再看计算速度；没有把总下载大小直接写成显存门槛。</w:t>
      </w:r>
    </w:p>
    <w:p>
      <w:pPr>
        <w:pStyle w:val="Heading1"/>
        <w:pageBreakBefore/>
        <w:snapToGrid w:val="0"/>
      </w:pPr>
      <w:r>
        <w:t>前期调研二 对照 5060 Ti 整机配置</w:t>
      </w:r>
    </w:p>
    <w:p>
      <w:pPr>
        <w:snapToGrid w:val="0"/>
      </w:pPr>
      <w:r>
        <w:t>我的台式机配置是RTX5060 Ti 16GB显存＋32GB系统内存，显卡规格对应NVIDIA的16GB版本。[13] 先看显存：单个完整Transformer文件约61.7GiB，文本编码器又是62.1GiB量级，16GB显存无法直接承载所选完整权重常驻方式。再看系统内存，它决定CPU卸载路线能暂存多少权重；两个容量需要分别判断。</w:t>
      </w:r>
    </w:p>
    <w:p>
      <w:pPr>
        <w:pStyle w:val="Heading2"/>
        <w:snapToGrid w:val="0"/>
      </w:pPr>
      <w:r>
        <w:t>核对不同运行配方的条件</w:t>
      </w:r>
    </w:p>
    <w:tbl>
      <w:tblPr>
        <w:tblW w:w="1008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2080"/>
        <w:gridCol w:w="4380"/>
        <w:gridCol w:w="3620"/>
      </w:tblGrid>
      <w:tr>
        <w:trPr>
          <w:cantSplit/>
          <w:tblHeader/>
        </w:trPr>
        <w:tc>
          <w:tcPr>
            <w:tcW w:w="2080" w:type="dxa"/>
            <w:vAlign w:val="center"/>
            <w:shd w:fill="18384B"/>
          </w:tcPr>
          <w:p>
            <w:pPr>
              <w:spacing w:after="0" w:line="270" w:lineRule="exact"/>
            </w:pPr>
            <w:r>
              <w:rPr>
                <w:rFonts w:ascii="Arial" w:hAnsi="Arial" w:eastAsia="Hiragino Sans GB"/>
                <w:sz w:val="21"/>
                <w:color w:val="FFFFFF"/>
                <w:b/>
              </w:rPr>
              <w:t>路径</w:t>
            </w:r>
          </w:p>
        </w:tc>
        <w:tc>
          <w:tcPr>
            <w:tcW w:w="4380" w:type="dxa"/>
            <w:vAlign w:val="center"/>
            <w:shd w:fill="18384B"/>
          </w:tcPr>
          <w:p>
            <w:pPr>
              <w:spacing w:after="0" w:line="270" w:lineRule="exact"/>
            </w:pPr>
            <w:r>
              <w:rPr>
                <w:rFonts w:ascii="Arial" w:hAnsi="Arial" w:eastAsia="Hiragino Sans GB"/>
                <w:sz w:val="21"/>
                <w:color w:val="FFFFFF"/>
                <w:b/>
              </w:rPr>
              <w:t>文档中的条件</w:t>
            </w:r>
          </w:p>
        </w:tc>
        <w:tc>
          <w:tcPr>
            <w:tcW w:w="3620" w:type="dxa"/>
            <w:vAlign w:val="center"/>
            <w:shd w:fill="18384B"/>
          </w:tcPr>
          <w:p>
            <w:pPr>
              <w:spacing w:after="0" w:line="270" w:lineRule="exact"/>
            </w:pPr>
            <w:r>
              <w:rPr>
                <w:rFonts w:ascii="Arial" w:hAnsi="Arial" w:eastAsia="Hiragino Sans GB"/>
                <w:sz w:val="21"/>
                <w:color w:val="FFFFFF"/>
                <w:b/>
              </w:rPr>
              <w:t>对本次选择的影响</w:t>
            </w:r>
          </w:p>
        </w:tc>
      </w:tr>
      <w:tr>
        <w:trPr>
          <w:cantSplit/>
        </w:trPr>
        <w:tc>
          <w:tcPr>
            <w:tcW w:w="2080" w:type="dxa"/>
            <w:vAlign w:val="center"/>
            <w:shd w:fill="FFFFFF"/>
          </w:tcPr>
          <w:p>
            <w:pPr>
              <w:spacing w:after="0" w:line="270" w:lineRule="exact"/>
            </w:pPr>
            <w:r>
              <w:rPr>
                <w:rFonts w:ascii="Arial" w:hAnsi="Arial" w:eastAsia="Hiragino Sans GB"/>
                <w:sz w:val="21"/>
                <w:color w:val="000000"/>
              </w:rPr>
              <w:t>完整权重 GPU</w:t>
            </w:r>
          </w:p>
        </w:tc>
        <w:tc>
          <w:tcPr>
            <w:tcW w:w="4380" w:type="dxa"/>
            <w:vAlign w:val="center"/>
            <w:shd w:fill="FFFFFF"/>
          </w:tcPr>
          <w:p>
            <w:pPr>
              <w:spacing w:after="0" w:line="270" w:lineRule="exact"/>
            </w:pPr>
            <w:r>
              <w:rPr>
                <w:rFonts w:ascii="Arial" w:hAnsi="Arial" w:eastAsia="Hiragino Sans GB"/>
                <w:sz w:val="21"/>
                <w:color w:val="000000"/>
              </w:rPr>
              <w:t>如 4×H200；或 4×H100 配合 TP/Ulysses/FSDP</w:t>
            </w:r>
          </w:p>
        </w:tc>
        <w:tc>
          <w:tcPr>
            <w:tcW w:w="3620" w:type="dxa"/>
            <w:vAlign w:val="center"/>
            <w:shd w:fill="FFFFFF"/>
          </w:tcPr>
          <w:p>
            <w:pPr>
              <w:spacing w:after="0" w:line="270" w:lineRule="exact"/>
            </w:pPr>
            <w:r>
              <w:rPr>
                <w:rFonts w:ascii="Arial" w:hAnsi="Arial" w:eastAsia="Hiragino Sans GB"/>
                <w:sz w:val="21"/>
                <w:color w:val="000000"/>
              </w:rPr>
              <w:t>体现服务器级容量与并行拓扑要求</w:t>
            </w:r>
          </w:p>
        </w:tc>
      </w:tr>
      <w:tr>
        <w:trPr>
          <w:cantSplit/>
        </w:trPr>
        <w:tc>
          <w:tcPr>
            <w:tcW w:w="2080" w:type="dxa"/>
            <w:vAlign w:val="center"/>
            <w:shd w:fill="F0F5F8"/>
          </w:tcPr>
          <w:p>
            <w:pPr>
              <w:spacing w:after="0" w:line="270" w:lineRule="exact"/>
            </w:pPr>
            <w:r>
              <w:rPr>
                <w:rFonts w:ascii="Arial" w:hAnsi="Arial" w:eastAsia="Hiragino Sans GB"/>
                <w:sz w:val="21"/>
                <w:color w:val="000000"/>
              </w:rPr>
              <w:t>低显存 GPU</w:t>
            </w:r>
          </w:p>
        </w:tc>
        <w:tc>
          <w:tcPr>
            <w:tcW w:w="4380" w:type="dxa"/>
            <w:vAlign w:val="center"/>
            <w:shd w:fill="F0F5F8"/>
          </w:tcPr>
          <w:p>
            <w:pPr>
              <w:spacing w:after="0" w:line="270" w:lineRule="exact"/>
            </w:pPr>
            <w:r>
              <w:rPr>
                <w:rFonts w:ascii="Arial" w:hAnsi="Arial" w:eastAsia="Hiragino Sans GB"/>
                <w:sz w:val="21"/>
                <w:color w:val="000000"/>
              </w:rPr>
              <w:t>12–16GB 显存、INT8、分组或逐层卸载、小画布</w:t>
            </w:r>
          </w:p>
        </w:tc>
        <w:tc>
          <w:tcPr>
            <w:tcW w:w="3620" w:type="dxa"/>
            <w:vAlign w:val="center"/>
            <w:shd w:fill="F0F5F8"/>
          </w:tcPr>
          <w:p>
            <w:pPr>
              <w:spacing w:after="0" w:line="270" w:lineRule="exact"/>
            </w:pPr>
            <w:r>
              <w:rPr>
                <w:rFonts w:ascii="Arial" w:hAnsi="Arial" w:eastAsia="Hiragino Sans GB"/>
                <w:sz w:val="21"/>
                <w:color w:val="000000"/>
              </w:rPr>
              <w:t>需要改变精度与组件驻留方式</w:t>
            </w:r>
          </w:p>
        </w:tc>
      </w:tr>
      <w:tr>
        <w:trPr>
          <w:cantSplit/>
        </w:trPr>
        <w:tc>
          <w:tcPr>
            <w:tcW w:w="2080" w:type="dxa"/>
            <w:vAlign w:val="center"/>
            <w:shd w:fill="FFFFFF"/>
          </w:tcPr>
          <w:p>
            <w:pPr>
              <w:spacing w:after="0" w:line="270" w:lineRule="exact"/>
            </w:pPr>
            <w:r>
              <w:rPr>
                <w:rFonts w:ascii="Arial" w:hAnsi="Arial" w:eastAsia="Hiragino Sans GB"/>
                <w:sz w:val="21"/>
                <w:color w:val="000000"/>
              </w:rPr>
              <w:t>本次纯 CPU</w:t>
            </w:r>
          </w:p>
        </w:tc>
        <w:tc>
          <w:tcPr>
            <w:tcW w:w="4380" w:type="dxa"/>
            <w:vAlign w:val="center"/>
            <w:shd w:fill="FFFFFF"/>
          </w:tcPr>
          <w:p>
            <w:pPr>
              <w:spacing w:after="0" w:line="270" w:lineRule="exact"/>
            </w:pPr>
            <w:r>
              <w:rPr>
                <w:rFonts w:ascii="Arial" w:hAnsi="Arial" w:eastAsia="Hiragino Sans GB"/>
                <w:sz w:val="21"/>
                <w:color w:val="000000"/>
              </w:rPr>
              <w:t>完整权重，BF16 主组件、FP32 双 VAE，大系统内存</w:t>
            </w:r>
          </w:p>
        </w:tc>
        <w:tc>
          <w:tcPr>
            <w:tcW w:w="3620" w:type="dxa"/>
            <w:vAlign w:val="center"/>
            <w:shd w:fill="FFFFFF"/>
          </w:tcPr>
          <w:p>
            <w:pPr>
              <w:spacing w:after="0" w:line="270" w:lineRule="exact"/>
            </w:pPr>
            <w:r>
              <w:rPr>
                <w:rFonts w:ascii="Arial" w:hAnsi="Arial" w:eastAsia="Hiragino Sans GB"/>
                <w:sz w:val="21"/>
                <w:color w:val="000000"/>
              </w:rPr>
              <w:t>利用现有可获得的云资源继续推进</w:t>
            </w:r>
          </w:p>
        </w:tc>
      </w:tr>
    </w:tbl>
    <w:p>
      <w:pPr>
        <w:snapToGrid w:val="0"/>
      </w:pPr>
      <w:r>
        <w:t>SGLang 的四卡示例用于理解大模型怎样切分权重和序列，并非所有运行方式唯一的最低配置。Diffusers 还给出 12–16GB 显存的 INT8/offload 示例：Transformer 分组卸载，文本编码器与视频 VAE 逐层卸载，画布示例为 960×544，权重主要存放在约 75GB 主机 RAM 中；该示例的工作流是 T2VA。[3、11]</w:t>
      </w:r>
    </w:p>
    <w:p>
      <w:pPr>
        <w:snapToGrid w:val="0"/>
      </w:pPr>
      <w:r>
        <w:t>再核对主机RAM，我的机器只有32GB，低于上述INT8＋CPU卸载方案约75GB的主机权重需求，加载、激活和操作系统还需要余量。因此，当前整机不能直接采用该配方。这里的限制来自显存、RAM与运行方式的组合；16GB显卡本身仍有配合更大主机内存的低显存路线。</w:t>
      </w:r>
    </w:p>
    <w:p>
      <w:pPr>
        <w:pStyle w:val="Heading2"/>
        <w:snapToGrid w:val="0"/>
      </w:pPr>
      <w:r>
        <w:t>区分 CPU offload 和纯 CPU 推理</w:t>
      </w:r>
    </w:p>
    <w:p>
      <w:pPr>
        <w:snapToGrid w:val="0"/>
      </w:pPr>
      <w:r>
        <w:t>CPU offload 仍由 GPU 执行主体计算，只把暂时不用的权重存到系统内存并按需搬运。纯 CPU 推理则把模型组件和计算都放在 CPU 路径上。前者用传输和调度换显存，后者用大系统内存承载模型并接受更长的运行时间。这一区别决定了下一步要寻找的主机配置。</w:t>
      </w:r>
    </w:p>
    <w:p>
      <w:pPr>
        <w:snapToGrid w:val="0"/>
      </w:pPr>
      <w:r>
        <w:t>我的决策链是：16GB显存不足以完整常驻原精度组件 → 查看INT8＋CPU卸载配方 → 32GB系统内存低于该配方的主机权重需求 → 结合768P Ref2VA目标与可用资源，转向云端大内存主机。</w:t>
      </w:r>
    </w:p>
    <w:p>
      <w:pPr>
        <w:pStyle w:val="Heading1"/>
        <w:pageBreakBefore/>
        <w:snapToGrid w:val="0"/>
      </w:pPr>
      <w:r>
        <w:t>GPU 选型一 企业级显卡与卡数</w:t>
      </w:r>
    </w:p>
    <w:p>
      <w:pPr>
        <w:snapToGrid w:val="0"/>
      </w:pPr>
      <w:r>
        <w:t>即使本项目最后使用 CPU，GPU 仍有完整的选型路径。先确定精度和组件放置方式，再选单卡容量与卡数。H3 的输入编码器基于 Qwen3-VL-32B，它与 H3 主生成网络一起组成推理系统；约 61.7GiB 的 Transformer、62.1GiB 的编码器和双 VAE 都应进入容量预算。[3、9、11]</w:t>
      </w:r>
    </w:p>
    <w:p>
      <w:pPr>
        <w:pStyle w:val="Heading2"/>
        <w:snapToGrid w:val="0"/>
      </w:pPr>
      <w:r>
        <w:t>企业级 GPU 可以怎样选</w:t>
      </w:r>
    </w:p>
    <w:tbl>
      <w:tblPr>
        <w:tblW w:w="1008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2520"/>
        <w:gridCol w:w="4460"/>
        <w:gridCol w:w="3100"/>
      </w:tblGrid>
      <w:tr>
        <w:trPr>
          <w:cantSplit/>
          <w:tblHeader/>
        </w:trPr>
        <w:tc>
          <w:tcPr>
            <w:tcW w:w="2520" w:type="dxa"/>
            <w:vAlign w:val="center"/>
            <w:shd w:fill="18384B"/>
          </w:tcPr>
          <w:p>
            <w:pPr>
              <w:spacing w:after="0" w:line="270" w:lineRule="exact"/>
            </w:pPr>
            <w:r>
              <w:rPr>
                <w:rFonts w:ascii="Arial" w:hAnsi="Arial" w:eastAsia="Hiragino Sans GB"/>
                <w:sz w:val="21"/>
                <w:color w:val="FFFFFF"/>
                <w:b/>
              </w:rPr>
              <w:t>GPU 配置</w:t>
            </w:r>
          </w:p>
        </w:tc>
        <w:tc>
          <w:tcPr>
            <w:tcW w:w="4460" w:type="dxa"/>
            <w:vAlign w:val="center"/>
            <w:shd w:fill="18384B"/>
          </w:tcPr>
          <w:p>
            <w:pPr>
              <w:spacing w:after="0" w:line="270" w:lineRule="exact"/>
            </w:pPr>
            <w:r>
              <w:rPr>
                <w:rFonts w:ascii="Arial" w:hAnsi="Arial" w:eastAsia="Hiragino Sans GB"/>
                <w:sz w:val="21"/>
                <w:color w:val="FFFFFF"/>
                <w:b/>
              </w:rPr>
              <w:t>精度与执行方式</w:t>
            </w:r>
          </w:p>
        </w:tc>
        <w:tc>
          <w:tcPr>
            <w:tcW w:w="3100" w:type="dxa"/>
            <w:vAlign w:val="center"/>
            <w:shd w:fill="18384B"/>
          </w:tcPr>
          <w:p>
            <w:pPr>
              <w:spacing w:after="0" w:line="270" w:lineRule="exact"/>
            </w:pPr>
            <w:r>
              <w:rPr>
                <w:rFonts w:ascii="Arial" w:hAnsi="Arial" w:eastAsia="Hiragino Sans GB"/>
                <w:sz w:val="21"/>
                <w:color w:val="FFFFFF"/>
                <w:b/>
              </w:rPr>
              <w:t>选择依据</w:t>
            </w:r>
          </w:p>
        </w:tc>
      </w:tr>
      <w:tr>
        <w:trPr>
          <w:cantSplit/>
        </w:trPr>
        <w:tc>
          <w:tcPr>
            <w:tcW w:w="2520" w:type="dxa"/>
            <w:vAlign w:val="center"/>
            <w:shd w:fill="FFFFFF"/>
          </w:tcPr>
          <w:p>
            <w:pPr>
              <w:spacing w:after="0" w:line="270" w:lineRule="exact"/>
            </w:pPr>
            <w:r>
              <w:rPr>
                <w:rFonts w:ascii="Arial" w:hAnsi="Arial" w:eastAsia="Hiragino Sans GB"/>
                <w:sz w:val="21"/>
                <w:color w:val="000000"/>
              </w:rPr>
              <w:t>1×80GB
H100 或 A100 80GB</w:t>
            </w:r>
          </w:p>
        </w:tc>
        <w:tc>
          <w:tcPr>
            <w:tcW w:w="4460" w:type="dxa"/>
            <w:vAlign w:val="center"/>
            <w:shd w:fill="FFFFFF"/>
          </w:tcPr>
          <w:p>
            <w:pPr>
              <w:spacing w:after="0" w:line="270" w:lineRule="exact"/>
            </w:pPr>
            <w:r>
              <w:rPr>
                <w:rFonts w:ascii="Arial" w:hAnsi="Arial" w:eastAsia="Hiragino Sans GB"/>
                <w:sz w:val="21"/>
                <w:color w:val="000000"/>
              </w:rPr>
              <w:t>Diffusers：BF16，ComponentsManager 按组件 CPU offload，示例预留12GB显存</w:t>
            </w:r>
          </w:p>
        </w:tc>
        <w:tc>
          <w:tcPr>
            <w:tcW w:w="3100" w:type="dxa"/>
            <w:vAlign w:val="center"/>
            <w:shd w:fill="FFFFFF"/>
          </w:tcPr>
          <w:p>
            <w:pPr>
              <w:spacing w:after="0" w:line="270" w:lineRule="exact"/>
            </w:pPr>
            <w:r>
              <w:rPr>
                <w:rFonts w:ascii="Arial" w:hAnsi="Arial" w:eastAsia="Hiragino Sans GB"/>
                <w:sz w:val="21"/>
                <w:color w:val="000000"/>
              </w:rPr>
              <w:t>希望减少卡数，并接受权重在 CPU 与 GPU 间搬运</w:t>
            </w:r>
          </w:p>
        </w:tc>
      </w:tr>
      <w:tr>
        <w:trPr>
          <w:cantSplit/>
        </w:trPr>
        <w:tc>
          <w:tcPr>
            <w:tcW w:w="2520" w:type="dxa"/>
            <w:vAlign w:val="center"/>
            <w:shd w:fill="F0F5F8"/>
          </w:tcPr>
          <w:p>
            <w:pPr>
              <w:spacing w:after="0" w:line="270" w:lineRule="exact"/>
            </w:pPr>
            <w:r>
              <w:rPr>
                <w:rFonts w:ascii="Arial" w:hAnsi="Arial" w:eastAsia="Hiragino Sans GB"/>
                <w:sz w:val="21"/>
                <w:color w:val="000000"/>
              </w:rPr>
              <w:t>2×80GB
H100 或 A100 80GB</w:t>
            </w:r>
          </w:p>
        </w:tc>
        <w:tc>
          <w:tcPr>
            <w:tcW w:w="4460" w:type="dxa"/>
            <w:vAlign w:val="center"/>
            <w:shd w:fill="F0F5F8"/>
          </w:tcPr>
          <w:p>
            <w:pPr>
              <w:spacing w:after="0" w:line="270" w:lineRule="exact"/>
            </w:pPr>
            <w:r>
              <w:rPr>
                <w:rFonts w:ascii="Arial" w:hAnsi="Arial" w:eastAsia="Hiragino Sans GB"/>
                <w:sz w:val="21"/>
                <w:color w:val="000000"/>
              </w:rPr>
              <w:t>Diffusers：BF16；Qwen 编码器一张卡，生成组件另一张卡，按组件拆分</w:t>
            </w:r>
          </w:p>
        </w:tc>
        <w:tc>
          <w:tcPr>
            <w:tcW w:w="3100" w:type="dxa"/>
            <w:vAlign w:val="center"/>
            <w:shd w:fill="F0F5F8"/>
          </w:tcPr>
          <w:p>
            <w:pPr>
              <w:spacing w:after="0" w:line="270" w:lineRule="exact"/>
            </w:pPr>
            <w:r>
              <w:rPr>
                <w:rFonts w:ascii="Arial" w:hAnsi="Arial" w:eastAsia="Hiragino Sans GB"/>
                <w:sz w:val="21"/>
                <w:color w:val="000000"/>
              </w:rPr>
              <w:t>兼顾原精度和卡数；这是分组件放置，不是显存自动合并</w:t>
            </w:r>
          </w:p>
        </w:tc>
      </w:tr>
      <w:tr>
        <w:trPr>
          <w:cantSplit/>
        </w:trPr>
        <w:tc>
          <w:tcPr>
            <w:tcW w:w="2520" w:type="dxa"/>
            <w:vAlign w:val="center"/>
            <w:shd w:fill="FFFFFF"/>
          </w:tcPr>
          <w:p>
            <w:pPr>
              <w:spacing w:after="0" w:line="270" w:lineRule="exact"/>
            </w:pPr>
            <w:r>
              <w:rPr>
                <w:rFonts w:ascii="Arial" w:hAnsi="Arial" w:eastAsia="Hiragino Sans GB"/>
                <w:sz w:val="21"/>
                <w:color w:val="000000"/>
              </w:rPr>
              <w:t>4×H100 80GB</w:t>
            </w:r>
          </w:p>
        </w:tc>
        <w:tc>
          <w:tcPr>
            <w:tcW w:w="4460" w:type="dxa"/>
            <w:vAlign w:val="center"/>
            <w:shd w:fill="FFFFFF"/>
          </w:tcPr>
          <w:p>
            <w:pPr>
              <w:spacing w:after="0" w:line="270" w:lineRule="exact"/>
            </w:pPr>
            <w:r>
              <w:rPr>
                <w:rFonts w:ascii="Arial" w:hAnsi="Arial" w:eastAsia="Hiragino Sans GB"/>
                <w:sz w:val="21"/>
                <w:color w:val="000000"/>
              </w:rPr>
              <w:t>SGLang：BF16/FP32 常驻，TP2＋Ulysses2，encoder auto</w:t>
            </w:r>
          </w:p>
        </w:tc>
        <w:tc>
          <w:tcPr>
            <w:tcW w:w="3100" w:type="dxa"/>
            <w:vAlign w:val="center"/>
            <w:shd w:fill="FFFFFF"/>
          </w:tcPr>
          <w:p>
            <w:pPr>
              <w:spacing w:after="0" w:line="270" w:lineRule="exact"/>
            </w:pPr>
            <w:r>
              <w:rPr>
                <w:rFonts w:ascii="Arial" w:hAnsi="Arial" w:eastAsia="Hiragino Sans GB"/>
                <w:sz w:val="21"/>
                <w:color w:val="000000"/>
              </w:rPr>
              <w:t>80GB 企业卡的服务配方；权重与序列共同切分</w:t>
            </w:r>
          </w:p>
        </w:tc>
      </w:tr>
      <w:tr>
        <w:trPr>
          <w:cantSplit/>
        </w:trPr>
        <w:tc>
          <w:tcPr>
            <w:tcW w:w="2520" w:type="dxa"/>
            <w:vAlign w:val="center"/>
            <w:shd w:fill="F0F5F8"/>
          </w:tcPr>
          <w:p>
            <w:pPr>
              <w:spacing w:after="0" w:line="270" w:lineRule="exact"/>
            </w:pPr>
            <w:r>
              <w:rPr>
                <w:rFonts w:ascii="Arial" w:hAnsi="Arial" w:eastAsia="Hiragino Sans GB"/>
                <w:sz w:val="21"/>
                <w:color w:val="000000"/>
              </w:rPr>
              <w:t>4×H200 141GB</w:t>
            </w:r>
          </w:p>
        </w:tc>
        <w:tc>
          <w:tcPr>
            <w:tcW w:w="4460" w:type="dxa"/>
            <w:vAlign w:val="center"/>
            <w:shd w:fill="F0F5F8"/>
          </w:tcPr>
          <w:p>
            <w:pPr>
              <w:spacing w:after="0" w:line="270" w:lineRule="exact"/>
            </w:pPr>
            <w:r>
              <w:rPr>
                <w:rFonts w:ascii="Arial" w:hAnsi="Arial" w:eastAsia="Hiragino Sans GB"/>
                <w:sz w:val="21"/>
                <w:color w:val="000000"/>
              </w:rPr>
              <w:t>SGLang：BF16/FP32 常驻，Ulysses4，encoder auto</w:t>
            </w:r>
          </w:p>
        </w:tc>
        <w:tc>
          <w:tcPr>
            <w:tcW w:w="3100" w:type="dxa"/>
            <w:vAlign w:val="center"/>
            <w:shd w:fill="F0F5F8"/>
          </w:tcPr>
          <w:p>
            <w:pPr>
              <w:spacing w:after="0" w:line="270" w:lineRule="exact"/>
            </w:pPr>
            <w:r>
              <w:rPr>
                <w:rFonts w:ascii="Arial" w:hAnsi="Arial" w:eastAsia="Hiragino Sans GB"/>
                <w:sz w:val="21"/>
                <w:color w:val="000000"/>
              </w:rPr>
              <w:t>容量和预算更充裕时，优先考虑较少权重搬运的常驻方案</w:t>
            </w:r>
          </w:p>
        </w:tc>
      </w:tr>
    </w:tbl>
    <w:p>
      <w:pPr>
        <w:snapToGrid w:val="0"/>
      </w:pPr>
      <w:r>
        <w:t>上述单卡、双卡容量示例来自 Diffusers 的 T2VA 工作流；四卡标准命令来自 SGLang 的 FL2VA 分区。A100 是按80GB容量路线列出的型号候选，执行时选择 Ampere 兼容 attention；Hopper 专用 FlashAttention3 参数对应 H100/H200。显卡型号与容量配方需要一起对应。[3、11、14]</w:t>
      </w:r>
    </w:p>
    <w:p>
      <w:pPr>
        <w:pStyle w:val="Heading2"/>
        <w:snapToGrid w:val="0"/>
      </w:pPr>
      <w:r>
        <w:t>为什么四张卡也要区分型号</w:t>
      </w:r>
    </w:p>
    <w:p>
      <w:pPr>
        <w:snapToGrid w:val="0"/>
      </w:pPr>
      <w:r>
        <w:t>H200 的141GB单卡空间能采用纯 Ulysses4 的上游常驻配方；H100 80GB 采用 TP2＋Ulysses2，把模型权重和序列工作量分别切分。两者都写“四卡”，放置方式却不同。TP/FSDP 的权重切分与 Ulysses 的序列并行也不是同一件事。</w:t>
      </w:r>
    </w:p>
    <w:p>
      <w:pPr>
        <w:pStyle w:val="Heading2"/>
        <w:snapToGrid w:val="0"/>
      </w:pPr>
      <w:r>
        <w:t>主机内存、任务与采购顺序</w:t>
      </w:r>
    </w:p>
    <w:p>
      <w:pPr>
        <w:snapToGrid w:val="0"/>
      </w:pPr>
      <w:r>
        <w:t>单80GB卸载路线需要系统 RAM 承接暂存权重。以完整权重和本项目文件规模规划，可把256GiB主机内存、至少300GiB可用持久盘作为工程预留起点；多卡服务还要结合加载过程、并发和缓存增加余量。这是采购建议，显存表中的卡数与厂商容量则是上游方案及型号规格。</w:t>
      </w:r>
    </w:p>
    <w:p>
      <w:pPr>
        <w:snapToGrid w:val="0"/>
      </w:pPr>
      <w:r>
        <w:t>若优先构建原精度 GPU 服务，先看4×H100或4×H200；卡数和成本受限时，再考虑双80GB分组件或单80GB卸载。本项目目标是单图 Ref2VA，配置时选择对应权重分区，并按参考素材、768P画幅和目标时长安排激活及解码空间。</w:t>
      </w:r>
    </w:p>
    <w:p>
      <w:pPr>
        <w:pStyle w:val="Heading1"/>
        <w:pageBreakBefore/>
        <w:snapToGrid w:val="0"/>
      </w:pPr>
      <w:r>
        <w:t>GPU 选型二 消费级与 48GB 显卡</w:t>
      </w:r>
    </w:p>
    <w:p>
      <w:pPr>
        <w:snapToGrid w:val="0"/>
      </w:pPr>
      <w:r>
        <w:t>消费卡的选择要连同量化、主机 RAM 和 PCIe 传输一起看。相同显卡可以采用不同的驻留层数和卸载方式，实际资源需求跟所选配方变化。下面将显存档位与具体型号对应起来，便于判断已有卡或升级目标。[3、11、13、15]</w:t>
      </w:r>
    </w:p>
    <w:tbl>
      <w:tblPr>
        <w:tblW w:w="1008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2380"/>
        <w:gridCol w:w="4270"/>
        <w:gridCol w:w="3430"/>
      </w:tblGrid>
      <w:tr>
        <w:trPr>
          <w:cantSplit/>
          <w:tblHeader/>
        </w:trPr>
        <w:tc>
          <w:tcPr>
            <w:tcW w:w="2380" w:type="dxa"/>
            <w:vAlign w:val="center"/>
            <w:shd w:fill="18384B"/>
          </w:tcPr>
          <w:p>
            <w:pPr>
              <w:spacing w:after="0" w:line="270" w:lineRule="exact"/>
            </w:pPr>
            <w:r>
              <w:rPr>
                <w:rFonts w:ascii="Arial" w:hAnsi="Arial" w:eastAsia="Hiragino Sans GB"/>
                <w:sz w:val="21"/>
                <w:color w:val="FFFFFF"/>
                <w:b/>
              </w:rPr>
              <w:t>GPU 配置</w:t>
            </w:r>
          </w:p>
        </w:tc>
        <w:tc>
          <w:tcPr>
            <w:tcW w:w="4270" w:type="dxa"/>
            <w:vAlign w:val="center"/>
            <w:shd w:fill="18384B"/>
          </w:tcPr>
          <w:p>
            <w:pPr>
              <w:spacing w:after="0" w:line="270" w:lineRule="exact"/>
            </w:pPr>
            <w:r>
              <w:rPr>
                <w:rFonts w:ascii="Arial" w:hAnsi="Arial" w:eastAsia="Hiragino Sans GB"/>
                <w:sz w:val="21"/>
                <w:color w:val="FFFFFF"/>
                <w:b/>
              </w:rPr>
              <w:t>可采用的执行路线</w:t>
            </w:r>
          </w:p>
        </w:tc>
        <w:tc>
          <w:tcPr>
            <w:tcW w:w="3430" w:type="dxa"/>
            <w:vAlign w:val="center"/>
            <w:shd w:fill="18384B"/>
          </w:tcPr>
          <w:p>
            <w:pPr>
              <w:spacing w:after="0" w:line="270" w:lineRule="exact"/>
            </w:pPr>
            <w:r>
              <w:rPr>
                <w:rFonts w:ascii="Arial" w:hAnsi="Arial" w:eastAsia="Hiragino Sans GB"/>
                <w:sz w:val="21"/>
                <w:color w:val="FFFFFF"/>
                <w:b/>
              </w:rPr>
              <w:t>关键配套条件</w:t>
            </w:r>
          </w:p>
        </w:tc>
      </w:tr>
      <w:tr>
        <w:trPr>
          <w:cantSplit/>
        </w:trPr>
        <w:tc>
          <w:tcPr>
            <w:tcW w:w="2380" w:type="dxa"/>
            <w:vAlign w:val="center"/>
            <w:shd w:fill="FFFFFF"/>
          </w:tcPr>
          <w:p>
            <w:pPr>
              <w:spacing w:after="0" w:line="270" w:lineRule="exact"/>
            </w:pPr>
            <w:r>
              <w:rPr>
                <w:rFonts w:ascii="Arial" w:hAnsi="Arial" w:eastAsia="Hiragino Sans GB"/>
                <w:sz w:val="21"/>
                <w:color w:val="000000"/>
              </w:rPr>
              <w:t>1×RTX 5060 Ti 16GB</w:t>
            </w:r>
          </w:p>
        </w:tc>
        <w:tc>
          <w:tcPr>
            <w:tcW w:w="4270" w:type="dxa"/>
            <w:vAlign w:val="center"/>
            <w:shd w:fill="FFFFFF"/>
          </w:tcPr>
          <w:p>
            <w:pPr>
              <w:spacing w:after="0" w:line="270" w:lineRule="exact"/>
            </w:pPr>
            <w:r>
              <w:rPr>
                <w:rFonts w:ascii="Arial" w:hAnsi="Arial" w:eastAsia="Hiragino Sans GB"/>
                <w:sz w:val="21"/>
                <w:color w:val="000000"/>
              </w:rPr>
              <w:t>Diffusers 的12–16GB档：INT8＋分组卸载，视频 VAE 也逐层卸载</w:t>
            </w:r>
          </w:p>
        </w:tc>
        <w:tc>
          <w:tcPr>
            <w:tcW w:w="3430" w:type="dxa"/>
            <w:vAlign w:val="center"/>
            <w:shd w:fill="FFFFFF"/>
          </w:tcPr>
          <w:p>
            <w:pPr>
              <w:spacing w:after="0" w:line="270" w:lineRule="exact"/>
            </w:pPr>
            <w:r>
              <w:rPr>
                <w:rFonts w:ascii="Arial" w:hAnsi="Arial" w:eastAsia="Hiragino Sans GB"/>
                <w:sz w:val="21"/>
                <w:color w:val="000000"/>
              </w:rPr>
              <w:t>示例为 T2VA、960×544；约75GB主机 RAM 用于INT8权重，另留运行余量</w:t>
            </w:r>
          </w:p>
        </w:tc>
      </w:tr>
      <w:tr>
        <w:trPr>
          <w:cantSplit/>
        </w:trPr>
        <w:tc>
          <w:tcPr>
            <w:tcW w:w="2380" w:type="dxa"/>
            <w:vAlign w:val="center"/>
            <w:shd w:fill="F0F5F8"/>
          </w:tcPr>
          <w:p>
            <w:pPr>
              <w:spacing w:after="0" w:line="270" w:lineRule="exact"/>
            </w:pPr>
            <w:r>
              <w:rPr>
                <w:rFonts w:ascii="Arial" w:hAnsi="Arial" w:eastAsia="Hiragino Sans GB"/>
                <w:sz w:val="21"/>
                <w:color w:val="000000"/>
              </w:rPr>
              <w:t>1×RTX 4090 24GB</w:t>
            </w:r>
          </w:p>
        </w:tc>
        <w:tc>
          <w:tcPr>
            <w:tcW w:w="4270" w:type="dxa"/>
            <w:vAlign w:val="center"/>
            <w:shd w:fill="F0F5F8"/>
          </w:tcPr>
          <w:p>
            <w:pPr>
              <w:spacing w:after="0" w:line="270" w:lineRule="exact"/>
            </w:pPr>
            <w:r>
              <w:rPr>
                <w:rFonts w:ascii="Arial" w:hAnsi="Arial" w:eastAsia="Hiragino Sans GB"/>
                <w:sz w:val="21"/>
                <w:color w:val="000000"/>
              </w:rPr>
              <w:t>SGLang：ConvRot INT8＋逐层卸载；DiT/text encoder流式加载，视频 VAE 保持独立放置</w:t>
            </w:r>
          </w:p>
        </w:tc>
        <w:tc>
          <w:tcPr>
            <w:tcW w:w="3430" w:type="dxa"/>
            <w:vAlign w:val="center"/>
            <w:shd w:fill="F0F5F8"/>
          </w:tcPr>
          <w:p>
            <w:pPr>
              <w:spacing w:after="0" w:line="270" w:lineRule="exact"/>
            </w:pPr>
            <w:r>
              <w:rPr>
                <w:rFonts w:ascii="Arial" w:hAnsi="Arial" w:eastAsia="Hiragino Sans GB"/>
                <w:sz w:val="21"/>
                <w:color w:val="000000"/>
              </w:rPr>
              <w:t>Ada 使用匹配内核；该上游配方使用 comfy-kitchen，主机内存与PCIe也影响速度</w:t>
            </w:r>
          </w:p>
        </w:tc>
      </w:tr>
      <w:tr>
        <w:trPr>
          <w:cantSplit/>
        </w:trPr>
        <w:tc>
          <w:tcPr>
            <w:tcW w:w="2380" w:type="dxa"/>
            <w:vAlign w:val="center"/>
            <w:shd w:fill="FFFFFF"/>
          </w:tcPr>
          <w:p>
            <w:pPr>
              <w:spacing w:after="0" w:line="270" w:lineRule="exact"/>
            </w:pPr>
            <w:r>
              <w:rPr>
                <w:rFonts w:ascii="Arial" w:hAnsi="Arial" w:eastAsia="Hiragino Sans GB"/>
                <w:sz w:val="21"/>
                <w:color w:val="000000"/>
              </w:rPr>
              <w:t>1×RTX 5090 32GB</w:t>
            </w:r>
          </w:p>
        </w:tc>
        <w:tc>
          <w:tcPr>
            <w:tcW w:w="4270" w:type="dxa"/>
            <w:vAlign w:val="center"/>
            <w:shd w:fill="FFFFFF"/>
          </w:tcPr>
          <w:p>
            <w:pPr>
              <w:spacing w:after="0" w:line="270" w:lineRule="exact"/>
            </w:pPr>
            <w:r>
              <w:rPr>
                <w:rFonts w:ascii="Arial" w:hAnsi="Arial" w:eastAsia="Hiragino Sans GB"/>
                <w:sz w:val="21"/>
                <w:color w:val="000000"/>
              </w:rPr>
              <w:t>SGLang：原精度 BF16 逐层卸载；可调整DiT与视频VAE驻留层数</w:t>
            </w:r>
          </w:p>
        </w:tc>
        <w:tc>
          <w:tcPr>
            <w:tcW w:w="3430" w:type="dxa"/>
            <w:vAlign w:val="center"/>
            <w:shd w:fill="FFFFFF"/>
          </w:tcPr>
          <w:p>
            <w:pPr>
              <w:spacing w:after="0" w:line="270" w:lineRule="exact"/>
            </w:pPr>
            <w:r>
              <w:rPr>
                <w:rFonts w:ascii="Arial" w:hAnsi="Arial" w:eastAsia="Hiragino Sans GB"/>
                <w:sz w:val="21"/>
                <w:color w:val="000000"/>
              </w:rPr>
              <w:t>上游物理桌面例配快速PCIe5 NVMe；其480P、20步设置单独看待</w:t>
            </w:r>
          </w:p>
        </w:tc>
      </w:tr>
      <w:tr>
        <w:trPr>
          <w:cantSplit/>
        </w:trPr>
        <w:tc>
          <w:tcPr>
            <w:tcW w:w="2380" w:type="dxa"/>
            <w:vAlign w:val="center"/>
            <w:shd w:fill="F0F5F8"/>
          </w:tcPr>
          <w:p>
            <w:pPr>
              <w:spacing w:after="0" w:line="270" w:lineRule="exact"/>
            </w:pPr>
            <w:r>
              <w:rPr>
                <w:rFonts w:ascii="Arial" w:hAnsi="Arial" w:eastAsia="Hiragino Sans GB"/>
                <w:sz w:val="21"/>
                <w:color w:val="000000"/>
              </w:rPr>
              <w:t>2×RTX 5090 32GB</w:t>
            </w:r>
          </w:p>
        </w:tc>
        <w:tc>
          <w:tcPr>
            <w:tcW w:w="4270" w:type="dxa"/>
            <w:vAlign w:val="center"/>
            <w:shd w:fill="F0F5F8"/>
          </w:tcPr>
          <w:p>
            <w:pPr>
              <w:spacing w:after="0" w:line="270" w:lineRule="exact"/>
            </w:pPr>
            <w:r>
              <w:rPr>
                <w:rFonts w:ascii="Arial" w:hAnsi="Arial" w:eastAsia="Hiragino Sans GB"/>
                <w:sz w:val="21"/>
                <w:color w:val="000000"/>
              </w:rPr>
              <w:t>SGLang：原精度 BF16/FP32，TP2＋逐层卸载，DiT驻留20层</w:t>
            </w:r>
          </w:p>
        </w:tc>
        <w:tc>
          <w:tcPr>
            <w:tcW w:w="3430" w:type="dxa"/>
            <w:vAlign w:val="center"/>
            <w:shd w:fill="F0F5F8"/>
          </w:tcPr>
          <w:p>
            <w:pPr>
              <w:spacing w:after="0" w:line="270" w:lineRule="exact"/>
            </w:pPr>
            <w:r>
              <w:rPr>
                <w:rFonts w:ascii="Arial" w:hAnsi="Arial" w:eastAsia="Hiragino Sans GB"/>
                <w:sz w:val="21"/>
                <w:color w:val="000000"/>
              </w:rPr>
              <w:t>原配方使用377GiB主机，文档建议384GiB级内存；核对PCIe与P2P</w:t>
            </w:r>
          </w:p>
        </w:tc>
      </w:tr>
      <w:tr>
        <w:trPr>
          <w:cantSplit/>
        </w:trPr>
        <w:tc>
          <w:tcPr>
            <w:tcW w:w="2380" w:type="dxa"/>
            <w:vAlign w:val="center"/>
            <w:shd w:fill="FFFFFF"/>
          </w:tcPr>
          <w:p>
            <w:pPr>
              <w:spacing w:after="0" w:line="270" w:lineRule="exact"/>
            </w:pPr>
            <w:r>
              <w:rPr>
                <w:rFonts w:ascii="Arial" w:hAnsi="Arial" w:eastAsia="Hiragino Sans GB"/>
                <w:sz w:val="21"/>
                <w:color w:val="000000"/>
              </w:rPr>
              <w:t>2×48GB卡
如 L40S 48GB</w:t>
            </w:r>
          </w:p>
        </w:tc>
        <w:tc>
          <w:tcPr>
            <w:tcW w:w="4270" w:type="dxa"/>
            <w:vAlign w:val="center"/>
            <w:shd w:fill="FFFFFF"/>
          </w:tcPr>
          <w:p>
            <w:pPr>
              <w:spacing w:after="0" w:line="270" w:lineRule="exact"/>
            </w:pPr>
            <w:r>
              <w:rPr>
                <w:rFonts w:ascii="Arial" w:hAnsi="Arial" w:eastAsia="Hiragino Sans GB"/>
                <w:sz w:val="21"/>
                <w:color w:val="000000"/>
              </w:rPr>
              <w:t>Diffusers：Transformer和Qwen做INT8，按组件分到两卡</w:t>
            </w:r>
          </w:p>
        </w:tc>
        <w:tc>
          <w:tcPr>
            <w:tcW w:w="3430" w:type="dxa"/>
            <w:vAlign w:val="center"/>
            <w:shd w:fill="FFFFFF"/>
          </w:tcPr>
          <w:p>
            <w:pPr>
              <w:spacing w:after="0" w:line="270" w:lineRule="exact"/>
            </w:pPr>
            <w:r>
              <w:rPr>
                <w:rFonts w:ascii="Arial" w:hAnsi="Arial" w:eastAsia="Hiragino Sans GB"/>
                <w:sz w:val="21"/>
                <w:color w:val="000000"/>
              </w:rPr>
              <w:t>来源为T2VA容量示例；L40S属于48GB型号候选，使用Ada兼容后端</w:t>
            </w:r>
          </w:p>
        </w:tc>
      </w:tr>
    </w:tbl>
    <w:p>
      <w:pPr>
        <w:snapToGrid w:val="0"/>
      </w:pPr>
      <w:r>
        <w:t>这里的约75GB指 INT8 权重主要放在主机 RAM 中的量级，不是显存需求。在线量化、加载瞬态、激活和系统占用还需要空间；采购时可按128–256GB主机内存规划，再与选定的加载方式匹配。双5090的384GiB级要求属于另一份追求性能的原精度配方。</w:t>
      </w:r>
    </w:p>
    <w:p>
      <w:pPr>
        <w:pStyle w:val="Heading2"/>
        <w:snapToGrid w:val="0"/>
      </w:pPr>
      <w:r>
        <w:t>为什么单5090与双5090的主机配置差很多</w:t>
      </w:r>
    </w:p>
    <w:p>
      <w:pPr>
        <w:snapToGrid w:val="0"/>
      </w:pPr>
      <w:r>
        <w:t>单卡物理桌面示例使用60GB RAM、8GB swap和高速NVMe，以分层读取降低驻留量；双卡配方则用更多主机内存承载原始权重并安排预取。较小RAM容量会增加磁盘读取与交换开销，不能按显卡数量给主机 RAM 简单乘二。上述桌面规格是对应方案的运行条件，不是通用采购下限。</w:t>
      </w:r>
    </w:p>
    <w:p>
      <w:pPr>
        <w:snapToGrid w:val="0"/>
      </w:pPr>
      <w:r>
        <w:t>我的整机为5060 Ti 16GB显存＋32GB系统内存，不满足完整权重常驻或上述INT8＋CPU卸载方案的条件。表中的16GB低显存路线需要同时配足主机RAM；若保留显卡，可将128–256GB系统内存作为升级规划，256GB余量更宽裕，再与目标工作流、画布及加载方式匹配。本项目继续使用已选定的云CPU方案。</w:t>
      </w:r>
    </w:p>
    <w:p>
      <w:pPr>
        <w:pStyle w:val="Heading1"/>
        <w:pageBreakBefore/>
        <w:snapToGrid w:val="0"/>
      </w:pPr>
      <w:r>
        <w:t>GPU 选型三 同容量显卡怎么比较</w:t>
      </w:r>
    </w:p>
    <w:p>
      <w:pPr>
        <w:snapToGrid w:val="0"/>
      </w:pPr>
      <w:r>
        <w:t>下表的GB沿用厂家显存标注，带宽是显存带宽；NVLink或PCIe是GPU之间及与主机之间的连接，二者不能相加。型号、封装和架构会影响显存吞吐、原生精度以及可选 attention 内核。[13、14、15、16]</w:t>
      </w:r>
    </w:p>
    <w:tbl>
      <w:tblPr>
        <w:tblW w:w="1008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2590"/>
        <w:gridCol w:w="3550"/>
        <w:gridCol w:w="3940"/>
      </w:tblGrid>
      <w:tr>
        <w:trPr>
          <w:cantSplit/>
          <w:tblHeader/>
        </w:trPr>
        <w:tc>
          <w:tcPr>
            <w:tcW w:w="2590" w:type="dxa"/>
            <w:vAlign w:val="center"/>
            <w:shd w:fill="18384B"/>
          </w:tcPr>
          <w:p>
            <w:pPr>
              <w:spacing w:after="0" w:line="270" w:lineRule="exact"/>
            </w:pPr>
            <w:r>
              <w:rPr>
                <w:rFonts w:ascii="Arial" w:hAnsi="Arial" w:eastAsia="Hiragino Sans GB"/>
                <w:sz w:val="21"/>
                <w:color w:val="FFFFFF"/>
                <w:b/>
              </w:rPr>
              <w:t>型号与显存</w:t>
            </w:r>
          </w:p>
        </w:tc>
        <w:tc>
          <w:tcPr>
            <w:tcW w:w="3550" w:type="dxa"/>
            <w:vAlign w:val="center"/>
            <w:shd w:fill="18384B"/>
          </w:tcPr>
          <w:p>
            <w:pPr>
              <w:spacing w:after="0" w:line="270" w:lineRule="exact"/>
            </w:pPr>
            <w:r>
              <w:rPr>
                <w:rFonts w:ascii="Arial" w:hAnsi="Arial" w:eastAsia="Hiragino Sans GB"/>
                <w:sz w:val="21"/>
                <w:color w:val="FFFFFF"/>
                <w:b/>
              </w:rPr>
              <w:t>架构与显存带宽</w:t>
            </w:r>
          </w:p>
        </w:tc>
        <w:tc>
          <w:tcPr>
            <w:tcW w:w="3940" w:type="dxa"/>
            <w:vAlign w:val="center"/>
            <w:shd w:fill="18384B"/>
          </w:tcPr>
          <w:p>
            <w:pPr>
              <w:spacing w:after="0" w:line="270" w:lineRule="exact"/>
            </w:pPr>
            <w:r>
              <w:rPr>
                <w:rFonts w:ascii="Arial" w:hAnsi="Arial" w:eastAsia="Hiragino Sans GB"/>
                <w:sz w:val="21"/>
                <w:color w:val="FFFFFF"/>
                <w:b/>
              </w:rPr>
              <w:t>选型时的区别</w:t>
            </w:r>
          </w:p>
        </w:tc>
      </w:tr>
      <w:tr>
        <w:trPr>
          <w:cantSplit/>
        </w:trPr>
        <w:tc>
          <w:tcPr>
            <w:tcW w:w="2590" w:type="dxa"/>
            <w:vAlign w:val="center"/>
            <w:shd w:fill="FFFFFF"/>
          </w:tcPr>
          <w:p>
            <w:pPr>
              <w:spacing w:after="0" w:line="270" w:lineRule="exact"/>
            </w:pPr>
            <w:r>
              <w:rPr>
                <w:rFonts w:ascii="Arial" w:hAnsi="Arial" w:eastAsia="Hiragino Sans GB"/>
                <w:sz w:val="21"/>
                <w:color w:val="000000"/>
              </w:rPr>
              <w:t>H200 141GB</w:t>
            </w:r>
          </w:p>
        </w:tc>
        <w:tc>
          <w:tcPr>
            <w:tcW w:w="3550" w:type="dxa"/>
            <w:vAlign w:val="center"/>
            <w:shd w:fill="FFFFFF"/>
          </w:tcPr>
          <w:p>
            <w:pPr>
              <w:spacing w:after="0" w:line="270" w:lineRule="exact"/>
            </w:pPr>
            <w:r>
              <w:rPr>
                <w:rFonts w:ascii="Arial" w:hAnsi="Arial" w:eastAsia="Hiragino Sans GB"/>
                <w:sz w:val="21"/>
                <w:color w:val="000000"/>
              </w:rPr>
              <w:t>Hopper；约4.8TB/s</w:t>
            </w:r>
          </w:p>
        </w:tc>
        <w:tc>
          <w:tcPr>
            <w:tcW w:w="3940" w:type="dxa"/>
            <w:vAlign w:val="center"/>
            <w:shd w:fill="FFFFFF"/>
          </w:tcPr>
          <w:p>
            <w:pPr>
              <w:spacing w:after="0" w:line="270" w:lineRule="exact"/>
            </w:pPr>
            <w:r>
              <w:rPr>
                <w:rFonts w:ascii="Arial" w:hAnsi="Arial" w:eastAsia="Hiragino Sans GB"/>
                <w:sz w:val="21"/>
                <w:color w:val="000000"/>
              </w:rPr>
              <w:t>大显存与高速互联，适合上游常驻多卡方案</w:t>
            </w:r>
          </w:p>
        </w:tc>
      </w:tr>
      <w:tr>
        <w:trPr>
          <w:cantSplit/>
        </w:trPr>
        <w:tc>
          <w:tcPr>
            <w:tcW w:w="2590" w:type="dxa"/>
            <w:vAlign w:val="center"/>
            <w:shd w:fill="F0F5F8"/>
          </w:tcPr>
          <w:p>
            <w:pPr>
              <w:spacing w:after="0" w:line="270" w:lineRule="exact"/>
            </w:pPr>
            <w:r>
              <w:rPr>
                <w:rFonts w:ascii="Arial" w:hAnsi="Arial" w:eastAsia="Hiragino Sans GB"/>
                <w:sz w:val="21"/>
                <w:color w:val="000000"/>
              </w:rPr>
              <w:t>H100 80GB</w:t>
            </w:r>
          </w:p>
        </w:tc>
        <w:tc>
          <w:tcPr>
            <w:tcW w:w="3550" w:type="dxa"/>
            <w:vAlign w:val="center"/>
            <w:shd w:fill="F0F5F8"/>
          </w:tcPr>
          <w:p>
            <w:pPr>
              <w:spacing w:after="0" w:line="270" w:lineRule="exact"/>
            </w:pPr>
            <w:r>
              <w:rPr>
                <w:rFonts w:ascii="Arial" w:hAnsi="Arial" w:eastAsia="Hiragino Sans GB"/>
                <w:sz w:val="21"/>
                <w:color w:val="000000"/>
              </w:rPr>
              <w:t>Hopper；SXM约3.35TB/s，PCIe约2.0TB/s</w:t>
            </w:r>
          </w:p>
        </w:tc>
        <w:tc>
          <w:tcPr>
            <w:tcW w:w="3940" w:type="dxa"/>
            <w:vAlign w:val="center"/>
            <w:shd w:fill="F0F5F8"/>
          </w:tcPr>
          <w:p>
            <w:pPr>
              <w:spacing w:after="0" w:line="270" w:lineRule="exact"/>
            </w:pPr>
            <w:r>
              <w:rPr>
                <w:rFonts w:ascii="Arial" w:hAnsi="Arial" w:eastAsia="Hiragino Sans GB"/>
                <w:sz w:val="21"/>
                <w:color w:val="000000"/>
              </w:rPr>
              <w:t>写清SXM/PCIe与整机拓扑，不能只写H100</w:t>
            </w:r>
          </w:p>
        </w:tc>
      </w:tr>
      <w:tr>
        <w:trPr>
          <w:cantSplit/>
        </w:trPr>
        <w:tc>
          <w:tcPr>
            <w:tcW w:w="2590" w:type="dxa"/>
            <w:vAlign w:val="center"/>
            <w:shd w:fill="FFFFFF"/>
          </w:tcPr>
          <w:p>
            <w:pPr>
              <w:spacing w:after="0" w:line="270" w:lineRule="exact"/>
            </w:pPr>
            <w:r>
              <w:rPr>
                <w:rFonts w:ascii="Arial" w:hAnsi="Arial" w:eastAsia="Hiragino Sans GB"/>
                <w:sz w:val="21"/>
                <w:color w:val="000000"/>
              </w:rPr>
              <w:t>A100 80GB</w:t>
            </w:r>
          </w:p>
        </w:tc>
        <w:tc>
          <w:tcPr>
            <w:tcW w:w="3550" w:type="dxa"/>
            <w:vAlign w:val="center"/>
            <w:shd w:fill="FFFFFF"/>
          </w:tcPr>
          <w:p>
            <w:pPr>
              <w:spacing w:after="0" w:line="270" w:lineRule="exact"/>
            </w:pPr>
            <w:r>
              <w:rPr>
                <w:rFonts w:ascii="Arial" w:hAnsi="Arial" w:eastAsia="Hiragino Sans GB"/>
                <w:sz w:val="21"/>
                <w:color w:val="000000"/>
              </w:rPr>
              <w:t>Ampere；PCIe约1.935TB/s，SXM约2.039TB/s</w:t>
            </w:r>
          </w:p>
        </w:tc>
        <w:tc>
          <w:tcPr>
            <w:tcW w:w="3940" w:type="dxa"/>
            <w:vAlign w:val="center"/>
            <w:shd w:fill="FFFFFF"/>
          </w:tcPr>
          <w:p>
            <w:pPr>
              <w:spacing w:after="0" w:line="270" w:lineRule="exact"/>
            </w:pPr>
            <w:r>
              <w:rPr>
                <w:rFonts w:ascii="Arial" w:hAnsi="Arial" w:eastAsia="Hiragino Sans GB"/>
                <w:sz w:val="21"/>
                <w:color w:val="000000"/>
              </w:rPr>
              <w:t>区分40GB/80GB版本；80GB容量相同也不等于H100</w:t>
            </w:r>
          </w:p>
        </w:tc>
      </w:tr>
      <w:tr>
        <w:trPr>
          <w:cantSplit/>
        </w:trPr>
        <w:tc>
          <w:tcPr>
            <w:tcW w:w="2590" w:type="dxa"/>
            <w:vAlign w:val="center"/>
            <w:shd w:fill="F0F5F8"/>
          </w:tcPr>
          <w:p>
            <w:pPr>
              <w:spacing w:after="0" w:line="270" w:lineRule="exact"/>
            </w:pPr>
            <w:r>
              <w:rPr>
                <w:rFonts w:ascii="Arial" w:hAnsi="Arial" w:eastAsia="Hiragino Sans GB"/>
                <w:sz w:val="21"/>
                <w:color w:val="000000"/>
              </w:rPr>
              <w:t>L40S 48GB</w:t>
            </w:r>
          </w:p>
        </w:tc>
        <w:tc>
          <w:tcPr>
            <w:tcW w:w="3550" w:type="dxa"/>
            <w:vAlign w:val="center"/>
            <w:shd w:fill="F0F5F8"/>
          </w:tcPr>
          <w:p>
            <w:pPr>
              <w:spacing w:after="0" w:line="270" w:lineRule="exact"/>
            </w:pPr>
            <w:r>
              <w:rPr>
                <w:rFonts w:ascii="Arial" w:hAnsi="Arial" w:eastAsia="Hiragino Sans GB"/>
                <w:sz w:val="21"/>
                <w:color w:val="000000"/>
              </w:rPr>
              <w:t>Ada；约864GB/s</w:t>
            </w:r>
          </w:p>
        </w:tc>
        <w:tc>
          <w:tcPr>
            <w:tcW w:w="3940" w:type="dxa"/>
            <w:vAlign w:val="center"/>
            <w:shd w:fill="F0F5F8"/>
          </w:tcPr>
          <w:p>
            <w:pPr>
              <w:spacing w:after="0" w:line="270" w:lineRule="exact"/>
            </w:pPr>
            <w:r>
              <w:rPr>
                <w:rFonts w:ascii="Arial" w:hAnsi="Arial" w:eastAsia="Hiragino Sans GB"/>
                <w:sz w:val="21"/>
                <w:color w:val="000000"/>
              </w:rPr>
              <w:t>48GB可用于量化分组件方案；无NVLink</w:t>
            </w:r>
          </w:p>
        </w:tc>
      </w:tr>
      <w:tr>
        <w:trPr>
          <w:cantSplit/>
        </w:trPr>
        <w:tc>
          <w:tcPr>
            <w:tcW w:w="2590" w:type="dxa"/>
            <w:vAlign w:val="center"/>
            <w:shd w:fill="FFFFFF"/>
          </w:tcPr>
          <w:p>
            <w:pPr>
              <w:spacing w:after="0" w:line="270" w:lineRule="exact"/>
            </w:pPr>
            <w:r>
              <w:rPr>
                <w:rFonts w:ascii="Arial" w:hAnsi="Arial" w:eastAsia="Hiragino Sans GB"/>
                <w:sz w:val="21"/>
                <w:color w:val="000000"/>
              </w:rPr>
              <w:t>RTX 5090 32GB</w:t>
            </w:r>
          </w:p>
        </w:tc>
        <w:tc>
          <w:tcPr>
            <w:tcW w:w="3550" w:type="dxa"/>
            <w:vAlign w:val="center"/>
            <w:shd w:fill="FFFFFF"/>
          </w:tcPr>
          <w:p>
            <w:pPr>
              <w:spacing w:after="0" w:line="270" w:lineRule="exact"/>
            </w:pPr>
            <w:r>
              <w:rPr>
                <w:rFonts w:ascii="Arial" w:hAnsi="Arial" w:eastAsia="Hiragino Sans GB"/>
                <w:sz w:val="21"/>
                <w:color w:val="000000"/>
              </w:rPr>
              <w:t>Blackwell；约1792GB/s</w:t>
            </w:r>
          </w:p>
        </w:tc>
        <w:tc>
          <w:tcPr>
            <w:tcW w:w="3940" w:type="dxa"/>
            <w:vAlign w:val="center"/>
            <w:shd w:fill="FFFFFF"/>
          </w:tcPr>
          <w:p>
            <w:pPr>
              <w:spacing w:after="0" w:line="270" w:lineRule="exact"/>
            </w:pPr>
            <w:r>
              <w:rPr>
                <w:rFonts w:ascii="Arial" w:hAnsi="Arial" w:eastAsia="Hiragino Sans GB"/>
                <w:sz w:val="21"/>
                <w:color w:val="000000"/>
              </w:rPr>
              <w:t>原生BF16；该型号无NVLink，关注PCIe和卸载策略</w:t>
            </w:r>
          </w:p>
        </w:tc>
      </w:tr>
      <w:tr>
        <w:trPr>
          <w:cantSplit/>
        </w:trPr>
        <w:tc>
          <w:tcPr>
            <w:tcW w:w="2590" w:type="dxa"/>
            <w:vAlign w:val="center"/>
            <w:shd w:fill="F0F5F8"/>
          </w:tcPr>
          <w:p>
            <w:pPr>
              <w:spacing w:after="0" w:line="270" w:lineRule="exact"/>
            </w:pPr>
            <w:r>
              <w:rPr>
                <w:rFonts w:ascii="Arial" w:hAnsi="Arial" w:eastAsia="Hiragino Sans GB"/>
                <w:sz w:val="21"/>
                <w:color w:val="000000"/>
              </w:rPr>
              <w:t>RTX 4090 24GB</w:t>
            </w:r>
          </w:p>
        </w:tc>
        <w:tc>
          <w:tcPr>
            <w:tcW w:w="3550" w:type="dxa"/>
            <w:vAlign w:val="center"/>
            <w:shd w:fill="F0F5F8"/>
          </w:tcPr>
          <w:p>
            <w:pPr>
              <w:spacing w:after="0" w:line="270" w:lineRule="exact"/>
            </w:pPr>
            <w:r>
              <w:rPr>
                <w:rFonts w:ascii="Arial" w:hAnsi="Arial" w:eastAsia="Hiragino Sans GB"/>
                <w:sz w:val="21"/>
                <w:color w:val="000000"/>
              </w:rPr>
              <w:t>Ada；约1008GB/s</w:t>
            </w:r>
          </w:p>
        </w:tc>
        <w:tc>
          <w:tcPr>
            <w:tcW w:w="3940" w:type="dxa"/>
            <w:vAlign w:val="center"/>
            <w:shd w:fill="F0F5F8"/>
          </w:tcPr>
          <w:p>
            <w:pPr>
              <w:spacing w:after="0" w:line="270" w:lineRule="exact"/>
            </w:pPr>
            <w:r>
              <w:rPr>
                <w:rFonts w:ascii="Arial" w:hAnsi="Arial" w:eastAsia="Hiragino Sans GB"/>
                <w:sz w:val="21"/>
                <w:color w:val="000000"/>
              </w:rPr>
              <w:t>原生BF16；量化与attention内核按Ada选择</w:t>
            </w:r>
          </w:p>
        </w:tc>
      </w:tr>
      <w:tr>
        <w:trPr>
          <w:cantSplit/>
        </w:trPr>
        <w:tc>
          <w:tcPr>
            <w:tcW w:w="2590" w:type="dxa"/>
            <w:vAlign w:val="center"/>
            <w:shd w:fill="FFFFFF"/>
          </w:tcPr>
          <w:p>
            <w:pPr>
              <w:spacing w:after="0" w:line="270" w:lineRule="exact"/>
            </w:pPr>
            <w:r>
              <w:rPr>
                <w:rFonts w:ascii="Arial" w:hAnsi="Arial" w:eastAsia="Hiragino Sans GB"/>
                <w:sz w:val="21"/>
                <w:color w:val="000000"/>
              </w:rPr>
              <w:t>RTX 5060 Ti 16GB</w:t>
            </w:r>
          </w:p>
        </w:tc>
        <w:tc>
          <w:tcPr>
            <w:tcW w:w="3550" w:type="dxa"/>
            <w:vAlign w:val="center"/>
            <w:shd w:fill="FFFFFF"/>
          </w:tcPr>
          <w:p>
            <w:pPr>
              <w:spacing w:after="0" w:line="270" w:lineRule="exact"/>
            </w:pPr>
            <w:r>
              <w:rPr>
                <w:rFonts w:ascii="Arial" w:hAnsi="Arial" w:eastAsia="Hiragino Sans GB"/>
                <w:sz w:val="21"/>
                <w:color w:val="000000"/>
              </w:rPr>
              <w:t>Blackwell；约448GB/s</w:t>
            </w:r>
          </w:p>
        </w:tc>
        <w:tc>
          <w:tcPr>
            <w:tcW w:w="3940" w:type="dxa"/>
            <w:vAlign w:val="center"/>
            <w:shd w:fill="FFFFFF"/>
          </w:tcPr>
          <w:p>
            <w:pPr>
              <w:spacing w:after="0" w:line="270" w:lineRule="exact"/>
            </w:pPr>
            <w:r>
              <w:rPr>
                <w:rFonts w:ascii="Arial" w:hAnsi="Arial" w:eastAsia="Hiragino Sans GB"/>
                <w:sz w:val="21"/>
                <w:color w:val="000000"/>
              </w:rPr>
              <w:t>原生BF16，但容量需配量化、卸载与小画布</w:t>
            </w:r>
          </w:p>
        </w:tc>
      </w:tr>
      <w:tr>
        <w:trPr>
          <w:cantSplit/>
        </w:trPr>
        <w:tc>
          <w:tcPr>
            <w:tcW w:w="2590" w:type="dxa"/>
            <w:vAlign w:val="center"/>
            <w:shd w:fill="F0F5F8"/>
          </w:tcPr>
          <w:p>
            <w:pPr>
              <w:spacing w:after="0" w:line="270" w:lineRule="exact"/>
            </w:pPr>
            <w:r>
              <w:rPr>
                <w:rFonts w:ascii="Arial" w:hAnsi="Arial" w:eastAsia="Hiragino Sans GB"/>
                <w:sz w:val="21"/>
                <w:color w:val="000000"/>
              </w:rPr>
              <w:t>V100 16GB或32GB</w:t>
            </w:r>
          </w:p>
        </w:tc>
        <w:tc>
          <w:tcPr>
            <w:tcW w:w="3550" w:type="dxa"/>
            <w:vAlign w:val="center"/>
            <w:shd w:fill="F0F5F8"/>
          </w:tcPr>
          <w:p>
            <w:pPr>
              <w:spacing w:after="0" w:line="270" w:lineRule="exact"/>
            </w:pPr>
            <w:r>
              <w:rPr>
                <w:rFonts w:ascii="Arial" w:hAnsi="Arial" w:eastAsia="Hiragino Sans GB"/>
                <w:sz w:val="21"/>
                <w:color w:val="000000"/>
              </w:rPr>
              <w:t>Volta；约900GB/s</w:t>
            </w:r>
          </w:p>
        </w:tc>
        <w:tc>
          <w:tcPr>
            <w:tcW w:w="3940" w:type="dxa"/>
            <w:vAlign w:val="center"/>
            <w:shd w:fill="F0F5F8"/>
          </w:tcPr>
          <w:p>
            <w:pPr>
              <w:spacing w:after="0" w:line="270" w:lineRule="exact"/>
            </w:pPr>
            <w:r>
              <w:rPr>
                <w:rFonts w:ascii="Arial" w:hAnsi="Arial" w:eastAsia="Hiragino Sans GB"/>
                <w:sz w:val="21"/>
                <w:color w:val="000000"/>
              </w:rPr>
              <w:t>无原生BF16；SXM2与PCIe互联能力不同</w:t>
            </w:r>
          </w:p>
        </w:tc>
      </w:tr>
      <w:tr>
        <w:trPr>
          <w:cantSplit/>
        </w:trPr>
        <w:tc>
          <w:tcPr>
            <w:tcW w:w="2590" w:type="dxa"/>
            <w:vAlign w:val="center"/>
            <w:shd w:fill="FFFFFF"/>
          </w:tcPr>
          <w:p>
            <w:pPr>
              <w:spacing w:after="0" w:line="270" w:lineRule="exact"/>
            </w:pPr>
            <w:r>
              <w:rPr>
                <w:rFonts w:ascii="Arial" w:hAnsi="Arial" w:eastAsia="Hiragino Sans GB"/>
                <w:sz w:val="21"/>
                <w:color w:val="000000"/>
              </w:rPr>
              <w:t>T4 16GB</w:t>
            </w:r>
          </w:p>
        </w:tc>
        <w:tc>
          <w:tcPr>
            <w:tcW w:w="3550" w:type="dxa"/>
            <w:vAlign w:val="center"/>
            <w:shd w:fill="FFFFFF"/>
          </w:tcPr>
          <w:p>
            <w:pPr>
              <w:spacing w:after="0" w:line="270" w:lineRule="exact"/>
            </w:pPr>
            <w:r>
              <w:rPr>
                <w:rFonts w:ascii="Arial" w:hAnsi="Arial" w:eastAsia="Hiragino Sans GB"/>
                <w:sz w:val="21"/>
                <w:color w:val="000000"/>
              </w:rPr>
              <w:t>Turing；约300GB/s</w:t>
            </w:r>
          </w:p>
        </w:tc>
        <w:tc>
          <w:tcPr>
            <w:tcW w:w="3940" w:type="dxa"/>
            <w:vAlign w:val="center"/>
            <w:shd w:fill="FFFFFF"/>
          </w:tcPr>
          <w:p>
            <w:pPr>
              <w:spacing w:after="0" w:line="270" w:lineRule="exact"/>
            </w:pPr>
            <w:r>
              <w:rPr>
                <w:rFonts w:ascii="Arial" w:hAnsi="Arial" w:eastAsia="Hiragino Sans GB"/>
                <w:sz w:val="21"/>
                <w:color w:val="000000"/>
              </w:rPr>
              <w:t>无原生BF16、无NVLink；旧卡及整机RAM需一起评估</w:t>
            </w:r>
          </w:p>
        </w:tc>
      </w:tr>
    </w:tbl>
    <w:p>
      <w:pPr>
        <w:snapToGrid w:val="0"/>
      </w:pPr>
      <w:r>
        <w:t>H100 NVL 是每卡94GB，双卡合计188GB，不能写成一张188GB显卡；其显存带宽约3.9TB/s每卡。云产品的卡名还应与实际SKU、卡数、GPU互联、vCPU和系统内存对应。</w:t>
      </w:r>
    </w:p>
    <w:p>
      <w:pPr>
        <w:pStyle w:val="Heading2"/>
        <w:snapToGrid w:val="0"/>
      </w:pPr>
      <w:r>
        <w:t>多卡与卸载的最后一轮检查</w:t>
      </w:r>
    </w:p>
    <w:p>
      <w:pPr>
        <w:snapToGrid w:val="0"/>
      </w:pPr>
      <w:r>
        <w:t>两张80GB显卡保留两个独立显存空间，程序必须显式分组件、切权重或切序列。TP/Ulysses等每层都有集合通信，优先查看同机NVLink/NVSwitch、P2P能力和PCIe拓扑；两台独立单卡主机不能直接当作一台双卡服务器。消费卡要核对实际PCIe通道、插槽和NUMA位置。</w:t>
      </w:r>
    </w:p>
    <w:p>
      <w:pPr>
        <w:snapToGrid w:val="0"/>
      </w:pPr>
      <w:r>
        <w:t>拿到主机后，用 nvidia-smi 查看型号、单卡显存与驱动，用 nvidia-smi topo -m 查看互联，再用 free -h 和 df -h 核对系统内存与持久盘。GPU执行采用对应上游SGLang或Diffusers后端；本项目交付的CPU runner与异步API则服务于最终选定的CPU路线。</w:t>
      </w:r>
    </w:p>
    <w:p>
      <w:bookmarkStart w:id="10" w:name="gpu_cost"/>
      <w:pPr>
        <w:pStyle w:val="Heading1"/>
        <w:pageBreakBefore/>
        <w:snapToGrid w:val="0"/>
      </w:pPr>
      <w:r>
        <w:t>01 评估云 GPU 的规格与成本</w:t>
      </w:r>
      <w:bookmarkEnd w:id="10"/>
    </w:p>
    <w:p>
      <w:pPr>
        <w:snapToGrid w:val="0"/>
      </w:pPr>
      <w:r>
        <w:rPr>
          <w:b w:val="0"/>
        </w:rPr>
        <w:t>对照16GB显存与32GB系统内存后，当前整机不符合完整权重常驻或上述INT8卸载方案的容量条件，我继续看云GPU。检查顺序是先对照H3配方中的显卡型号、单卡显存、卡数、互联与主机RAM，再看公司已有云账号能否取得这类整机。低显存或卸载方案还涉及量化、精度和组件调度，需要按完整配置作决定。</w:t>
      </w:r>
    </w:p>
    <w:p>
      <w:pPr>
        <w:pStyle w:val="Heading2"/>
        <w:snapToGrid w:val="0"/>
      </w:pPr>
      <w:r>
        <w:t>公开价格到底是什么量级</w:t>
      </w:r>
    </w:p>
    <w:p>
      <w:pPr>
        <w:snapToGrid w:val="0"/>
      </w:pPr>
      <w:r>
        <w:rPr>
          <w:b w:val="0"/>
        </w:rPr>
        <w:t>以下价格是在 2026年10月20日复盘时补查，用于量化云 GPU 的成本量级；CPU 资源已于 10月18日选定并创建。口径为火山引擎官网刊例价、华北2北京，费用包含整台实例的 GPU、vCPU 和内存，云盘、公网等另计，最终按下单结果计算。[1、2]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2448"/>
        <w:gridCol w:w="1872"/>
        <w:gridCol w:w="2160"/>
      </w:tblGrid>
      <w:tr>
        <w:trPr>
          <w:cantSplit/>
          <w:tblHeader/>
        </w:trPr>
        <w:tc>
          <w:tcPr>
            <w:tcW w:type="dxa" w:w="3600"/>
            <w:vAlign w:val="center"/>
            <w:tcMar>
              <w:top w:w="80" w:type="dxa"/>
              <w:bottom w:w="80" w:type="dxa"/>
              <w:left w:w="100" w:type="dxa"/>
              <w:right w:w="100" w:type="dxa"/>
            </w:tcMar>
            <w:shd w:fill="18354B"/>
          </w:tcPr>
          <w:p>
            <w:pPr>
              <w:spacing w:after="0" w:line="280" w:lineRule="exact"/>
              <w:jc w:val="left"/>
            </w:pPr>
            <w:r>
              <w:rPr>
                <w:b/>
                <w:color w:val="FFFFFF"/>
                <w:sz w:val="20"/>
              </w:rPr>
              <w:t>GPU及实例简称</w:t>
            </w:r>
          </w:p>
        </w:tc>
        <w:tc>
          <w:tcPr>
            <w:tcW w:type="dxa" w:w="2448"/>
            <w:vAlign w:val="center"/>
            <w:tcMar>
              <w:top w:w="80" w:type="dxa"/>
              <w:bottom w:w="80" w:type="dxa"/>
              <w:left w:w="100" w:type="dxa"/>
              <w:right w:w="100" w:type="dxa"/>
            </w:tcMar>
            <w:shd w:fill="18354B"/>
          </w:tcPr>
          <w:p>
            <w:pPr>
              <w:spacing w:after="0" w:line="280" w:lineRule="exact"/>
              <w:jc w:val="left"/>
            </w:pPr>
            <w:r>
              <w:rPr>
                <w:b/>
                <w:color w:val="FFFFFF"/>
                <w:sz w:val="20"/>
              </w:rPr>
              <w:t>vCPU与内存</w:t>
            </w:r>
          </w:p>
        </w:tc>
        <w:tc>
          <w:tcPr>
            <w:tcW w:type="dxa" w:w="1872"/>
            <w:vAlign w:val="center"/>
            <w:tcMar>
              <w:top w:w="80" w:type="dxa"/>
              <w:bottom w:w="80" w:type="dxa"/>
              <w:left w:w="100" w:type="dxa"/>
              <w:right w:w="100" w:type="dxa"/>
            </w:tcMar>
            <w:shd w:fill="18354B"/>
          </w:tcPr>
          <w:p>
            <w:pPr>
              <w:spacing w:after="0" w:line="280" w:lineRule="exact"/>
              <w:jc w:val="left"/>
            </w:pPr>
            <w:r>
              <w:rPr>
                <w:b/>
                <w:color w:val="FFFFFF"/>
                <w:sz w:val="20"/>
              </w:rPr>
              <w:t>元每小时</w:t>
            </w:r>
          </w:p>
        </w:tc>
        <w:tc>
          <w:tcPr>
            <w:tcW w:type="dxa" w:w="2160"/>
            <w:vAlign w:val="center"/>
            <w:tcMar>
              <w:top w:w="80" w:type="dxa"/>
              <w:bottom w:w="80" w:type="dxa"/>
              <w:left w:w="100" w:type="dxa"/>
              <w:right w:w="100" w:type="dxa"/>
            </w:tcMar>
            <w:shd w:fill="18354B"/>
          </w:tcPr>
          <w:p>
            <w:pPr>
              <w:spacing w:after="0" w:line="280" w:lineRule="exact"/>
              <w:jc w:val="left"/>
            </w:pPr>
            <w:r>
              <w:rPr>
                <w:b/>
                <w:color w:val="FFFFFF"/>
                <w:sz w:val="20"/>
              </w:rPr>
              <w:t>元每月</w:t>
            </w:r>
          </w:p>
        </w:tc>
      </w:tr>
      <w:tr>
        <w:trPr>
          <w:cantSplit/>
        </w:trPr>
        <w:tc>
          <w:tcPr>
            <w:tcW w:type="dxa" w:w="3600"/>
            <w:vAlign w:val="center"/>
            <w:tcMar>
              <w:top w:w="80" w:type="dxa"/>
              <w:bottom w:w="80" w:type="dxa"/>
              <w:left w:w="100" w:type="dxa"/>
              <w:right w:w="100" w:type="dxa"/>
            </w:tcMar>
            <w:shd w:fill="FFFFFF"/>
          </w:tcPr>
          <w:p>
            <w:pPr>
              <w:spacing w:after="0" w:line="280" w:lineRule="exact"/>
              <w:jc w:val="left"/>
            </w:pPr>
            <w:r>
              <w:rPr>
                <w:b w:val="0"/>
                <w:color w:val="000000"/>
                <w:sz w:val="20"/>
              </w:rPr>
              <w:t>T4 16GB×1</w:t>
              <w:br/>
              <w:t>g1te.xlarge</w:t>
            </w:r>
          </w:p>
        </w:tc>
        <w:tc>
          <w:tcPr>
            <w:tcW w:type="dxa" w:w="2448"/>
            <w:vAlign w:val="center"/>
            <w:tcMar>
              <w:top w:w="80" w:type="dxa"/>
              <w:bottom w:w="80" w:type="dxa"/>
              <w:left w:w="100" w:type="dxa"/>
              <w:right w:w="100" w:type="dxa"/>
            </w:tcMar>
            <w:shd w:fill="FFFFFF"/>
          </w:tcPr>
          <w:p>
            <w:pPr>
              <w:spacing w:after="0" w:line="280" w:lineRule="exact"/>
              <w:jc w:val="left"/>
            </w:pPr>
            <w:r>
              <w:rPr>
                <w:b w:val="0"/>
                <w:color w:val="000000"/>
                <w:sz w:val="20"/>
              </w:rPr>
              <w:t>4 / 16GiB</w:t>
            </w:r>
          </w:p>
        </w:tc>
        <w:tc>
          <w:tcPr>
            <w:tcW w:type="dxa" w:w="1872"/>
            <w:vAlign w:val="center"/>
            <w:tcMar>
              <w:top w:w="80" w:type="dxa"/>
              <w:bottom w:w="80" w:type="dxa"/>
              <w:left w:w="100" w:type="dxa"/>
              <w:right w:w="100" w:type="dxa"/>
            </w:tcMar>
            <w:shd w:fill="FFFFFF"/>
          </w:tcPr>
          <w:p>
            <w:pPr>
              <w:spacing w:after="0" w:line="280" w:lineRule="exact"/>
              <w:jc w:val="left"/>
            </w:pPr>
            <w:r>
              <w:rPr>
                <w:b w:val="0"/>
                <w:color w:val="000000"/>
                <w:sz w:val="20"/>
              </w:rPr>
              <w:t>11.2811</w:t>
            </w:r>
          </w:p>
        </w:tc>
        <w:tc>
          <w:tcPr>
            <w:tcW w:type="dxa" w:w="2160"/>
            <w:vAlign w:val="center"/>
            <w:tcMar>
              <w:top w:w="80" w:type="dxa"/>
              <w:bottom w:w="80" w:type="dxa"/>
              <w:left w:w="100" w:type="dxa"/>
              <w:right w:w="100" w:type="dxa"/>
            </w:tcMar>
            <w:shd w:fill="FFFFFF"/>
          </w:tcPr>
          <w:p>
            <w:pPr>
              <w:spacing w:after="0" w:line="280" w:lineRule="exact"/>
              <w:jc w:val="left"/>
            </w:pPr>
            <w:r>
              <w:rPr>
                <w:b w:val="0"/>
                <w:color w:val="000000"/>
                <w:sz w:val="20"/>
              </w:rPr>
              <w:t>3248.96</w:t>
            </w:r>
          </w:p>
        </w:tc>
      </w:tr>
      <w:tr>
        <w:trPr>
          <w:cantSplit/>
        </w:trPr>
        <w:tc>
          <w:tcPr>
            <w:tcW w:type="dxa" w:w="3600"/>
            <w:vAlign w:val="center"/>
            <w:tcMar>
              <w:top w:w="80" w:type="dxa"/>
              <w:bottom w:w="80" w:type="dxa"/>
              <w:left w:w="100" w:type="dxa"/>
              <w:right w:w="100" w:type="dxa"/>
            </w:tcMar>
            <w:shd w:fill="F1F5F8"/>
          </w:tcPr>
          <w:p>
            <w:pPr>
              <w:spacing w:after="0" w:line="280" w:lineRule="exact"/>
              <w:jc w:val="left"/>
            </w:pPr>
            <w:r>
              <w:rPr>
                <w:b w:val="0"/>
                <w:color w:val="000000"/>
                <w:sz w:val="20"/>
              </w:rPr>
              <w:t>V100 32GB×1</w:t>
              <w:br/>
              <w:t>g1ve.2xlarge</w:t>
            </w:r>
          </w:p>
        </w:tc>
        <w:tc>
          <w:tcPr>
            <w:tcW w:type="dxa" w:w="2448"/>
            <w:vAlign w:val="center"/>
            <w:tcMar>
              <w:top w:w="80" w:type="dxa"/>
              <w:bottom w:w="80" w:type="dxa"/>
              <w:left w:w="100" w:type="dxa"/>
              <w:right w:w="100" w:type="dxa"/>
            </w:tcMar>
            <w:shd w:fill="F1F5F8"/>
          </w:tcPr>
          <w:p>
            <w:pPr>
              <w:spacing w:after="0" w:line="280" w:lineRule="exact"/>
              <w:jc w:val="left"/>
            </w:pPr>
            <w:r>
              <w:rPr>
                <w:b w:val="0"/>
                <w:color w:val="000000"/>
                <w:sz w:val="20"/>
              </w:rPr>
              <w:t>8 / 32GiB</w:t>
            </w:r>
          </w:p>
        </w:tc>
        <w:tc>
          <w:tcPr>
            <w:tcW w:type="dxa" w:w="1872"/>
            <w:vAlign w:val="center"/>
            <w:tcMar>
              <w:top w:w="80" w:type="dxa"/>
              <w:bottom w:w="80" w:type="dxa"/>
              <w:left w:w="100" w:type="dxa"/>
              <w:right w:w="100" w:type="dxa"/>
            </w:tcMar>
            <w:shd w:fill="F1F5F8"/>
          </w:tcPr>
          <w:p>
            <w:pPr>
              <w:spacing w:after="0" w:line="280" w:lineRule="exact"/>
              <w:jc w:val="left"/>
            </w:pPr>
            <w:r>
              <w:rPr>
                <w:b w:val="0"/>
                <w:color w:val="000000"/>
                <w:sz w:val="20"/>
              </w:rPr>
              <w:t>25.6662</w:t>
            </w:r>
          </w:p>
        </w:tc>
        <w:tc>
          <w:tcPr>
            <w:tcW w:type="dxa" w:w="2160"/>
            <w:vAlign w:val="center"/>
            <w:tcMar>
              <w:top w:w="80" w:type="dxa"/>
              <w:bottom w:w="80" w:type="dxa"/>
              <w:left w:w="100" w:type="dxa"/>
              <w:right w:w="100" w:type="dxa"/>
            </w:tcMar>
            <w:shd w:fill="F1F5F8"/>
          </w:tcPr>
          <w:p>
            <w:pPr>
              <w:spacing w:after="0" w:line="280" w:lineRule="exact"/>
              <w:jc w:val="left"/>
            </w:pPr>
            <w:r>
              <w:rPr>
                <w:b w:val="0"/>
                <w:color w:val="000000"/>
                <w:sz w:val="20"/>
              </w:rPr>
              <w:t>6285.27</w:t>
            </w:r>
          </w:p>
        </w:tc>
      </w:tr>
      <w:tr>
        <w:trPr>
          <w:cantSplit/>
        </w:trPr>
        <w:tc>
          <w:tcPr>
            <w:tcW w:type="dxa" w:w="3600"/>
            <w:vAlign w:val="center"/>
            <w:tcMar>
              <w:top w:w="80" w:type="dxa"/>
              <w:bottom w:w="80" w:type="dxa"/>
              <w:left w:w="100" w:type="dxa"/>
              <w:right w:w="100" w:type="dxa"/>
            </w:tcMar>
            <w:shd w:fill="FFFFFF"/>
          </w:tcPr>
          <w:p>
            <w:pPr>
              <w:spacing w:after="0" w:line="280" w:lineRule="exact"/>
              <w:jc w:val="left"/>
            </w:pPr>
            <w:r>
              <w:rPr>
                <w:b w:val="0"/>
                <w:color w:val="000000"/>
                <w:sz w:val="20"/>
              </w:rPr>
              <w:t>A100 80GB×1</w:t>
              <w:br/>
              <w:t>pni2.3xlarge</w:t>
            </w:r>
          </w:p>
        </w:tc>
        <w:tc>
          <w:tcPr>
            <w:tcW w:type="dxa" w:w="2448"/>
            <w:vAlign w:val="center"/>
            <w:tcMar>
              <w:top w:w="80" w:type="dxa"/>
              <w:bottom w:w="80" w:type="dxa"/>
              <w:left w:w="100" w:type="dxa"/>
              <w:right w:w="100" w:type="dxa"/>
            </w:tcMar>
            <w:shd w:fill="FFFFFF"/>
          </w:tcPr>
          <w:p>
            <w:pPr>
              <w:spacing w:after="0" w:line="280" w:lineRule="exact"/>
              <w:jc w:val="left"/>
            </w:pPr>
            <w:r>
              <w:rPr>
                <w:b w:val="0"/>
                <w:color w:val="000000"/>
                <w:sz w:val="20"/>
              </w:rPr>
              <w:t>14 / 245GiB</w:t>
            </w:r>
          </w:p>
        </w:tc>
        <w:tc>
          <w:tcPr>
            <w:tcW w:type="dxa" w:w="1872"/>
            <w:vAlign w:val="center"/>
            <w:tcMar>
              <w:top w:w="80" w:type="dxa"/>
              <w:bottom w:w="80" w:type="dxa"/>
              <w:left w:w="100" w:type="dxa"/>
              <w:right w:w="100" w:type="dxa"/>
            </w:tcMar>
            <w:shd w:fill="FFFFFF"/>
          </w:tcPr>
          <w:p>
            <w:pPr>
              <w:spacing w:after="0" w:line="280" w:lineRule="exact"/>
              <w:jc w:val="left"/>
            </w:pPr>
            <w:r>
              <w:rPr>
                <w:b w:val="0"/>
                <w:color w:val="000000"/>
                <w:sz w:val="20"/>
              </w:rPr>
              <w:t>40.39</w:t>
            </w:r>
          </w:p>
        </w:tc>
        <w:tc>
          <w:tcPr>
            <w:tcW w:type="dxa" w:w="2160"/>
            <w:vAlign w:val="center"/>
            <w:tcMar>
              <w:top w:w="80" w:type="dxa"/>
              <w:bottom w:w="80" w:type="dxa"/>
              <w:left w:w="100" w:type="dxa"/>
              <w:right w:w="100" w:type="dxa"/>
            </w:tcMar>
            <w:shd w:fill="FFFFFF"/>
          </w:tcPr>
          <w:p>
            <w:pPr>
              <w:spacing w:after="0" w:line="280" w:lineRule="exact"/>
              <w:jc w:val="left"/>
            </w:pPr>
            <w:r>
              <w:rPr>
                <w:b w:val="0"/>
                <w:color w:val="000000"/>
                <w:sz w:val="20"/>
              </w:rPr>
              <w:t>19708</w:t>
            </w:r>
          </w:p>
        </w:tc>
      </w:tr>
      <w:tr>
        <w:trPr>
          <w:cantSplit/>
        </w:trPr>
        <w:tc>
          <w:tcPr>
            <w:tcW w:type="dxa" w:w="3600"/>
            <w:vAlign w:val="center"/>
            <w:tcMar>
              <w:top w:w="80" w:type="dxa"/>
              <w:bottom w:w="80" w:type="dxa"/>
              <w:left w:w="100" w:type="dxa"/>
              <w:right w:w="100" w:type="dxa"/>
            </w:tcMar>
            <w:shd w:fill="F1F5F8"/>
          </w:tcPr>
          <w:p>
            <w:pPr>
              <w:spacing w:after="0" w:line="280" w:lineRule="exact"/>
              <w:jc w:val="left"/>
            </w:pPr>
            <w:r>
              <w:rPr>
                <w:b w:val="0"/>
                <w:color w:val="000000"/>
                <w:sz w:val="20"/>
              </w:rPr>
              <w:t>A100 80GB×4</w:t>
              <w:br/>
              <w:t>pni2.14xlarge</w:t>
            </w:r>
          </w:p>
        </w:tc>
        <w:tc>
          <w:tcPr>
            <w:tcW w:type="dxa" w:w="2448"/>
            <w:vAlign w:val="center"/>
            <w:tcMar>
              <w:top w:w="80" w:type="dxa"/>
              <w:bottom w:w="80" w:type="dxa"/>
              <w:left w:w="100" w:type="dxa"/>
              <w:right w:w="100" w:type="dxa"/>
            </w:tcMar>
            <w:shd w:fill="F1F5F8"/>
          </w:tcPr>
          <w:p>
            <w:pPr>
              <w:spacing w:after="0" w:line="280" w:lineRule="exact"/>
              <w:jc w:val="left"/>
            </w:pPr>
            <w:r>
              <w:rPr>
                <w:b w:val="0"/>
                <w:color w:val="000000"/>
                <w:sz w:val="20"/>
              </w:rPr>
              <w:t>56 / 980GiB</w:t>
            </w:r>
          </w:p>
        </w:tc>
        <w:tc>
          <w:tcPr>
            <w:tcW w:type="dxa" w:w="1872"/>
            <w:vAlign w:val="center"/>
            <w:tcMar>
              <w:top w:w="80" w:type="dxa"/>
              <w:bottom w:w="80" w:type="dxa"/>
              <w:left w:w="100" w:type="dxa"/>
              <w:right w:w="100" w:type="dxa"/>
            </w:tcMar>
            <w:shd w:fill="F1F5F8"/>
          </w:tcPr>
          <w:p>
            <w:pPr>
              <w:spacing w:after="0" w:line="280" w:lineRule="exact"/>
              <w:jc w:val="left"/>
            </w:pPr>
            <w:r>
              <w:rPr>
                <w:b w:val="0"/>
                <w:color w:val="000000"/>
                <w:sz w:val="20"/>
              </w:rPr>
              <w:t>161.54</w:t>
            </w:r>
          </w:p>
        </w:tc>
        <w:tc>
          <w:tcPr>
            <w:tcW w:type="dxa" w:w="2160"/>
            <w:vAlign w:val="center"/>
            <w:tcMar>
              <w:top w:w="80" w:type="dxa"/>
              <w:bottom w:w="80" w:type="dxa"/>
              <w:left w:w="100" w:type="dxa"/>
              <w:right w:w="100" w:type="dxa"/>
            </w:tcMar>
            <w:shd w:fill="F1F5F8"/>
          </w:tcPr>
          <w:p>
            <w:pPr>
              <w:spacing w:after="0" w:line="280" w:lineRule="exact"/>
              <w:jc w:val="left"/>
            </w:pPr>
            <w:r>
              <w:rPr>
                <w:b w:val="0"/>
                <w:color w:val="000000"/>
                <w:sz w:val="20"/>
              </w:rPr>
              <w:t>78832</w:t>
            </w:r>
          </w:p>
        </w:tc>
      </w:tr>
      <w:tr>
        <w:trPr>
          <w:cantSplit/>
        </w:trPr>
        <w:tc>
          <w:tcPr>
            <w:tcW w:type="dxa" w:w="3600"/>
            <w:vAlign w:val="center"/>
            <w:tcMar>
              <w:top w:w="80" w:type="dxa"/>
              <w:bottom w:w="80" w:type="dxa"/>
              <w:left w:w="100" w:type="dxa"/>
              <w:right w:w="100" w:type="dxa"/>
            </w:tcMar>
            <w:shd w:fill="FFFFFF"/>
          </w:tcPr>
          <w:p>
            <w:pPr>
              <w:spacing w:after="0" w:line="280" w:lineRule="exact"/>
              <w:jc w:val="left"/>
            </w:pPr>
            <w:r>
              <w:rPr>
                <w:b w:val="0"/>
                <w:color w:val="000000"/>
                <w:sz w:val="20"/>
              </w:rPr>
              <w:t>A100 80GB×8</w:t>
              <w:br/>
              <w:t>pni2.28xlarge</w:t>
            </w:r>
          </w:p>
        </w:tc>
        <w:tc>
          <w:tcPr>
            <w:tcW w:type="dxa" w:w="2448"/>
            <w:vAlign w:val="center"/>
            <w:tcMar>
              <w:top w:w="80" w:type="dxa"/>
              <w:bottom w:w="80" w:type="dxa"/>
              <w:left w:w="100" w:type="dxa"/>
              <w:right w:w="100" w:type="dxa"/>
            </w:tcMar>
            <w:shd w:fill="FFFFFF"/>
          </w:tcPr>
          <w:p>
            <w:pPr>
              <w:spacing w:after="0" w:line="280" w:lineRule="exact"/>
              <w:jc w:val="left"/>
            </w:pPr>
            <w:r>
              <w:rPr>
                <w:b w:val="0"/>
                <w:color w:val="000000"/>
                <w:sz w:val="20"/>
              </w:rPr>
              <w:t>112 / 1960GiB</w:t>
            </w:r>
          </w:p>
        </w:tc>
        <w:tc>
          <w:tcPr>
            <w:tcW w:type="dxa" w:w="1872"/>
            <w:vAlign w:val="center"/>
            <w:tcMar>
              <w:top w:w="80" w:type="dxa"/>
              <w:bottom w:w="80" w:type="dxa"/>
              <w:left w:w="100" w:type="dxa"/>
              <w:right w:w="100" w:type="dxa"/>
            </w:tcMar>
            <w:shd w:fill="FFFFFF"/>
          </w:tcPr>
          <w:p>
            <w:pPr>
              <w:spacing w:after="0" w:line="280" w:lineRule="exact"/>
              <w:jc w:val="left"/>
            </w:pPr>
            <w:r>
              <w:rPr>
                <w:b w:val="0"/>
                <w:color w:val="000000"/>
                <w:sz w:val="20"/>
              </w:rPr>
              <w:t>323.08</w:t>
            </w:r>
          </w:p>
        </w:tc>
        <w:tc>
          <w:tcPr>
            <w:tcW w:type="dxa" w:w="2160"/>
            <w:vAlign w:val="center"/>
            <w:tcMar>
              <w:top w:w="80" w:type="dxa"/>
              <w:bottom w:w="80" w:type="dxa"/>
              <w:left w:w="100" w:type="dxa"/>
              <w:right w:w="100" w:type="dxa"/>
            </w:tcMar>
            <w:shd w:fill="FFFFFF"/>
          </w:tcPr>
          <w:p>
            <w:pPr>
              <w:spacing w:after="0" w:line="280" w:lineRule="exact"/>
              <w:jc w:val="left"/>
            </w:pPr>
            <w:r>
              <w:rPr>
                <w:b w:val="0"/>
                <w:color w:val="000000"/>
                <w:sz w:val="20"/>
              </w:rPr>
              <w:t>157664</w:t>
            </w:r>
          </w:p>
        </w:tc>
      </w:tr>
      <w:tr>
        <w:trPr>
          <w:cantSplit/>
        </w:trPr>
        <w:tc>
          <w:tcPr>
            <w:tcW w:type="dxa" w:w="3600"/>
            <w:vAlign w:val="center"/>
            <w:tcMar>
              <w:top w:w="80" w:type="dxa"/>
              <w:bottom w:w="80" w:type="dxa"/>
              <w:left w:w="100" w:type="dxa"/>
              <w:right w:w="100" w:type="dxa"/>
            </w:tcMar>
            <w:shd w:fill="F1F5F8"/>
          </w:tcPr>
          <w:p>
            <w:pPr>
              <w:spacing w:after="0" w:line="280" w:lineRule="exact"/>
              <w:jc w:val="left"/>
            </w:pPr>
            <w:r>
              <w:rPr>
                <w:b w:val="0"/>
                <w:color w:val="000000"/>
                <w:sz w:val="20"/>
              </w:rPr>
              <w:t>HPC A100 80GB×8</w:t>
              <w:br/>
              <w:t>hpcpni2.28xlarge</w:t>
            </w:r>
          </w:p>
        </w:tc>
        <w:tc>
          <w:tcPr>
            <w:tcW w:type="dxa" w:w="2448"/>
            <w:vAlign w:val="center"/>
            <w:tcMar>
              <w:top w:w="80" w:type="dxa"/>
              <w:bottom w:w="80" w:type="dxa"/>
              <w:left w:w="100" w:type="dxa"/>
              <w:right w:w="100" w:type="dxa"/>
            </w:tcMar>
            <w:shd w:fill="F1F5F8"/>
          </w:tcPr>
          <w:p>
            <w:pPr>
              <w:spacing w:after="0" w:line="280" w:lineRule="exact"/>
              <w:jc w:val="left"/>
            </w:pPr>
            <w:r>
              <w:rPr>
                <w:b w:val="0"/>
                <w:color w:val="000000"/>
                <w:sz w:val="20"/>
              </w:rPr>
              <w:t>112 / 1960GiB</w:t>
            </w:r>
          </w:p>
        </w:tc>
        <w:tc>
          <w:tcPr>
            <w:tcW w:type="dxa" w:w="1872"/>
            <w:vAlign w:val="center"/>
            <w:tcMar>
              <w:top w:w="80" w:type="dxa"/>
              <w:bottom w:w="80" w:type="dxa"/>
              <w:left w:w="100" w:type="dxa"/>
              <w:right w:w="100" w:type="dxa"/>
            </w:tcMar>
            <w:shd w:fill="F1F5F8"/>
          </w:tcPr>
          <w:p>
            <w:pPr>
              <w:spacing w:after="0" w:line="280" w:lineRule="exact"/>
              <w:jc w:val="left"/>
            </w:pPr>
            <w:r>
              <w:rPr>
                <w:b w:val="0"/>
                <w:color w:val="000000"/>
                <w:sz w:val="20"/>
              </w:rPr>
              <w:t>350.67</w:t>
            </w:r>
          </w:p>
        </w:tc>
        <w:tc>
          <w:tcPr>
            <w:tcW w:type="dxa" w:w="2160"/>
            <w:vAlign w:val="center"/>
            <w:tcMar>
              <w:top w:w="80" w:type="dxa"/>
              <w:bottom w:w="80" w:type="dxa"/>
              <w:left w:w="100" w:type="dxa"/>
              <w:right w:w="100" w:type="dxa"/>
            </w:tcMar>
            <w:shd w:fill="F1F5F8"/>
          </w:tcPr>
          <w:p>
            <w:pPr>
              <w:spacing w:after="0" w:line="280" w:lineRule="exact"/>
              <w:jc w:val="left"/>
            </w:pPr>
            <w:r>
              <w:rPr>
                <w:b w:val="0"/>
                <w:color w:val="000000"/>
                <w:sz w:val="20"/>
              </w:rPr>
              <w:t>171128</w:t>
            </w:r>
          </w:p>
        </w:tc>
      </w:tr>
    </w:tbl>
    <w:p>
      <w:pPr>
        <w:spacing w:after="40" w:line="96" w:lineRule="auto"/>
        <w:snapToGrid w:val="0"/>
      </w:pPr>
      <w:r>
        <w:rPr>
          <w:b w:val="0"/>
        </w:rPr>
      </w:r>
      <w:r>
        <w:rPr>
          <w:sz w:val="4"/>
        </w:rPr>
      </w:r>
    </w:p>
    <w:p>
      <w:pPr>
        <w:snapToGrid w:val="0"/>
      </w:pPr>
      <w:r>
        <w:rPr>
          <w:b w:val="0"/>
        </w:rPr>
        <w:t>例如，4卡 A100 计算资源连续开8小时，按表中刊例价约1292.32元；连续24小时约3876.96元。8卡普通A100实例开8小时约2584.64元。这里按小时累乘只是预算示例，不能拿它替代有单独优惠的包月价格，更不能当作H3生成一条视频所需的GPU时间。</w:t>
      </w:r>
    </w:p>
    <w:p>
      <w:pPr>
        <w:snapToGrid w:val="0"/>
      </w:pPr>
      <w:r>
        <w:rPr>
          <w:b w:val="0"/>
        </w:rPr>
        <w:t>H3公开GPU部署配方包括4×H100 80GB、4×H200 141GB等配置，对应各自的硬件与拓扑条件。上表用于比较不同GPU整机的租用预算量级。[3]</w:t>
      </w:r>
    </w:p>
    <w:p>
      <w:pPr>
        <w:pStyle w:val="Heading2"/>
        <w:snapToGrid w:val="0"/>
      </w:pPr>
      <w:r>
        <w:t>为什么便宜一点的卡也没有直接选</w:t>
      </w:r>
    </w:p>
    <w:p>
      <w:pPr>
        <w:snapToGrid w:val="0"/>
      </w:pPr>
      <w:r>
        <w:rPr>
          <w:b w:val="0"/>
        </w:rPr>
        <w:t>T4和V100的单卡整机看起来便宜，但所查机型的系统RAM只有16至32GiB，低于参考INT8卸载配方约75GB的主机RAM要求。V100/T4没有原生BF16加速。结合主机内存、软件架构与可用资源，我选择了大内存CPU部署路线。</w:t>
      </w:r>
    </w:p>
    <w:p>
      <w:bookmarkStart w:id="19" w:name="availability"/>
      <w:pPr>
        <w:pStyle w:val="Heading1"/>
        <w:pageBreakBefore/>
        <w:snapToGrid w:val="0"/>
      </w:pPr>
      <w:r>
        <w:t>02 从公司可用云资源中找到 CPU 路线</w:t>
      </w:r>
      <w:bookmarkEnd w:id="19"/>
    </w:p>
    <w:p>
      <w:pPr>
        <w:snapToGrid w:val="0"/>
      </w:pPr>
      <w:r>
        <w:rPr>
          <w:b w:val="0"/>
        </w:rPr>
        <w:t>接下来我查看公司已有云账号中的资源入口，先看 veMLP 的开发机、资源组和队列，再扩大到 GPU ECS，并检查 VKE/VCI 能否提供可用 GPU。每一步都同时看“当前身份能否直接使用”与“目标规格能否创建”，把权限、配额和库存分开记录。</w:t>
      </w:r>
    </w:p>
    <w:tbl>
      <w:tblPr>
        <w:tblW w:w="1008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2400"/>
        <w:gridCol w:w="7680"/>
      </w:tblGrid>
      <w:tr>
        <w:trPr>
          <w:cantSplit/>
          <w:tblHeader/>
        </w:trPr>
        <w:tc>
          <w:tcPr>
            <w:tcW w:w="2400" w:type="dxa"/>
            <w:vAlign w:val="center"/>
            <w:shd w:fill="18384B"/>
          </w:tcPr>
          <w:p>
            <w:pPr>
              <w:spacing w:after="0" w:line="270" w:lineRule="exact"/>
            </w:pPr>
            <w:r>
              <w:rPr>
                <w:rFonts w:ascii="Arial" w:hAnsi="Arial" w:eastAsia="Hiragino Sans GB"/>
                <w:sz w:val="21"/>
                <w:color w:val="FFFFFF"/>
                <w:b/>
              </w:rPr>
              <w:t>检查项</w:t>
            </w:r>
          </w:p>
        </w:tc>
        <w:tc>
          <w:tcPr>
            <w:tcW w:w="7680" w:type="dxa"/>
            <w:vAlign w:val="center"/>
            <w:shd w:fill="18384B"/>
          </w:tcPr>
          <w:p>
            <w:pPr>
              <w:spacing w:after="0" w:line="270" w:lineRule="exact"/>
            </w:pPr>
            <w:r>
              <w:rPr>
                <w:rFonts w:ascii="Arial" w:hAnsi="Arial" w:eastAsia="Hiragino Sans GB"/>
                <w:sz w:val="21"/>
                <w:color w:val="FFFFFF"/>
                <w:b/>
              </w:rPr>
              <w:t>本次观察与判断</w:t>
            </w:r>
          </w:p>
        </w:tc>
      </w:tr>
      <w:tr>
        <w:trPr>
          <w:cantSplit/>
        </w:trPr>
        <w:tc>
          <w:tcPr>
            <w:tcW w:w="2400" w:type="dxa"/>
            <w:vAlign w:val="center"/>
            <w:shd w:fill="FFFFFF"/>
          </w:tcPr>
          <w:p>
            <w:pPr>
              <w:spacing w:after="0" w:line="270" w:lineRule="exact"/>
            </w:pPr>
            <w:r>
              <w:rPr>
                <w:rFonts w:ascii="Arial" w:hAnsi="Arial" w:eastAsia="Hiragino Sans GB"/>
                <w:sz w:val="21"/>
                <w:color w:val="000000"/>
              </w:rPr>
              <w:t>veMLP 队列与权限</w:t>
            </w:r>
          </w:p>
        </w:tc>
        <w:tc>
          <w:tcPr>
            <w:tcW w:w="7680" w:type="dxa"/>
            <w:vAlign w:val="center"/>
            <w:shd w:fill="FFFFFF"/>
          </w:tcPr>
          <w:p>
            <w:pPr>
              <w:spacing w:after="0" w:line="270" w:lineRule="exact"/>
            </w:pPr>
            <w:r>
              <w:rPr>
                <w:rFonts w:ascii="Arial" w:hAnsi="Arial" w:eastAsia="Hiragino Sans GB"/>
                <w:sz w:val="21"/>
                <w:color w:val="000000"/>
              </w:rPr>
              <w:t>有 GPU 额度展示，但遇到申请加入队列、开发机权限或跨服务授权提示，也有空队列情况</w:t>
            </w:r>
          </w:p>
        </w:tc>
      </w:tr>
      <w:tr>
        <w:trPr>
          <w:cantSplit/>
        </w:trPr>
        <w:tc>
          <w:tcPr>
            <w:tcW w:w="2400" w:type="dxa"/>
            <w:vAlign w:val="center"/>
            <w:shd w:fill="F0F5F8"/>
          </w:tcPr>
          <w:p>
            <w:pPr>
              <w:spacing w:after="0" w:line="270" w:lineRule="exact"/>
            </w:pPr>
            <w:r>
              <w:rPr>
                <w:rFonts w:ascii="Arial" w:hAnsi="Arial" w:eastAsia="Hiragino Sans GB"/>
                <w:sz w:val="21"/>
                <w:color w:val="000000"/>
              </w:rPr>
              <w:t>ECS GPU 库存</w:t>
            </w:r>
          </w:p>
        </w:tc>
        <w:tc>
          <w:tcPr>
            <w:tcW w:w="7680" w:type="dxa"/>
            <w:vAlign w:val="center"/>
            <w:shd w:fill="F0F5F8"/>
          </w:tcPr>
          <w:p>
            <w:pPr>
              <w:spacing w:after="0" w:line="270" w:lineRule="exact"/>
            </w:pPr>
            <w:r>
              <w:rPr>
                <w:rFonts w:ascii="Arial" w:hAnsi="Arial" w:eastAsia="Hiragino Sans GB"/>
                <w:sz w:val="21"/>
                <w:color w:val="000000"/>
              </w:rPr>
              <w:t>所查部分 A100、A10、HPC 等规格显示售罄或无可用区；换产品入口不能直接获得这些卡</w:t>
            </w:r>
          </w:p>
        </w:tc>
      </w:tr>
      <w:tr>
        <w:trPr>
          <w:cantSplit/>
        </w:trPr>
        <w:tc>
          <w:tcPr>
            <w:tcW w:w="2400" w:type="dxa"/>
            <w:vAlign w:val="center"/>
            <w:shd w:fill="FFFFFF"/>
          </w:tcPr>
          <w:p>
            <w:pPr>
              <w:spacing w:after="0" w:line="270" w:lineRule="exact"/>
            </w:pPr>
            <w:r>
              <w:rPr>
                <w:rFonts w:ascii="Arial" w:hAnsi="Arial" w:eastAsia="Hiragino Sans GB"/>
                <w:sz w:val="21"/>
                <w:color w:val="000000"/>
              </w:rPr>
              <w:t>可选 V100 与 T4</w:t>
            </w:r>
          </w:p>
        </w:tc>
        <w:tc>
          <w:tcPr>
            <w:tcW w:w="7680" w:type="dxa"/>
            <w:vAlign w:val="center"/>
            <w:shd w:fill="FFFFFF"/>
          </w:tcPr>
          <w:p>
            <w:pPr>
              <w:spacing w:after="0" w:line="270" w:lineRule="exact"/>
            </w:pPr>
            <w:r>
              <w:rPr>
                <w:rFonts w:ascii="Arial" w:hAnsi="Arial" w:eastAsia="Hiragino Sans GB"/>
                <w:sz w:val="21"/>
                <w:color w:val="000000"/>
              </w:rPr>
              <w:t>部分创建表单可选，但整机 RAM 与精度条件仍需对照模型配方，不能只看显存</w:t>
            </w:r>
          </w:p>
        </w:tc>
      </w:tr>
      <w:tr>
        <w:trPr>
          <w:cantSplit/>
        </w:trPr>
        <w:tc>
          <w:tcPr>
            <w:tcW w:w="2400" w:type="dxa"/>
            <w:vAlign w:val="center"/>
            <w:shd w:fill="F0F5F8"/>
          </w:tcPr>
          <w:p>
            <w:pPr>
              <w:spacing w:after="0" w:line="270" w:lineRule="exact"/>
            </w:pPr>
            <w:r>
              <w:rPr>
                <w:rFonts w:ascii="Arial" w:hAnsi="Arial" w:eastAsia="Hiragino Sans GB"/>
                <w:sz w:val="21"/>
                <w:color w:val="000000"/>
              </w:rPr>
              <w:t>VKE 与 VCI</w:t>
            </w:r>
          </w:p>
        </w:tc>
        <w:tc>
          <w:tcPr>
            <w:tcW w:w="7680" w:type="dxa"/>
            <w:vAlign w:val="center"/>
            <w:shd w:fill="F0F5F8"/>
          </w:tcPr>
          <w:p>
            <w:pPr>
              <w:spacing w:after="0" w:line="270" w:lineRule="exact"/>
            </w:pPr>
            <w:r>
              <w:rPr>
                <w:rFonts w:ascii="Arial" w:hAnsi="Arial" w:eastAsia="Hiragino Sans GB"/>
                <w:sz w:val="21"/>
                <w:color w:val="000000"/>
              </w:rPr>
              <w:t>集群、工作负载或额度展示不能替代实际可分配的 GPU 节点</w:t>
            </w:r>
          </w:p>
        </w:tc>
      </w:tr>
      <w:tr>
        <w:trPr>
          <w:cantSplit/>
        </w:trPr>
        <w:tc>
          <w:tcPr>
            <w:tcW w:w="2400" w:type="dxa"/>
            <w:vAlign w:val="center"/>
            <w:shd w:fill="FFFFFF"/>
          </w:tcPr>
          <w:p>
            <w:pPr>
              <w:spacing w:after="0" w:line="270" w:lineRule="exact"/>
            </w:pPr>
            <w:r>
              <w:rPr>
                <w:rFonts w:ascii="Arial" w:hAnsi="Arial" w:eastAsia="Hiragino Sans GB"/>
                <w:sz w:val="21"/>
                <w:color w:val="000000"/>
              </w:rPr>
              <w:t>大内存 CPU ECS</w:t>
            </w:r>
          </w:p>
        </w:tc>
        <w:tc>
          <w:tcPr>
            <w:tcW w:w="7680" w:type="dxa"/>
            <w:vAlign w:val="center"/>
            <w:shd w:fill="FFFFFF"/>
          </w:tcPr>
          <w:p>
            <w:pPr>
              <w:spacing w:after="0" w:line="270" w:lineRule="exact"/>
            </w:pPr>
            <w:r>
              <w:rPr>
                <w:rFonts w:ascii="Arial" w:hAnsi="Arial" w:eastAsia="Hiragino Sans GB"/>
                <w:sz w:val="21"/>
                <w:color w:val="000000"/>
              </w:rPr>
              <w:t>现有授权下能够创建 160 vCPU、768GiB 内存的实例，提供了可落实的模型承载方案</w:t>
            </w:r>
          </w:p>
        </w:tc>
      </w:tr>
    </w:tbl>
    <w:p>
      <w:pPr>
        <w:spacing w:after="40" w:line="96" w:lineRule="auto"/>
        <w:snapToGrid w:val="0"/>
      </w:pPr>
      <w:r>
        <w:rPr>
          <w:b w:val="0"/>
        </w:rPr>
      </w:r>
      <w:r>
        <w:rPr>
          <w:sz w:val="4"/>
        </w:rPr>
      </w:r>
    </w:p>
    <w:p>
      <w:pPr>
        <w:snapToGrid w:val="0"/>
      </w:pPr>
      <w:r>
        <w:rPr>
          <w:b w:val="0"/>
        </w:rPr>
        <w:t>遇到加入队列和跨服务授权时，我没有提交新的权限申请，而是继续筛选已有授权能直接使用的资源。GPU 库存与限制反映的是本次查询范围和时间；公开购买条件、配额与售罄说明用于辅助理解这些结果。[4、5、6、7]</w:t>
      </w:r>
    </w:p>
    <w:p>
      <w:pPr>
        <w:pStyle w:val="Heading2"/>
        <w:snapToGrid w:val="0"/>
      </w:pPr>
      <w:r>
        <w:t>为什么最终落到 CPU ECS</w:t>
      </w:r>
    </w:p>
    <w:p>
      <w:pPr>
        <w:snapToGrid w:val="0"/>
      </w:pPr>
      <w:r>
        <w:rPr>
          <w:b w:val="0"/>
        </w:rPr>
        <w:t>veMLP 适合管理镜像、开发环境和资源队列；ECS 可以直接控制操作系统与存储；VKE/VCI 提供容器运行入口。我需要的是实际可分配的计算资源，因此继续对照整机配置。最终发现公司可用账号能开出大核数、大内存 CPU，内存容量首先解决了模型承载问题。</w:t>
      </w:r>
    </w:p>
    <w:p>
      <w:pPr>
        <w:snapToGrid w:val="0"/>
      </w:pPr>
      <w:r>
        <w:rPr>
          <w:b w:val="0"/>
        </w:rPr>
        <w:t>2026年10月18日，我创建了 160 vCPU、768GiB 的 CPU ECS，配 80GiB 系统盘和 500GiB 数据盘。进入机器后确认是 80 物理核、160 线程与 2 NUMA。到这一步，CPU 才成为具体部署选择：先用容量余量装下模型，再以环境检查、短任务和完整生成逐步落实。</w:t>
      </w:r>
    </w:p>
    <w:p>
      <w:bookmarkStart w:id="26" w:name="model"/>
      <w:pPr>
        <w:pStyle w:val="Heading1"/>
        <w:pageBreakBefore/>
        <w:snapToGrid w:val="0"/>
      </w:pPr>
      <w:r>
        <w:t>03 确定 CPU 执行框架与主机规格</w:t>
      </w:r>
      <w:bookmarkEnd w:id="26"/>
    </w:p>
    <w:p>
      <w:pPr>
        <w:snapToGrid w:val="0"/>
      </w:pPr>
      <w:r>
        <w:rPr>
          <w:b w:val="0"/>
        </w:rPr>
        <w:t>CPU 路线确定后，生成目标进一步明确为单图 Ref2VA：输入人物或角色参考图，用提示词安排新的场景与动作。参考图作为条件，不固定为视频第0帧。后续围绕对应 Transformer 分支、共享编码器和双 VAE 准备运行环境。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704"/>
      </w:tblGrid>
      <w:tr>
        <w:trPr>
          <w:cantSplit/>
          <w:tblHeader/>
        </w:trPr>
        <w:tc>
          <w:tcPr>
            <w:tcW w:type="dxa" w:w="2376"/>
            <w:vAlign w:val="center"/>
            <w:tcMar>
              <w:top w:w="80" w:type="dxa"/>
              <w:bottom w:w="80" w:type="dxa"/>
              <w:left w:w="100" w:type="dxa"/>
              <w:right w:w="100" w:type="dxa"/>
            </w:tcMar>
            <w:shd w:fill="18354B"/>
          </w:tcPr>
          <w:p>
            <w:pPr>
              <w:spacing w:after="0" w:line="280" w:lineRule="exact"/>
              <w:jc w:val="left"/>
            </w:pPr>
            <w:r>
              <w:rPr>
                <w:b/>
                <w:color w:val="FFFFFF"/>
                <w:sz w:val="20"/>
              </w:rPr>
              <w:t>概念</w:t>
            </w:r>
          </w:p>
        </w:tc>
        <w:tc>
          <w:tcPr>
            <w:tcW w:type="dxa" w:w="7704"/>
            <w:vAlign w:val="center"/>
            <w:tcMar>
              <w:top w:w="80" w:type="dxa"/>
              <w:bottom w:w="80" w:type="dxa"/>
              <w:left w:w="100" w:type="dxa"/>
              <w:right w:w="100" w:type="dxa"/>
            </w:tcMar>
            <w:shd w:fill="18354B"/>
          </w:tcPr>
          <w:p>
            <w:pPr>
              <w:spacing w:after="0" w:line="280" w:lineRule="exact"/>
              <w:jc w:val="left"/>
            </w:pPr>
            <w:r>
              <w:rPr>
                <w:b/>
                <w:color w:val="FFFFFF"/>
                <w:sz w:val="20"/>
              </w:rPr>
              <w:t>对部署的实际影响</w:t>
            </w:r>
          </w:p>
        </w:tc>
      </w:tr>
      <w:tr>
        <w:trPr>
          <w:cantSplit/>
        </w:trPr>
        <w:tc>
          <w:tcPr>
            <w:tcW w:type="dxa" w:w="2376"/>
            <w:vAlign w:val="center"/>
            <w:tcMar>
              <w:top w:w="80" w:type="dxa"/>
              <w:bottom w:w="80" w:type="dxa"/>
              <w:left w:w="100" w:type="dxa"/>
              <w:right w:w="100" w:type="dxa"/>
            </w:tcMar>
            <w:shd w:fill="FFFFFF"/>
          </w:tcPr>
          <w:p>
            <w:pPr>
              <w:spacing w:after="0" w:line="280" w:lineRule="exact"/>
              <w:jc w:val="left"/>
            </w:pPr>
            <w:r>
              <w:rPr>
                <w:b w:val="0"/>
                <w:color w:val="000000"/>
                <w:sz w:val="20"/>
              </w:rPr>
              <w:t>FL2VA与T2VA</w:t>
            </w:r>
          </w:p>
        </w:tc>
        <w:tc>
          <w:tcPr>
            <w:tcW w:type="dxa" w:w="7704"/>
            <w:vAlign w:val="center"/>
            <w:tcMar>
              <w:top w:w="80" w:type="dxa"/>
              <w:bottom w:w="80" w:type="dxa"/>
              <w:left w:w="100" w:type="dxa"/>
              <w:right w:w="100" w:type="dxa"/>
            </w:tcMar>
            <w:shd w:fill="FFFFFF"/>
          </w:tcPr>
          <w:p>
            <w:pPr>
              <w:spacing w:after="0" w:line="280" w:lineRule="exact"/>
              <w:jc w:val="left"/>
            </w:pPr>
            <w:r>
              <w:rPr>
                <w:b w:val="0"/>
                <w:color w:val="000000"/>
                <w:sz w:val="20"/>
              </w:rPr>
              <w:t>首尾帧条件和文生音视频走相应Transformer路径；适合先做基础连通性检查</w:t>
            </w:r>
          </w:p>
        </w:tc>
      </w:tr>
      <w:tr>
        <w:trPr>
          <w:cantSplit/>
        </w:trPr>
        <w:tc>
          <w:tcPr>
            <w:tcW w:type="dxa" w:w="2376"/>
            <w:vAlign w:val="center"/>
            <w:tcMar>
              <w:top w:w="80" w:type="dxa"/>
              <w:bottom w:w="80" w:type="dxa"/>
              <w:left w:w="100" w:type="dxa"/>
              <w:right w:w="100" w:type="dxa"/>
            </w:tcMar>
            <w:shd w:fill="F1F5F8"/>
          </w:tcPr>
          <w:p>
            <w:pPr>
              <w:spacing w:after="0" w:line="280" w:lineRule="exact"/>
              <w:jc w:val="left"/>
            </w:pPr>
            <w:r>
              <w:rPr>
                <w:b w:val="0"/>
                <w:color w:val="000000"/>
                <w:sz w:val="20"/>
              </w:rPr>
              <w:t>Ref2VA</w:t>
            </w:r>
          </w:p>
        </w:tc>
        <w:tc>
          <w:tcPr>
            <w:tcW w:type="dxa" w:w="7704"/>
            <w:vAlign w:val="center"/>
            <w:tcMar>
              <w:top w:w="80" w:type="dxa"/>
              <w:bottom w:w="80" w:type="dxa"/>
              <w:left w:w="100" w:type="dxa"/>
              <w:right w:w="100" w:type="dxa"/>
            </w:tcMar>
            <w:shd w:fill="F1F5F8"/>
          </w:tcPr>
          <w:p>
            <w:pPr>
              <w:spacing w:after="0" w:line="280" w:lineRule="exact"/>
              <w:jc w:val="left"/>
            </w:pPr>
            <w:r>
              <w:rPr>
                <w:b w:val="0"/>
                <w:color w:val="000000"/>
                <w:sz w:val="20"/>
              </w:rPr>
              <w:t>使用参考条件和transformer_ref；本次正式目标是单张图参考生成</w:t>
            </w:r>
          </w:p>
        </w:tc>
      </w:tr>
      <w:tr>
        <w:trPr>
          <w:cantSplit/>
        </w:trPr>
        <w:tc>
          <w:tcPr>
            <w:tcW w:type="dxa" w:w="2376"/>
            <w:vAlign w:val="center"/>
            <w:tcMar>
              <w:top w:w="80" w:type="dxa"/>
              <w:bottom w:w="80" w:type="dxa"/>
              <w:left w:w="100" w:type="dxa"/>
              <w:right w:w="100" w:type="dxa"/>
            </w:tcMar>
            <w:shd w:fill="FFFFFF"/>
          </w:tcPr>
          <w:p>
            <w:pPr>
              <w:spacing w:after="0" w:line="280" w:lineRule="exact"/>
              <w:jc w:val="left"/>
            </w:pPr>
            <w:r>
              <w:rPr>
                <w:b w:val="0"/>
                <w:color w:val="000000"/>
                <w:sz w:val="20"/>
              </w:rPr>
              <w:t>完整模型组件</w:t>
            </w:r>
          </w:p>
        </w:tc>
        <w:tc>
          <w:tcPr>
            <w:tcW w:type="dxa" w:w="7704"/>
            <w:vAlign w:val="center"/>
            <w:tcMar>
              <w:top w:w="80" w:type="dxa"/>
              <w:bottom w:w="80" w:type="dxa"/>
              <w:left w:w="100" w:type="dxa"/>
              <w:right w:w="100" w:type="dxa"/>
            </w:tcMar>
            <w:shd w:fill="FFFFFF"/>
          </w:tcPr>
          <w:p>
            <w:pPr>
              <w:spacing w:after="0" w:line="280" w:lineRule="exact"/>
              <w:jc w:val="left"/>
            </w:pPr>
            <w:r>
              <w:rPr>
                <w:b w:val="0"/>
                <w:color w:val="000000"/>
                <w:sz w:val="20"/>
              </w:rPr>
              <w:t>除Transformer外，还需要文本编码器、tokenizer/processor、双VAE和调度器</w:t>
            </w:r>
          </w:p>
        </w:tc>
      </w:tr>
      <w:tr>
        <w:trPr>
          <w:cantSplit/>
        </w:trPr>
        <w:tc>
          <w:tcPr>
            <w:tcW w:type="dxa" w:w="2376"/>
            <w:vAlign w:val="center"/>
            <w:tcMar>
              <w:top w:w="80" w:type="dxa"/>
              <w:bottom w:w="80" w:type="dxa"/>
              <w:left w:w="100" w:type="dxa"/>
              <w:right w:w="100" w:type="dxa"/>
            </w:tcMar>
            <w:shd w:fill="F1F5F8"/>
          </w:tcPr>
          <w:p>
            <w:pPr>
              <w:spacing w:after="0" w:line="280" w:lineRule="exact"/>
              <w:jc w:val="left"/>
            </w:pPr>
            <w:r>
              <w:rPr>
                <w:b w:val="0"/>
                <w:color w:val="000000"/>
                <w:sz w:val="20"/>
              </w:rPr>
              <w:t>框架与权重</w:t>
            </w:r>
          </w:p>
        </w:tc>
        <w:tc>
          <w:tcPr>
            <w:tcW w:type="dxa" w:w="7704"/>
            <w:vAlign w:val="center"/>
            <w:tcMar>
              <w:top w:w="80" w:type="dxa"/>
              <w:bottom w:w="80" w:type="dxa"/>
              <w:left w:w="100" w:type="dxa"/>
              <w:right w:w="100" w:type="dxa"/>
            </w:tcMar>
            <w:shd w:fill="F1F5F8"/>
          </w:tcPr>
          <w:p>
            <w:pPr>
              <w:spacing w:after="0" w:line="280" w:lineRule="exact"/>
              <w:jc w:val="left"/>
            </w:pPr>
            <w:r>
              <w:rPr>
                <w:b w:val="0"/>
                <w:color w:val="000000"/>
                <w:sz w:val="20"/>
              </w:rPr>
              <w:t>框架决定如何加载、调度和执行；权重、网络结构及条件输入共同决定实际生成行为</w:t>
            </w:r>
          </w:p>
        </w:tc>
      </w:tr>
      <w:tr>
        <w:trPr>
          <w:cantSplit/>
        </w:trPr>
        <w:tc>
          <w:tcPr>
            <w:tcW w:type="dxa" w:w="2376"/>
            <w:vAlign w:val="center"/>
            <w:tcMar>
              <w:top w:w="80" w:type="dxa"/>
              <w:bottom w:w="80" w:type="dxa"/>
              <w:left w:w="100" w:type="dxa"/>
              <w:right w:w="100" w:type="dxa"/>
            </w:tcMar>
            <w:shd w:fill="FFFFFF"/>
          </w:tcPr>
          <w:p>
            <w:pPr>
              <w:spacing w:after="0" w:line="280" w:lineRule="exact"/>
              <w:jc w:val="left"/>
            </w:pPr>
            <w:r>
              <w:rPr>
                <w:b w:val="0"/>
                <w:color w:val="000000"/>
                <w:sz w:val="20"/>
              </w:rPr>
              <w:t>自部署边界</w:t>
            </w:r>
          </w:p>
        </w:tc>
        <w:tc>
          <w:tcPr>
            <w:tcW w:type="dxa" w:w="7704"/>
            <w:vAlign w:val="center"/>
            <w:tcMar>
              <w:top w:w="80" w:type="dxa"/>
              <w:bottom w:w="80" w:type="dxa"/>
              <w:left w:w="100" w:type="dxa"/>
              <w:right w:w="100" w:type="dxa"/>
            </w:tcMar>
            <w:shd w:fill="FFFFFF"/>
          </w:tcPr>
          <w:p>
            <w:pPr>
              <w:spacing w:after="0" w:line="280" w:lineRule="exact"/>
              <w:jc w:val="left"/>
            </w:pPr>
            <w:r>
              <w:rPr>
                <w:b w:val="0"/>
                <w:color w:val="000000"/>
                <w:sz w:val="20"/>
              </w:rPr>
              <w:t>开放权重不自动包含托管产品的提示词增强、2K再生成等附加能力；许可仍以官方LICENSE为准</w:t>
            </w:r>
          </w:p>
        </w:tc>
      </w:tr>
    </w:tbl>
    <w:p>
      <w:pPr>
        <w:spacing w:after="40" w:line="96" w:lineRule="auto"/>
        <w:snapToGrid w:val="0"/>
      </w:pPr>
      <w:r>
        <w:rPr>
          <w:b w:val="0"/>
        </w:rPr>
      </w:r>
      <w:r>
        <w:rPr>
          <w:sz w:val="4"/>
        </w:rPr>
      </w:r>
    </w:p>
    <w:p>
      <w:pPr>
        <w:pStyle w:val="Heading2"/>
        <w:snapToGrid w:val="0"/>
      </w:pPr>
      <w:r>
        <w:t>为什么选 Modular Diffusers</w:t>
      </w:r>
    </w:p>
    <w:p>
      <w:pPr>
        <w:snapToGrid w:val="0"/>
      </w:pPr>
      <w:r>
        <w:rPr>
          <w:b w:val="0"/>
        </w:rPr>
        <w:t>对CPU实验，我需要清楚地指定设备、精度、attention后端，并在每一步记录时间和内存。Modular Diffusers的组件化接口适合这件事。最终使用PyTorch CPU、native attention，并让Qwen3-VL采用SDPA。SGLang Diffusion保留为GPU服务路线；TensorRT针对NVIDIA GPU优化，不是本轮CPU执行入口；ComfyUI是图形化备选，但没有成为这次实测链路。</w:t>
      </w:r>
    </w:p>
    <w:p>
      <w:pPr>
        <w:pStyle w:val="Heading2"/>
        <w:snapToGrid w:val="0"/>
      </w:pPr>
      <w:r>
        <w:t>我选择了什么 CPU 主机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704"/>
      </w:tblGrid>
      <w:tr>
        <w:trPr>
          <w:cantSplit/>
          <w:tblHeader/>
        </w:trPr>
        <w:tc>
          <w:tcPr>
            <w:tcW w:type="dxa" w:w="2376"/>
            <w:vAlign w:val="center"/>
            <w:tcMar>
              <w:top w:w="80" w:type="dxa"/>
              <w:bottom w:w="80" w:type="dxa"/>
              <w:left w:w="100" w:type="dxa"/>
              <w:right w:w="100" w:type="dxa"/>
            </w:tcMar>
            <w:shd w:fill="18354B"/>
          </w:tcPr>
          <w:p>
            <w:pPr>
              <w:spacing w:after="0" w:line="280" w:lineRule="exact"/>
              <w:jc w:val="left"/>
            </w:pPr>
            <w:r>
              <w:rPr>
                <w:b/>
                <w:color w:val="FFFFFF"/>
                <w:sz w:val="20"/>
              </w:rPr>
              <w:t>项目</w:t>
            </w:r>
          </w:p>
        </w:tc>
        <w:tc>
          <w:tcPr>
            <w:tcW w:type="dxa" w:w="7704"/>
            <w:vAlign w:val="center"/>
            <w:tcMar>
              <w:top w:w="80" w:type="dxa"/>
              <w:bottom w:w="80" w:type="dxa"/>
              <w:left w:w="100" w:type="dxa"/>
              <w:right w:w="100" w:type="dxa"/>
            </w:tcMar>
            <w:shd w:fill="18354B"/>
          </w:tcPr>
          <w:p>
            <w:pPr>
              <w:spacing w:after="0" w:line="280" w:lineRule="exact"/>
              <w:jc w:val="left"/>
            </w:pPr>
            <w:r>
              <w:rPr>
                <w:b/>
                <w:color w:val="FFFFFF"/>
                <w:sz w:val="20"/>
              </w:rPr>
              <w:t>本次配置</w:t>
            </w:r>
          </w:p>
        </w:tc>
      </w:tr>
      <w:tr>
        <w:trPr>
          <w:cantSplit/>
        </w:trPr>
        <w:tc>
          <w:tcPr>
            <w:tcW w:type="dxa" w:w="2376"/>
            <w:vAlign w:val="center"/>
            <w:tcMar>
              <w:top w:w="80" w:type="dxa"/>
              <w:bottom w:w="80" w:type="dxa"/>
              <w:left w:w="100" w:type="dxa"/>
              <w:right w:w="100" w:type="dxa"/>
            </w:tcMar>
            <w:shd w:fill="FFFFFF"/>
          </w:tcPr>
          <w:p>
            <w:pPr>
              <w:spacing w:after="0" w:line="280" w:lineRule="exact"/>
              <w:jc w:val="left"/>
            </w:pPr>
            <w:r>
              <w:rPr>
                <w:b w:val="0"/>
                <w:color w:val="000000"/>
                <w:sz w:val="20"/>
              </w:rPr>
              <w:t>ECS规格</w:t>
            </w:r>
          </w:p>
        </w:tc>
        <w:tc>
          <w:tcPr>
            <w:tcW w:type="dxa" w:w="7704"/>
            <w:vAlign w:val="center"/>
            <w:tcMar>
              <w:top w:w="80" w:type="dxa"/>
              <w:bottom w:w="80" w:type="dxa"/>
              <w:left w:w="100" w:type="dxa"/>
              <w:right w:w="100" w:type="dxa"/>
            </w:tcMar>
            <w:shd w:fill="FFFFFF"/>
          </w:tcPr>
          <w:p>
            <w:pPr>
              <w:spacing w:after="0" w:line="280" w:lineRule="exact"/>
              <w:jc w:val="left"/>
            </w:pPr>
            <w:r>
              <w:rPr>
                <w:b w:val="0"/>
                <w:color w:val="000000"/>
                <w:sz w:val="20"/>
              </w:rPr>
              <w:t>ecs.g4i.40xlarge；160 vCPU / 768GiB</w:t>
            </w:r>
          </w:p>
        </w:tc>
      </w:tr>
      <w:tr>
        <w:trPr>
          <w:cantSplit/>
        </w:trPr>
        <w:tc>
          <w:tcPr>
            <w:tcW w:type="dxa" w:w="2376"/>
            <w:vAlign w:val="center"/>
            <w:tcMar>
              <w:top w:w="80" w:type="dxa"/>
              <w:bottom w:w="80" w:type="dxa"/>
              <w:left w:w="100" w:type="dxa"/>
              <w:right w:w="100" w:type="dxa"/>
            </w:tcMar>
            <w:shd w:fill="F1F5F8"/>
          </w:tcPr>
          <w:p>
            <w:pPr>
              <w:spacing w:after="0" w:line="280" w:lineRule="exact"/>
              <w:jc w:val="left"/>
            </w:pPr>
            <w:r>
              <w:rPr>
                <w:b w:val="0"/>
                <w:color w:val="000000"/>
                <w:sz w:val="20"/>
              </w:rPr>
              <w:t>实际CPU</w:t>
            </w:r>
          </w:p>
        </w:tc>
        <w:tc>
          <w:tcPr>
            <w:tcW w:type="dxa" w:w="7704"/>
            <w:vAlign w:val="center"/>
            <w:tcMar>
              <w:top w:w="80" w:type="dxa"/>
              <w:bottom w:w="80" w:type="dxa"/>
              <w:left w:w="100" w:type="dxa"/>
              <w:right w:w="100" w:type="dxa"/>
            </w:tcMar>
            <w:shd w:fill="F1F5F8"/>
          </w:tcPr>
          <w:p>
            <w:pPr>
              <w:spacing w:after="0" w:line="280" w:lineRule="exact"/>
              <w:jc w:val="left"/>
            </w:pPr>
            <w:r>
              <w:rPr>
                <w:b w:val="0"/>
                <w:color w:val="000000"/>
                <w:sz w:val="20"/>
              </w:rPr>
              <w:t>Xeon 6986P-C；80物理核、160线程、2 NUMA</w:t>
            </w:r>
          </w:p>
        </w:tc>
      </w:tr>
      <w:tr>
        <w:trPr>
          <w:cantSplit/>
        </w:trPr>
        <w:tc>
          <w:tcPr>
            <w:tcW w:type="dxa" w:w="2376"/>
            <w:vAlign w:val="center"/>
            <w:tcMar>
              <w:top w:w="80" w:type="dxa"/>
              <w:bottom w:w="80" w:type="dxa"/>
              <w:left w:w="100" w:type="dxa"/>
              <w:right w:w="100" w:type="dxa"/>
            </w:tcMar>
            <w:shd w:fill="FFFFFF"/>
          </w:tcPr>
          <w:p>
            <w:pPr>
              <w:spacing w:after="0" w:line="280" w:lineRule="exact"/>
              <w:jc w:val="left"/>
            </w:pPr>
            <w:r>
              <w:rPr>
                <w:b w:val="0"/>
                <w:color w:val="000000"/>
                <w:sz w:val="20"/>
              </w:rPr>
              <w:t>操作系统与存储</w:t>
            </w:r>
          </w:p>
        </w:tc>
        <w:tc>
          <w:tcPr>
            <w:tcW w:type="dxa" w:w="7704"/>
            <w:vAlign w:val="center"/>
            <w:tcMar>
              <w:top w:w="80" w:type="dxa"/>
              <w:bottom w:w="80" w:type="dxa"/>
              <w:left w:w="100" w:type="dxa"/>
              <w:right w:w="100" w:type="dxa"/>
            </w:tcMar>
            <w:shd w:fill="FFFFFF"/>
          </w:tcPr>
          <w:p>
            <w:pPr>
              <w:spacing w:after="0" w:line="280" w:lineRule="exact"/>
              <w:jc w:val="left"/>
            </w:pPr>
            <w:r>
              <w:rPr>
                <w:b w:val="0"/>
                <w:color w:val="000000"/>
                <w:sz w:val="20"/>
              </w:rPr>
              <w:t>Ubuntu 24.04；80GiB系统盘、500GiB持久数据盘</w:t>
            </w:r>
          </w:p>
        </w:tc>
      </w:tr>
      <w:tr>
        <w:trPr>
          <w:cantSplit/>
        </w:trPr>
        <w:tc>
          <w:tcPr>
            <w:tcW w:type="dxa" w:w="2376"/>
            <w:vAlign w:val="center"/>
            <w:tcMar>
              <w:top w:w="80" w:type="dxa"/>
              <w:bottom w:w="80" w:type="dxa"/>
              <w:left w:w="100" w:type="dxa"/>
              <w:right w:w="100" w:type="dxa"/>
            </w:tcMar>
            <w:shd w:fill="F1F5F8"/>
          </w:tcPr>
          <w:p>
            <w:pPr>
              <w:spacing w:after="0" w:line="280" w:lineRule="exact"/>
              <w:jc w:val="left"/>
            </w:pPr>
            <w:r>
              <w:rPr>
                <w:b w:val="0"/>
                <w:color w:val="000000"/>
                <w:sz w:val="20"/>
              </w:rPr>
              <w:t>执行配置</w:t>
            </w:r>
          </w:p>
        </w:tc>
        <w:tc>
          <w:tcPr>
            <w:tcW w:type="dxa" w:w="7704"/>
            <w:vAlign w:val="center"/>
            <w:tcMar>
              <w:top w:w="80" w:type="dxa"/>
              <w:bottom w:w="80" w:type="dxa"/>
              <w:left w:w="100" w:type="dxa"/>
              <w:right w:w="100" w:type="dxa"/>
            </w:tcMar>
            <w:shd w:fill="F1F5F8"/>
          </w:tcPr>
          <w:p>
            <w:pPr>
              <w:spacing w:after="0" w:line="280" w:lineRule="exact"/>
              <w:jc w:val="left"/>
            </w:pPr>
            <w:r>
              <w:rPr>
                <w:b w:val="0"/>
                <w:color w:val="000000"/>
                <w:sz w:val="20"/>
              </w:rPr>
              <w:t>80计算线程；主要组件BF16，双VAE FP32</w:t>
            </w:r>
          </w:p>
        </w:tc>
      </w:tr>
      <w:tr>
        <w:trPr>
          <w:cantSplit/>
        </w:trPr>
        <w:tc>
          <w:tcPr>
            <w:tcW w:type="dxa" w:w="2376"/>
            <w:vAlign w:val="center"/>
            <w:tcMar>
              <w:top w:w="80" w:type="dxa"/>
              <w:bottom w:w="80" w:type="dxa"/>
              <w:left w:w="100" w:type="dxa"/>
              <w:right w:w="100" w:type="dxa"/>
            </w:tcMar>
            <w:shd w:fill="FFFFFF"/>
          </w:tcPr>
          <w:p>
            <w:pPr>
              <w:spacing w:after="0" w:line="280" w:lineRule="exact"/>
              <w:jc w:val="left"/>
            </w:pPr>
            <w:r>
              <w:rPr>
                <w:b w:val="0"/>
                <w:color w:val="000000"/>
                <w:sz w:val="20"/>
              </w:rPr>
              <w:t>后续实测峰值</w:t>
            </w:r>
          </w:p>
        </w:tc>
        <w:tc>
          <w:tcPr>
            <w:tcW w:type="dxa" w:w="7704"/>
            <w:vAlign w:val="center"/>
            <w:tcMar>
              <w:top w:w="80" w:type="dxa"/>
              <w:bottom w:w="80" w:type="dxa"/>
              <w:left w:w="100" w:type="dxa"/>
              <w:right w:w="100" w:type="dxa"/>
            </w:tcMar>
            <w:shd w:fill="FFFFFF"/>
          </w:tcPr>
          <w:p>
            <w:pPr>
              <w:spacing w:after="0" w:line="280" w:lineRule="exact"/>
              <w:jc w:val="left"/>
            </w:pPr>
            <w:r>
              <w:rPr>
                <w:b w:val="0"/>
                <w:color w:val="000000"/>
                <w:sz w:val="20"/>
              </w:rPr>
              <w:t>5秒样例约134.80GiB RSS；15秒样例约145.09GiB RSS</w:t>
            </w:r>
          </w:p>
        </w:tc>
      </w:tr>
    </w:tbl>
    <w:p>
      <w:pPr>
        <w:spacing w:after="40" w:line="96" w:lineRule="auto"/>
        <w:snapToGrid w:val="0"/>
      </w:pPr>
      <w:r>
        <w:rPr>
          <w:b w:val="0"/>
        </w:rPr>
      </w:r>
      <w:r>
        <w:rPr>
          <w:sz w:val="4"/>
        </w:rPr>
      </w:r>
    </w:p>
    <w:p>
      <w:pPr>
        <w:snapToGrid w:val="0"/>
      </w:pPr>
      <w:r>
        <w:rPr>
          <w:b w:val="0"/>
        </w:rPr>
        <w:t>768GiB 系统内存为模型加载、激活和解码留下容量余量；80 个物理核用于推进 CPU 计算。容量决定能否承载，核数影响执行效率，二者分别检查。后续实测 RSS 为具体请求的进程用量，主机选型还要考虑系统与其他任务占用。</w:t>
      </w:r>
    </w:p>
    <w:p>
      <w:bookmarkStart w:id="34" w:name="setup"/>
      <w:pPr>
        <w:pStyle w:val="Heading1"/>
        <w:pageBreakBefore/>
        <w:snapToGrid w:val="0"/>
      </w:pPr>
      <w:r>
        <w:t>04 把环境和权重准备好</w:t>
      </w:r>
      <w:bookmarkEnd w:id="34"/>
    </w:p>
    <w:p>
      <w:pPr>
        <w:snapToGrid w:val="0"/>
      </w:pPr>
      <w:r>
        <w:rPr>
          <w:b w:val="0"/>
        </w:rPr>
        <w:t>我把模型、虚拟环境、缓存和输出放到持久数据盘，避免占满系统盘，也避免关机后丢失准备工作。对将近200GiB的模型文件，下载与校验本身就是部署的一部分，不能只计算最后一条推理命令用了多久。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488"/>
      </w:tblGrid>
      <w:tr>
        <w:trPr>
          <w:cantSplit/>
          <w:tblHeader/>
        </w:trPr>
        <w:tc>
          <w:tcPr>
            <w:tcW w:type="dxa" w:w="2592"/>
            <w:vAlign w:val="center"/>
            <w:tcMar>
              <w:top w:w="80" w:type="dxa"/>
              <w:bottom w:w="80" w:type="dxa"/>
              <w:left w:w="100" w:type="dxa"/>
              <w:right w:w="100" w:type="dxa"/>
            </w:tcMar>
            <w:shd w:fill="18354B"/>
          </w:tcPr>
          <w:p>
            <w:pPr>
              <w:spacing w:after="0" w:line="280" w:lineRule="exact"/>
              <w:jc w:val="left"/>
            </w:pPr>
            <w:r>
              <w:rPr>
                <w:b/>
                <w:color w:val="FFFFFF"/>
                <w:sz w:val="20"/>
              </w:rPr>
              <w:t>组件</w:t>
            </w:r>
          </w:p>
        </w:tc>
        <w:tc>
          <w:tcPr>
            <w:tcW w:type="dxa" w:w="7488"/>
            <w:vAlign w:val="center"/>
            <w:tcMar>
              <w:top w:w="80" w:type="dxa"/>
              <w:bottom w:w="80" w:type="dxa"/>
              <w:left w:w="100" w:type="dxa"/>
              <w:right w:w="100" w:type="dxa"/>
            </w:tcMar>
            <w:shd w:fill="18354B"/>
          </w:tcPr>
          <w:p>
            <w:pPr>
              <w:spacing w:after="0" w:line="280" w:lineRule="exact"/>
              <w:jc w:val="left"/>
            </w:pPr>
            <w:r>
              <w:rPr>
                <w:b/>
                <w:color w:val="FFFFFF"/>
                <w:sz w:val="20"/>
              </w:rPr>
              <w:t>本次验证的版本</w:t>
            </w:r>
          </w:p>
        </w:tc>
      </w:tr>
      <w:tr>
        <w:trPr>
          <w:cantSplit/>
        </w:trPr>
        <w:tc>
          <w:tcPr>
            <w:tcW w:type="dxa" w:w="2592"/>
            <w:vAlign w:val="center"/>
            <w:tcMar>
              <w:top w:w="80" w:type="dxa"/>
              <w:bottom w:w="80" w:type="dxa"/>
              <w:left w:w="100" w:type="dxa"/>
              <w:right w:w="100" w:type="dxa"/>
            </w:tcMar>
            <w:shd w:fill="FFFFFF"/>
          </w:tcPr>
          <w:p>
            <w:pPr>
              <w:spacing w:after="0" w:line="280" w:lineRule="exact"/>
              <w:jc w:val="left"/>
            </w:pPr>
            <w:r>
              <w:rPr>
                <w:b w:val="0"/>
                <w:color w:val="000000"/>
                <w:sz w:val="20"/>
              </w:rPr>
              <w:t>Python与CPU构建</w:t>
            </w:r>
          </w:p>
        </w:tc>
        <w:tc>
          <w:tcPr>
            <w:tcW w:type="dxa" w:w="7488"/>
            <w:vAlign w:val="center"/>
            <w:tcMar>
              <w:top w:w="80" w:type="dxa"/>
              <w:bottom w:w="80" w:type="dxa"/>
              <w:left w:w="100" w:type="dxa"/>
              <w:right w:w="100" w:type="dxa"/>
            </w:tcMar>
            <w:shd w:fill="FFFFFF"/>
          </w:tcPr>
          <w:p>
            <w:pPr>
              <w:spacing w:after="0" w:line="280" w:lineRule="exact"/>
              <w:jc w:val="left"/>
            </w:pPr>
            <w:r>
              <w:rPr>
                <w:b w:val="0"/>
                <w:color w:val="000000"/>
                <w:sz w:val="20"/>
              </w:rPr>
              <w:t>Python 3.12.3；torch 2.14.1+cpu；torchvision 0.29.1+cpu</w:t>
            </w:r>
          </w:p>
        </w:tc>
      </w:tr>
      <w:tr>
        <w:trPr>
          <w:cantSplit/>
        </w:trPr>
        <w:tc>
          <w:tcPr>
            <w:tcW w:type="dxa" w:w="2592"/>
            <w:vAlign w:val="center"/>
            <w:tcMar>
              <w:top w:w="80" w:type="dxa"/>
              <w:bottom w:w="80" w:type="dxa"/>
              <w:left w:w="100" w:type="dxa"/>
              <w:right w:w="100" w:type="dxa"/>
            </w:tcMar>
            <w:shd w:fill="F1F5F8"/>
          </w:tcPr>
          <w:p>
            <w:pPr>
              <w:spacing w:after="0" w:line="280" w:lineRule="exact"/>
              <w:jc w:val="left"/>
            </w:pPr>
            <w:r>
              <w:rPr>
                <w:b w:val="0"/>
                <w:color w:val="000000"/>
                <w:sz w:val="20"/>
              </w:rPr>
              <w:t>Diffusers</w:t>
            </w:r>
          </w:p>
        </w:tc>
        <w:tc>
          <w:tcPr>
            <w:tcW w:type="dxa" w:w="7488"/>
            <w:vAlign w:val="center"/>
            <w:tcMar>
              <w:top w:w="80" w:type="dxa"/>
              <w:bottom w:w="80" w:type="dxa"/>
              <w:left w:w="100" w:type="dxa"/>
              <w:right w:w="100" w:type="dxa"/>
            </w:tcMar>
            <w:shd w:fill="F1F5F8"/>
          </w:tcPr>
          <w:p>
            <w:pPr>
              <w:spacing w:after="0" w:line="280" w:lineRule="exact"/>
              <w:jc w:val="left"/>
            </w:pPr>
            <w:r>
              <w:rPr>
                <w:b w:val="0"/>
                <w:color w:val="000000"/>
                <w:sz w:val="20"/>
              </w:rPr>
              <w:t>0.41.0.dev0；固定源码提交见文末</w:t>
            </w:r>
          </w:p>
        </w:tc>
      </w:tr>
      <w:tr>
        <w:trPr>
          <w:cantSplit/>
        </w:trPr>
        <w:tc>
          <w:tcPr>
            <w:tcW w:type="dxa" w:w="2592"/>
            <w:vAlign w:val="center"/>
            <w:tcMar>
              <w:top w:w="80" w:type="dxa"/>
              <w:bottom w:w="80" w:type="dxa"/>
              <w:left w:w="100" w:type="dxa"/>
              <w:right w:w="100" w:type="dxa"/>
            </w:tcMar>
            <w:shd w:fill="FFFFFF"/>
          </w:tcPr>
          <w:p>
            <w:pPr>
              <w:spacing w:after="0" w:line="280" w:lineRule="exact"/>
              <w:jc w:val="left"/>
            </w:pPr>
            <w:r>
              <w:rPr>
                <w:b w:val="0"/>
                <w:color w:val="000000"/>
                <w:sz w:val="20"/>
              </w:rPr>
              <w:t>Transformers</w:t>
            </w:r>
          </w:p>
        </w:tc>
        <w:tc>
          <w:tcPr>
            <w:tcW w:type="dxa" w:w="7488"/>
            <w:vAlign w:val="center"/>
            <w:tcMar>
              <w:top w:w="80" w:type="dxa"/>
              <w:bottom w:w="80" w:type="dxa"/>
              <w:left w:w="100" w:type="dxa"/>
              <w:right w:w="100" w:type="dxa"/>
            </w:tcMar>
            <w:shd w:fill="FFFFFF"/>
          </w:tcPr>
          <w:p>
            <w:pPr>
              <w:spacing w:after="0" w:line="280" w:lineRule="exact"/>
              <w:jc w:val="left"/>
            </w:pPr>
            <w:r>
              <w:rPr>
                <w:b w:val="0"/>
                <w:color w:val="000000"/>
                <w:sz w:val="20"/>
              </w:rPr>
              <w:t>5.21.0.dev0；固定源码提交见文末</w:t>
            </w:r>
          </w:p>
        </w:tc>
      </w:tr>
      <w:tr>
        <w:trPr>
          <w:cantSplit/>
        </w:trPr>
        <w:tc>
          <w:tcPr>
            <w:tcW w:type="dxa" w:w="2592"/>
            <w:vAlign w:val="center"/>
            <w:tcMar>
              <w:top w:w="80" w:type="dxa"/>
              <w:bottom w:w="80" w:type="dxa"/>
              <w:left w:w="100" w:type="dxa"/>
              <w:right w:w="100" w:type="dxa"/>
            </w:tcMar>
            <w:shd w:fill="F1F5F8"/>
          </w:tcPr>
          <w:p>
            <w:pPr>
              <w:spacing w:after="0" w:line="280" w:lineRule="exact"/>
              <w:jc w:val="left"/>
            </w:pPr>
            <w:r>
              <w:rPr>
                <w:b w:val="0"/>
                <w:color w:val="000000"/>
                <w:sz w:val="20"/>
              </w:rPr>
              <w:t>媒体与基础依赖</w:t>
            </w:r>
          </w:p>
        </w:tc>
        <w:tc>
          <w:tcPr>
            <w:tcW w:type="dxa" w:w="7488"/>
            <w:vAlign w:val="center"/>
            <w:tcMar>
              <w:top w:w="80" w:type="dxa"/>
              <w:bottom w:w="80" w:type="dxa"/>
              <w:left w:w="100" w:type="dxa"/>
              <w:right w:w="100" w:type="dxa"/>
            </w:tcMar>
            <w:shd w:fill="F1F5F8"/>
          </w:tcPr>
          <w:p>
            <w:pPr>
              <w:spacing w:after="0" w:line="280" w:lineRule="exact"/>
              <w:jc w:val="left"/>
            </w:pPr>
            <w:r>
              <w:rPr>
                <w:b w:val="0"/>
                <w:color w:val="000000"/>
                <w:sz w:val="20"/>
              </w:rPr>
              <w:t>av 17.1.0；Pillow 12.3.0；NumPy 2.5.3；accelerate 1.15.0</w:t>
            </w:r>
          </w:p>
        </w:tc>
      </w:tr>
    </w:tbl>
    <w:p>
      <w:pPr>
        <w:spacing w:after="40" w:line="96" w:lineRule="auto"/>
        <w:snapToGrid w:val="0"/>
      </w:pPr>
      <w:r>
        <w:rPr>
          <w:b w:val="0"/>
        </w:rPr>
      </w:r>
      <w:r>
        <w:rPr>
          <w:sz w:val="4"/>
        </w:rPr>
      </w:r>
    </w:p>
    <w:p>
      <w:pPr>
        <w:snapToGrid w:val="0"/>
      </w:pPr>
      <w:r>
        <w:rPr>
          <w:b w:val="0"/>
        </w:rPr>
        <w:t>顺序是先创建Python虚拟环境，安装CPU版PyTorch，再安装固定版本的模型框架，最后做导入和微型CPU算子检查。只有检查通过，我才下载或加载完整权重。requirements里的最低版本不是实际部署版本，重建时应保存并核对自己的dependency freeze。</w:t>
      </w:r>
    </w:p>
    <w:p>
      <w:pPr>
        <w:spacing w:after="20" w:line="250" w:lineRule="exact"/>
        <w:ind w:left="173"/>
        <w:snapToGrid w:val="0"/>
      </w:pPr>
      <w:r>
        <w:rPr>
          <w:b w:val="0"/>
        </w:rPr>
      </w:r>
      <w:r>
        <w:rPr>
          <w:rFonts w:ascii="Menlo" w:hAnsi="Menlo" w:eastAsia="Hiragino Sans GB"/>
          <w:sz w:val="18"/>
        </w:rPr>
        <w:t>python3.12 -m venv /data/h3-cpu/.venv</w:t>
      </w:r>
    </w:p>
    <w:p>
      <w:pPr>
        <w:spacing w:after="20" w:line="250" w:lineRule="exact"/>
        <w:ind w:left="173"/>
        <w:snapToGrid w:val="0"/>
      </w:pPr>
      <w:r>
        <w:rPr>
          <w:b w:val="0"/>
        </w:rPr>
      </w:r>
      <w:r>
        <w:rPr>
          <w:rFonts w:ascii="Menlo" w:hAnsi="Menlo" w:eastAsia="Hiragino Sans GB"/>
          <w:sz w:val="18"/>
        </w:rPr>
        <w:t>/data/h3-cpu/.venv/bin/python -m pip install \</w:t>
      </w:r>
    </w:p>
    <w:p>
      <w:pPr>
        <w:spacing w:after="20" w:line="250" w:lineRule="exact"/>
        <w:ind w:left="173"/>
        <w:snapToGrid w:val="0"/>
      </w:pPr>
      <w:r>
        <w:rPr>
          <w:b w:val="0"/>
        </w:rPr>
      </w:r>
      <w:r>
        <w:rPr>
          <w:rFonts w:ascii="Menlo" w:hAnsi="Menlo" w:eastAsia="Hiragino Sans GB"/>
          <w:sz w:val="18"/>
        </w:rPr>
        <w:t xml:space="preserve">  torch==2.14.1+cpu torchvision==0.29.1+cpu \</w:t>
      </w:r>
    </w:p>
    <w:p>
      <w:pPr>
        <w:spacing w:after="20" w:line="250" w:lineRule="exact"/>
        <w:ind w:left="173"/>
        <w:snapToGrid w:val="0"/>
      </w:pPr>
      <w:r>
        <w:rPr>
          <w:b w:val="0"/>
        </w:rPr>
      </w:r>
      <w:r>
        <w:rPr>
          <w:rFonts w:ascii="Menlo" w:hAnsi="Menlo" w:eastAsia="Hiragino Sans GB"/>
          <w:sz w:val="18"/>
        </w:rPr>
        <w:t xml:space="preserve">  --index-url https://download.pytorch.org/whl/cpu</w:t>
      </w:r>
    </w:p>
    <w:p>
      <w:pPr>
        <w:spacing w:after="20" w:line="250" w:lineRule="exact"/>
        <w:ind w:left="173"/>
        <w:snapToGrid w:val="0"/>
      </w:pPr>
      <w:r>
        <w:rPr>
          <w:b w:val="0"/>
        </w:rPr>
      </w:r>
      <w:r>
        <w:rPr>
          <w:rFonts w:ascii="Menlo" w:hAnsi="Menlo" w:eastAsia="Hiragino Sans GB"/>
          <w:sz w:val="18"/>
        </w:rPr>
        <w:t># 接着安装固定提交的 Diffusers 和 Transformers</w:t>
      </w:r>
    </w:p>
    <w:p>
      <w:pPr>
        <w:spacing w:after="20" w:line="250" w:lineRule="exact"/>
        <w:ind w:left="173"/>
        <w:snapToGrid w:val="0"/>
      </w:pPr>
      <w:r>
        <w:rPr>
          <w:b w:val="0"/>
        </w:rPr>
      </w:r>
      <w:r>
        <w:rPr>
          <w:rFonts w:ascii="Menlo" w:hAnsi="Menlo" w:eastAsia="Hiragino Sans GB"/>
          <w:sz w:val="18"/>
        </w:rPr>
        <w:t># 先检查 H3 类导入、CPU BF16/FP32 小算子和 ffmpeg/ffprobe</w:t>
      </w:r>
    </w:p>
    <w:p>
      <w:pPr>
        <w:spacing w:after="40"/>
        <w:snapToGrid w:val="0"/>
      </w:pPr>
      <w:r>
        <w:rPr>
          <w:b w:val="0"/>
        </w:rPr>
      </w:r>
    </w:p>
    <w:p>
      <w:pPr>
        <w:pStyle w:val="Heading2"/>
        <w:snapToGrid w:val="0"/>
      </w:pPr>
      <w:r>
        <w:t>按需要下载组件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632"/>
      </w:tblGrid>
      <w:tr>
        <w:trPr>
          <w:cantSplit/>
          <w:tblHeader/>
        </w:trPr>
        <w:tc>
          <w:tcPr>
            <w:tcW w:type="dxa" w:w="2448"/>
            <w:vAlign w:val="center"/>
            <w:tcMar>
              <w:top w:w="80" w:type="dxa"/>
              <w:bottom w:w="80" w:type="dxa"/>
              <w:left w:w="100" w:type="dxa"/>
              <w:right w:w="100" w:type="dxa"/>
            </w:tcMar>
            <w:shd w:fill="18354B"/>
          </w:tcPr>
          <w:p>
            <w:pPr>
              <w:spacing w:after="0" w:line="280" w:lineRule="exact"/>
              <w:jc w:val="left"/>
            </w:pPr>
            <w:r>
              <w:rPr>
                <w:b/>
                <w:color w:val="FFFFFF"/>
                <w:sz w:val="20"/>
              </w:rPr>
              <w:t>下载阶段</w:t>
            </w:r>
          </w:p>
        </w:tc>
        <w:tc>
          <w:tcPr>
            <w:tcW w:type="dxa" w:w="7632"/>
            <w:vAlign w:val="center"/>
            <w:tcMar>
              <w:top w:w="80" w:type="dxa"/>
              <w:bottom w:w="80" w:type="dxa"/>
              <w:left w:w="100" w:type="dxa"/>
              <w:right w:w="100" w:type="dxa"/>
            </w:tcMar>
            <w:shd w:fill="18354B"/>
          </w:tcPr>
          <w:p>
            <w:pPr>
              <w:spacing w:after="0" w:line="280" w:lineRule="exact"/>
              <w:jc w:val="left"/>
            </w:pPr>
            <w:r>
              <w:rPr>
                <w:b/>
                <w:color w:val="FFFFFF"/>
                <w:sz w:val="20"/>
              </w:rPr>
              <w:t>容量与用途</w:t>
            </w:r>
          </w:p>
        </w:tc>
      </w:tr>
      <w:tr>
        <w:trPr>
          <w:cantSplit/>
        </w:trPr>
        <w:tc>
          <w:tcPr>
            <w:tcW w:type="dxa" w:w="2448"/>
            <w:vAlign w:val="center"/>
            <w:tcMar>
              <w:top w:w="80" w:type="dxa"/>
              <w:bottom w:w="80" w:type="dxa"/>
              <w:left w:w="100" w:type="dxa"/>
              <w:right w:w="100" w:type="dxa"/>
            </w:tcMar>
            <w:shd w:fill="FFFFFF"/>
          </w:tcPr>
          <w:p>
            <w:pPr>
              <w:spacing w:after="0" w:line="280" w:lineRule="exact"/>
              <w:jc w:val="left"/>
            </w:pPr>
            <w:r>
              <w:rPr>
                <w:b w:val="0"/>
                <w:color w:val="000000"/>
                <w:sz w:val="20"/>
              </w:rPr>
              <w:t>基础组件</w:t>
            </w:r>
          </w:p>
        </w:tc>
        <w:tc>
          <w:tcPr>
            <w:tcW w:type="dxa" w:w="7632"/>
            <w:vAlign w:val="center"/>
            <w:tcMar>
              <w:top w:w="80" w:type="dxa"/>
              <w:bottom w:w="80" w:type="dxa"/>
              <w:left w:w="100" w:type="dxa"/>
              <w:right w:w="100" w:type="dxa"/>
            </w:tcMar>
            <w:shd w:fill="FFFFFF"/>
          </w:tcPr>
          <w:p>
            <w:pPr>
              <w:spacing w:after="0" w:line="280" w:lineRule="exact"/>
              <w:jc w:val="left"/>
            </w:pPr>
            <w:r>
              <w:rPr>
                <w:b w:val="0"/>
                <w:color w:val="000000"/>
                <w:sz w:val="20"/>
              </w:rPr>
              <w:t>63文件，约134.158GiB；覆盖最初T2VA及共享组件</w:t>
            </w:r>
          </w:p>
        </w:tc>
      </w:tr>
      <w:tr>
        <w:trPr>
          <w:cantSplit/>
        </w:trPr>
        <w:tc>
          <w:tcPr>
            <w:tcW w:type="dxa" w:w="2448"/>
            <w:vAlign w:val="center"/>
            <w:tcMar>
              <w:top w:w="80" w:type="dxa"/>
              <w:bottom w:w="80" w:type="dxa"/>
              <w:left w:w="100" w:type="dxa"/>
              <w:right w:w="100" w:type="dxa"/>
            </w:tcMar>
            <w:shd w:fill="F1F5F8"/>
          </w:tcPr>
          <w:p>
            <w:pPr>
              <w:spacing w:after="0" w:line="280" w:lineRule="exact"/>
              <w:jc w:val="left"/>
            </w:pPr>
            <w:r>
              <w:rPr>
                <w:b w:val="0"/>
                <w:color w:val="000000"/>
                <w:sz w:val="20"/>
              </w:rPr>
              <w:t>Ref增量</w:t>
            </w:r>
          </w:p>
        </w:tc>
        <w:tc>
          <w:tcPr>
            <w:tcW w:type="dxa" w:w="7632"/>
            <w:vAlign w:val="center"/>
            <w:tcMar>
              <w:top w:w="80" w:type="dxa"/>
              <w:bottom w:w="80" w:type="dxa"/>
              <w:left w:w="100" w:type="dxa"/>
              <w:right w:w="100" w:type="dxa"/>
            </w:tcMar>
            <w:shd w:fill="F1F5F8"/>
          </w:tcPr>
          <w:p>
            <w:pPr>
              <w:spacing w:after="0" w:line="280" w:lineRule="exact"/>
              <w:jc w:val="left"/>
            </w:pPr>
            <w:r>
              <w:rPr>
                <w:b w:val="0"/>
                <w:color w:val="000000"/>
                <w:sz w:val="20"/>
              </w:rPr>
              <w:t>仅补充transformer_ref的16文件，约61.729GiB</w:t>
            </w:r>
          </w:p>
        </w:tc>
      </w:tr>
      <w:tr>
        <w:trPr>
          <w:cantSplit/>
        </w:trPr>
        <w:tc>
          <w:tcPr>
            <w:tcW w:type="dxa" w:w="2448"/>
            <w:vAlign w:val="center"/>
            <w:tcMar>
              <w:top w:w="80" w:type="dxa"/>
              <w:bottom w:w="80" w:type="dxa"/>
              <w:left w:w="100" w:type="dxa"/>
              <w:right w:w="100" w:type="dxa"/>
            </w:tcMar>
            <w:shd w:fill="FFFFFF"/>
          </w:tcPr>
          <w:p>
            <w:pPr>
              <w:spacing w:after="0" w:line="280" w:lineRule="exact"/>
              <w:jc w:val="left"/>
            </w:pPr>
            <w:r>
              <w:rPr>
                <w:b w:val="0"/>
                <w:color w:val="000000"/>
                <w:sz w:val="20"/>
              </w:rPr>
              <w:t>磁盘合计</w:t>
            </w:r>
          </w:p>
        </w:tc>
        <w:tc>
          <w:tcPr>
            <w:tcW w:type="dxa" w:w="7632"/>
            <w:vAlign w:val="center"/>
            <w:tcMar>
              <w:top w:w="80" w:type="dxa"/>
              <w:bottom w:w="80" w:type="dxa"/>
              <w:left w:w="100" w:type="dxa"/>
              <w:right w:w="100" w:type="dxa"/>
            </w:tcMar>
            <w:shd w:fill="FFFFFF"/>
          </w:tcPr>
          <w:p>
            <w:pPr>
              <w:spacing w:after="0" w:line="280" w:lineRule="exact"/>
              <w:jc w:val="left"/>
            </w:pPr>
            <w:r>
              <w:rPr>
                <w:b w:val="0"/>
                <w:color w:val="000000"/>
                <w:sz w:val="20"/>
              </w:rPr>
              <w:t>保留79文件，约195.887GiB；不是进程RAM需求</w:t>
            </w:r>
          </w:p>
        </w:tc>
      </w:tr>
    </w:tbl>
    <w:p>
      <w:pPr>
        <w:spacing w:after="40" w:line="96" w:lineRule="auto"/>
        <w:snapToGrid w:val="0"/>
      </w:pPr>
      <w:r>
        <w:rPr>
          <w:b w:val="0"/>
        </w:rPr>
      </w:r>
      <w:r>
        <w:rPr>
          <w:sz w:val="4"/>
        </w:rPr>
      </w:r>
    </w:p>
    <w:p>
      <w:pPr>
        <w:snapToGrid w:val="0"/>
      </w:pPr>
      <w:r>
        <w:rPr>
          <w:b w:val="0"/>
        </w:rPr>
        <w:t>下载时只选择需要的组件布局，没有把仓库中并列的原始格式和Diffusers布局都复制一遍。访问主下载源超时后，我使用与固定Hugging Face快照逐文件尺寸和SHA256一致的官方ModelScope副本，保持模型版本不变。下载或复用文件时核对哈希，推理阶段走本地离线目录，缺件就报错，不暗中补下载。</w:t>
      </w:r>
    </w:p>
    <w:p>
      <w:bookmarkStart w:id="48" w:name="debug"/>
      <w:pPr>
        <w:pStyle w:val="Heading1"/>
        <w:pageBreakBefore/>
        <w:snapToGrid w:val="0"/>
      </w:pPr>
      <w:r>
        <w:t>05 部署过程中真正花时间的问题</w:t>
      </w:r>
      <w:bookmarkEnd w:id="48"/>
    </w:p>
    <w:p>
      <w:pPr>
        <w:pStyle w:val="Heading2"/>
        <w:snapToGrid w:val="0"/>
      </w:pPr>
      <w:r>
        <w:t>网络和源码安装</w:t>
      </w:r>
    </w:p>
    <w:p>
      <w:pPr>
        <w:snapToGrid w:val="0"/>
      </w:pPr>
      <w:r>
        <w:rPr>
          <w:b w:val="0"/>
        </w:rPr>
        <w:t>源码克隆曾出现HTTP/2中断和early EOF。我保持提交版本不变，改用精确浅fetch或带真实Git元数据的固定源码归档。pip对浅仓库的git+file克隆又出现异常后，改成从普通本地源码目录安装。网络路径改变了，依赖版本和校验要求没有降低。</w:t>
      </w:r>
    </w:p>
    <w:p>
      <w:pPr>
        <w:snapToGrid w:val="0"/>
      </w:pPr>
      <w:r>
        <w:rPr>
          <w:b w:val="0"/>
        </w:rPr>
        <w:t>从本地目录安装不会天然留下完整的VCS提交元数据，因此我另外核对Git HEAD/tree、tracked源文件，以及已安装Python文件的哈希。这让我能回答“运行的究竟是哪份代码”，而不是看到库能导入就算结束。</w:t>
      </w:r>
    </w:p>
    <w:p>
      <w:pPr>
        <w:pStyle w:val="Heading2"/>
        <w:snapToGrid w:val="0"/>
      </w:pPr>
      <w:r>
        <w:t>CPU 上的精度和线程</w:t>
      </w:r>
    </w:p>
    <w:p>
      <w:pPr>
        <w:snapToGrid w:val="0"/>
      </w:pPr>
      <w:r>
        <w:rPr>
          <w:b w:val="0"/>
        </w:rPr>
        <w:t>我显式关闭CUDA/HIP可见设备，将torch默认设备设为CPU，检查组件参数和buffer所在设备。Transformer与文本编码器主要使用BF16，同时保留框架要求的FP32子模块；视频与音频VAE使用FP32。没有同时引入FP16、INT8、NVFP4或GPU专用attention。</w:t>
      </w:r>
    </w:p>
    <w:p>
      <w:pPr>
        <w:snapToGrid w:val="0"/>
      </w:pPr>
      <w:r>
        <w:rPr>
          <w:b w:val="0"/>
        </w:rPr>
        <w:t>我先用微型矩阵和attention测试检查CPU算子，再通过实际生成记录整模型耗时。线程也不是越多越快，我最终采用80线程并绑定物理核分布。</w:t>
      </w:r>
    </w:p>
    <w:p>
      <w:pPr>
        <w:pStyle w:val="Heading2"/>
        <w:snapToGrid w:val="0"/>
      </w:pPr>
      <w:r>
        <w:t>音频采样率不是改一个标签</w:t>
      </w:r>
    </w:p>
    <w:p>
      <w:pPr>
        <w:snapToGrid w:val="0"/>
      </w:pPr>
      <w:r>
        <w:rPr>
          <w:b w:val="0"/>
        </w:rPr>
        <w:t>对应版本的torchaudio CPU包当时不可用。我没有为了这个包降级整个已经通过检查的环境，而是用FFmpeg/libswresample对解码后的PCM做真实重采样，把44.1/48kHz转成32kHz，再校验时长、声道和采样点数。32kHz数据保持原样。</w:t>
      </w:r>
    </w:p>
    <w:p>
      <w:pPr>
        <w:snapToGrid w:val="0"/>
      </w:pPr>
      <w:r>
        <w:rPr>
          <w:b w:val="0"/>
        </w:rPr>
        <w:t>输入层负责检查参考素材的格式、采样率和编码。本次完整模型生成使用单张图片参考，按Ref2VA流程进行参考编码、采样和音视频解码。</w:t>
      </w:r>
    </w:p>
    <w:p>
      <w:pPr>
        <w:pStyle w:val="Heading2"/>
        <w:snapToGrid w:val="0"/>
      </w:pPr>
      <w:r>
        <w:t>长作业要有明确的结束条件</w:t>
      </w:r>
    </w:p>
    <w:p>
      <w:pPr>
        <w:snapToGrid w:val="0"/>
      </w:pPr>
      <w:r>
        <w:rPr>
          <w:b w:val="0"/>
        </w:rPr>
        <w:t>我记录每次forward的时间和RSS，在报告里区分采样、解码、封装和进程结束；后台作业设置硬上限，外层监督程序补写退出码。进度到49/49后还可能等待很久，因为VAE解码并没有完成。CPU任务尤其不能只用单步采样时间乘49来估计全部流程。</w:t>
      </w:r>
    </w:p>
    <w:p>
      <w:bookmarkStart w:id="60" w:name="experiments"/>
      <w:pPr>
        <w:pStyle w:val="Heading1"/>
        <w:pageBreakBefore/>
        <w:snapToGrid w:val="0"/>
      </w:pPr>
      <w:r>
        <w:t>06 先跑通 然后再讨论画质</w:t>
      </w:r>
      <w:bookmarkEnd w:id="60"/>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824"/>
        <w:gridCol w:w="3456"/>
      </w:tblGrid>
      <w:tr>
        <w:trPr>
          <w:cantSplit/>
          <w:tblHeader/>
        </w:trPr>
        <w:tc>
          <w:tcPr>
            <w:tcW w:type="dxa" w:w="1800"/>
            <w:vAlign w:val="center"/>
            <w:tcMar>
              <w:top w:w="80" w:type="dxa"/>
              <w:bottom w:w="80" w:type="dxa"/>
              <w:left w:w="100" w:type="dxa"/>
              <w:right w:w="100" w:type="dxa"/>
            </w:tcMar>
            <w:shd w:fill="18354B"/>
          </w:tcPr>
          <w:p>
            <w:pPr>
              <w:spacing w:after="0" w:line="280" w:lineRule="exact"/>
              <w:jc w:val="center"/>
            </w:pPr>
            <w:r>
              <w:rPr>
                <w:b/>
                <w:color w:val="FFFFFF"/>
                <w:sz w:val="20"/>
              </w:rPr>
              <w:t>阶段</w:t>
            </w:r>
          </w:p>
        </w:tc>
        <w:tc>
          <w:tcPr>
            <w:tcW w:type="dxa" w:w="4824"/>
            <w:vAlign w:val="center"/>
            <w:tcMar>
              <w:top w:w="80" w:type="dxa"/>
              <w:bottom w:w="80" w:type="dxa"/>
              <w:left w:w="100" w:type="dxa"/>
              <w:right w:w="100" w:type="dxa"/>
            </w:tcMar>
            <w:shd w:fill="18354B"/>
          </w:tcPr>
          <w:p>
            <w:pPr>
              <w:spacing w:after="0" w:line="280" w:lineRule="exact"/>
              <w:jc w:val="left"/>
            </w:pPr>
            <w:r>
              <w:rPr>
                <w:b/>
                <w:color w:val="FFFFFF"/>
                <w:sz w:val="20"/>
              </w:rPr>
              <w:t>我实际运行的配置</w:t>
            </w:r>
          </w:p>
        </w:tc>
        <w:tc>
          <w:tcPr>
            <w:tcW w:type="dxa" w:w="3456"/>
            <w:vAlign w:val="center"/>
            <w:tcMar>
              <w:top w:w="80" w:type="dxa"/>
              <w:bottom w:w="80" w:type="dxa"/>
              <w:left w:w="100" w:type="dxa"/>
              <w:right w:w="100" w:type="dxa"/>
            </w:tcMar>
            <w:shd w:fill="18354B"/>
          </w:tcPr>
          <w:p>
            <w:pPr>
              <w:spacing w:after="0" w:line="280" w:lineRule="exact"/>
              <w:jc w:val="left"/>
            </w:pPr>
            <w:r>
              <w:rPr>
                <w:b/>
                <w:color w:val="FFFFFF"/>
                <w:sz w:val="20"/>
              </w:rPr>
              <w:t>我能得出的结论</w:t>
            </w:r>
          </w:p>
        </w:tc>
      </w:tr>
      <w:tr>
        <w:trPr>
          <w:cantSplit/>
        </w:trPr>
        <w:tc>
          <w:tcPr>
            <w:tcW w:type="dxa" w:w="1800"/>
            <w:vAlign w:val="center"/>
            <w:tcMar>
              <w:top w:w="80" w:type="dxa"/>
              <w:bottom w:w="80" w:type="dxa"/>
              <w:left w:w="100" w:type="dxa"/>
              <w:right w:w="100" w:type="dxa"/>
            </w:tcMar>
            <w:shd w:fill="FFFFFF"/>
          </w:tcPr>
          <w:p>
            <w:pPr>
              <w:spacing w:after="0" w:line="280" w:lineRule="exact"/>
              <w:jc w:val="center"/>
            </w:pPr>
            <w:r>
              <w:rPr>
                <w:b w:val="0"/>
                <w:color w:val="000000"/>
                <w:sz w:val="20"/>
              </w:rPr>
              <w:t>两步T2VA</w:t>
            </w:r>
          </w:p>
        </w:tc>
        <w:tc>
          <w:tcPr>
            <w:tcW w:type="dxa" w:w="4824"/>
            <w:vAlign w:val="center"/>
            <w:tcMar>
              <w:top w:w="80" w:type="dxa"/>
              <w:bottom w:w="80" w:type="dxa"/>
              <w:left w:w="100" w:type="dxa"/>
              <w:right w:w="100" w:type="dxa"/>
            </w:tcMar>
            <w:shd w:fill="FFFFFF"/>
          </w:tcPr>
          <w:p>
            <w:pPr>
              <w:spacing w:after="0" w:line="280" w:lineRule="exact"/>
              <w:jc w:val="left"/>
            </w:pPr>
            <w:r>
              <w:rPr>
                <w:b w:val="0"/>
                <w:color w:val="000000"/>
                <w:sz w:val="20"/>
              </w:rPr>
              <w:t>256×256，124帧，32线程，实际2次forward；局部脚本计时约50.16秒</w:t>
            </w:r>
          </w:p>
        </w:tc>
        <w:tc>
          <w:tcPr>
            <w:tcW w:type="dxa" w:w="3456"/>
            <w:vAlign w:val="center"/>
            <w:tcMar>
              <w:top w:w="80" w:type="dxa"/>
              <w:bottom w:w="80" w:type="dxa"/>
              <w:left w:w="100" w:type="dxa"/>
              <w:right w:w="100" w:type="dxa"/>
            </w:tcMar>
            <w:shd w:fill="FFFFFF"/>
          </w:tcPr>
          <w:p>
            <w:pPr>
              <w:spacing w:after="0" w:line="280" w:lineRule="exact"/>
              <w:jc w:val="left"/>
            </w:pPr>
            <w:r>
              <w:rPr>
                <w:b w:val="0"/>
                <w:color w:val="000000"/>
                <w:sz w:val="20"/>
              </w:rPr>
              <w:t>媒体可解码，但强噪声遮蔽主体；只能证明程序连通</w:t>
            </w:r>
          </w:p>
        </w:tc>
      </w:tr>
      <w:tr>
        <w:trPr>
          <w:cantSplit/>
        </w:trPr>
        <w:tc>
          <w:tcPr>
            <w:tcW w:type="dxa" w:w="1800"/>
            <w:vAlign w:val="center"/>
            <w:tcMar>
              <w:top w:w="80" w:type="dxa"/>
              <w:bottom w:w="80" w:type="dxa"/>
              <w:left w:w="100" w:type="dxa"/>
              <w:right w:w="100" w:type="dxa"/>
            </w:tcMar>
            <w:shd w:fill="F1F5F8"/>
          </w:tcPr>
          <w:p>
            <w:pPr>
              <w:spacing w:after="0" w:line="280" w:lineRule="exact"/>
              <w:jc w:val="center"/>
            </w:pPr>
            <w:r>
              <w:rPr>
                <w:b w:val="0"/>
                <w:color w:val="000000"/>
                <w:sz w:val="20"/>
              </w:rPr>
              <w:t>32线程Ref诊断</w:t>
            </w:r>
          </w:p>
        </w:tc>
        <w:tc>
          <w:tcPr>
            <w:tcW w:type="dxa" w:w="4824"/>
            <w:vAlign w:val="center"/>
            <w:tcMar>
              <w:top w:w="80" w:type="dxa"/>
              <w:bottom w:w="80" w:type="dxa"/>
              <w:left w:w="100" w:type="dxa"/>
              <w:right w:w="100" w:type="dxa"/>
            </w:tcMar>
            <w:shd w:fill="F1F5F8"/>
          </w:tcPr>
          <w:p>
            <w:pPr>
              <w:spacing w:after="0" w:line="280" w:lineRule="exact"/>
              <w:jc w:val="left"/>
            </w:pPr>
            <w:r>
              <w:rPr>
                <w:b w:val="0"/>
                <w:color w:val="000000"/>
                <w:sz w:val="20"/>
              </w:rPr>
              <w:t>768×768，124帧；前两步277.36和281.77秒后主动终止</w:t>
            </w:r>
          </w:p>
        </w:tc>
        <w:tc>
          <w:tcPr>
            <w:tcW w:type="dxa" w:w="3456"/>
            <w:vAlign w:val="center"/>
            <w:tcMar>
              <w:top w:w="80" w:type="dxa"/>
              <w:bottom w:w="80" w:type="dxa"/>
              <w:left w:w="100" w:type="dxa"/>
              <w:right w:w="100" w:type="dxa"/>
            </w:tcMar>
            <w:shd w:fill="F1F5F8"/>
          </w:tcPr>
          <w:p>
            <w:pPr>
              <w:spacing w:after="0" w:line="280" w:lineRule="exact"/>
              <w:jc w:val="left"/>
            </w:pPr>
            <w:r>
              <w:rPr>
                <w:b w:val="0"/>
                <w:color w:val="000000"/>
                <w:sz w:val="20"/>
              </w:rPr>
              <w:t>用来比较运行配置，不是模型故障，也不是完整画质结果</w:t>
            </w:r>
          </w:p>
        </w:tc>
      </w:tr>
      <w:tr>
        <w:trPr>
          <w:cantSplit/>
        </w:trPr>
        <w:tc>
          <w:tcPr>
            <w:tcW w:type="dxa" w:w="1800"/>
            <w:vAlign w:val="center"/>
            <w:tcMar>
              <w:top w:w="80" w:type="dxa"/>
              <w:bottom w:w="80" w:type="dxa"/>
              <w:left w:w="100" w:type="dxa"/>
              <w:right w:w="100" w:type="dxa"/>
            </w:tcMar>
            <w:shd w:fill="FFFFFF"/>
          </w:tcPr>
          <w:p>
            <w:pPr>
              <w:spacing w:after="0" w:line="280" w:lineRule="exact"/>
              <w:jc w:val="center"/>
            </w:pPr>
            <w:r>
              <w:rPr>
                <w:b w:val="0"/>
                <w:color w:val="000000"/>
                <w:sz w:val="20"/>
              </w:rPr>
              <w:t>80线程完整Ref</w:t>
            </w:r>
          </w:p>
        </w:tc>
        <w:tc>
          <w:tcPr>
            <w:tcW w:type="dxa" w:w="4824"/>
            <w:vAlign w:val="center"/>
            <w:tcMar>
              <w:top w:w="80" w:type="dxa"/>
              <w:bottom w:w="80" w:type="dxa"/>
              <w:left w:w="100" w:type="dxa"/>
              <w:right w:w="100" w:type="dxa"/>
            </w:tcMar>
            <w:shd w:fill="FFFFFF"/>
          </w:tcPr>
          <w:p>
            <w:pPr>
              <w:spacing w:after="0" w:line="280" w:lineRule="exact"/>
              <w:jc w:val="left"/>
            </w:pPr>
            <w:r>
              <w:rPr>
                <w:b w:val="0"/>
                <w:color w:val="000000"/>
                <w:sz w:val="20"/>
              </w:rPr>
              <w:t>同一图像参考，49次forward；总6538.74秒，约109分钟</w:t>
            </w:r>
          </w:p>
        </w:tc>
        <w:tc>
          <w:tcPr>
            <w:tcW w:type="dxa" w:w="3456"/>
            <w:vAlign w:val="center"/>
            <w:tcMar>
              <w:top w:w="80" w:type="dxa"/>
              <w:bottom w:w="80" w:type="dxa"/>
              <w:left w:w="100" w:type="dxa"/>
              <w:right w:w="100" w:type="dxa"/>
            </w:tcMar>
            <w:shd w:fill="FFFFFF"/>
          </w:tcPr>
          <w:p>
            <w:pPr>
              <w:spacing w:after="0" w:line="280" w:lineRule="exact"/>
              <w:jc w:val="left"/>
            </w:pPr>
            <w:r>
              <w:rPr>
                <w:b w:val="0"/>
                <w:color w:val="000000"/>
                <w:sz w:val="20"/>
              </w:rPr>
              <w:t>得到可辨认的约5.17秒角色视频；峰值RSS134.80GiB</w:t>
            </w:r>
          </w:p>
        </w:tc>
      </w:tr>
      <w:tr>
        <w:trPr>
          <w:cantSplit/>
        </w:trPr>
        <w:tc>
          <w:tcPr>
            <w:tcW w:type="dxa" w:w="1800"/>
            <w:vAlign w:val="center"/>
            <w:tcMar>
              <w:top w:w="80" w:type="dxa"/>
              <w:bottom w:w="80" w:type="dxa"/>
              <w:left w:w="100" w:type="dxa"/>
              <w:right w:w="100" w:type="dxa"/>
            </w:tcMar>
            <w:shd w:fill="F1F5F8"/>
          </w:tcPr>
          <w:p>
            <w:pPr>
              <w:spacing w:after="0" w:line="280" w:lineRule="exact"/>
              <w:jc w:val="center"/>
            </w:pPr>
            <w:r>
              <w:rPr>
                <w:b w:val="0"/>
                <w:color w:val="000000"/>
                <w:sz w:val="20"/>
              </w:rPr>
              <w:t>15秒电影人物片</w:t>
            </w:r>
          </w:p>
        </w:tc>
        <w:tc>
          <w:tcPr>
            <w:tcW w:type="dxa" w:w="4824"/>
            <w:vAlign w:val="center"/>
            <w:tcMar>
              <w:top w:w="80" w:type="dxa"/>
              <w:bottom w:w="80" w:type="dxa"/>
              <w:left w:w="100" w:type="dxa"/>
              <w:right w:w="100" w:type="dxa"/>
            </w:tcMar>
            <w:shd w:fill="F1F5F8"/>
          </w:tcPr>
          <w:p>
            <w:pPr>
              <w:spacing w:after="0" w:line="280" w:lineRule="exact"/>
              <w:jc w:val="left"/>
            </w:pPr>
            <w:r>
              <w:rPr>
                <w:b w:val="0"/>
                <w:color w:val="000000"/>
                <w:sz w:val="20"/>
              </w:rPr>
              <w:t>1344×768，49次forward；总51673.57秒</w:t>
            </w:r>
          </w:p>
        </w:tc>
        <w:tc>
          <w:tcPr>
            <w:tcW w:type="dxa" w:w="3456"/>
            <w:vAlign w:val="center"/>
            <w:tcMar>
              <w:top w:w="80" w:type="dxa"/>
              <w:bottom w:w="80" w:type="dxa"/>
              <w:left w:w="100" w:type="dxa"/>
              <w:right w:w="100" w:type="dxa"/>
            </w:tcMar>
            <w:shd w:fill="F1F5F8"/>
          </w:tcPr>
          <w:p>
            <w:pPr>
              <w:spacing w:after="0" w:line="280" w:lineRule="exact"/>
              <w:jc w:val="left"/>
            </w:pPr>
            <w:r>
              <w:rPr>
                <w:b w:val="0"/>
                <w:color w:val="000000"/>
                <w:sz w:val="20"/>
              </w:rPr>
              <w:t>整条长片生成完成；峰值RSS145.09GiB</w:t>
            </w:r>
          </w:p>
        </w:tc>
      </w:tr>
    </w:tbl>
    <w:p>
      <w:pPr>
        <w:spacing w:after="40" w:line="96" w:lineRule="auto"/>
        <w:snapToGrid w:val="0"/>
      </w:pPr>
      <w:r>
        <w:rPr>
          <w:b w:val="0"/>
        </w:rPr>
      </w:r>
      <w:r>
        <w:rPr>
          <w:sz w:val="4"/>
        </w:rPr>
      </w:r>
    </w:p>
    <w:p>
      <w:pPr>
        <w:snapToGrid w:val="0"/>
      </w:pPr>
      <w:r>
        <w:rPr>
          <w:b w:val="0"/>
        </w:rPr>
        <w:t>两步输出很差，并不能说明完整模型没有能力。这个版本的num_inference_steps包含终点，传50对应49次实际forward；我用hook确认真实次数。两步试验和正常采样的sigma网格不同，不能把前者再“追加47步”当成标准结果。</w:t>
      </w:r>
    </w:p>
    <w:p>
      <w:pPr>
        <w:keepNext/>
        <w:spacing w:line="240" w:lineRule="auto"/>
        <w:jc w:val="center"/>
        <w:snapToGrid w:val="0"/>
      </w:pPr>
      <w:r>
        <w:drawing>
          <wp:inline xmlns:a="http://schemas.openxmlformats.org/drawingml/2006/main" xmlns:pic="http://schemas.openxmlformats.org/drawingml/2006/picture">
            <wp:extent cx="5943600" cy="2255249"/>
            <wp:docPr id="1" name="Picture 1" descr="图 1  从低步数噪声样例到完整单图参考生成"/>
            <wp:cNvGraphicFramePr>
              <a:graphicFrameLocks noChangeAspect="1"/>
            </wp:cNvGraphicFramePr>
            <a:graphic>
              <a:graphicData uri="http://schemas.openxmlformats.org/drawingml/2006/picture">
                <pic:pic>
                  <pic:nvPicPr>
                    <pic:cNvPr id="0" name="progression.png"/>
                    <pic:cNvPicPr/>
                  </pic:nvPicPr>
                  <pic:blipFill>
                    <a:blip r:embed="rId12"/>
                    <a:stretch>
                      <a:fillRect/>
                    </a:stretch>
                  </pic:blipFill>
                  <pic:spPr>
                    <a:xfrm>
                      <a:off x="0" y="0"/>
                      <a:ext cx="5943600" cy="2255249"/>
                    </a:xfrm>
                    <a:prstGeom prst="rect"/>
                  </pic:spPr>
                </pic:pic>
              </a:graphicData>
            </a:graphic>
          </wp:inline>
        </w:drawing>
      </w:r>
    </w:p>
    <w:p>
      <w:pPr>
        <w:pStyle w:val="Caption"/>
        <w:snapToGrid w:val="0"/>
      </w:pPr>
      <w:r>
        <w:rPr>
          <w:b w:val="0"/>
        </w:rPr>
        <w:t>图 1  从低步数噪声样例到完整单图参考生成</w:t>
      </w:r>
    </w:p>
    <w:p>
      <w:pPr>
        <w:snapToGrid w:val="0"/>
      </w:pPr>
      <w:r>
        <w:rPr>
          <w:b w:val="0"/>
        </w:rPr>
        <w:t>80线程完整短片平均约126.90秒/forward，相比32线程前两步明显加快。但这里还同时存在物理核绑定、缓存状态等差异，所以我没有把提升全部归因于线程数量，更没有按比例推算更多核就一定更快。</w:t>
      </w:r>
    </w:p>
    <w:p>
      <w:bookmarkStart w:id="66" w:name="cinema"/>
      <w:pPr>
        <w:pStyle w:val="Heading1"/>
        <w:pageBreakBefore/>
        <w:snapToGrid w:val="0"/>
      </w:pPr>
      <w:r>
        <w:t>07 我写了一段有电影感的提示词</w:t>
      </w:r>
      <w:bookmarkEnd w:id="66"/>
    </w:p>
    <w:p>
      <w:pPr>
        <w:snapToGrid w:val="0"/>
      </w:pPr>
      <w:r>
        <w:rPr>
          <w:b w:val="0"/>
        </w:rPr>
        <w:t>跑通短片后，我想测试一个更接近电影镜头的请求：一位女性在黄昏窗边看电脑，先克制地停顿，再含泪微笑。故事不靠快速切镜或大动作，而靠眼神、嘴唇、呼吸和缓慢推近来表达。为此，我写了一段具体的提示词，并给模型一张外观参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tcMar>
              <w:top w:w="80" w:type="dxa"/>
              <w:bottom w:w="80" w:type="dxa"/>
              <w:left w:w="100" w:type="dxa"/>
              <w:right w:w="100" w:type="dxa"/>
            </w:tcMar>
            <w:shd w:fill="18354B"/>
          </w:tcPr>
          <w:p>
            <w:pPr>
              <w:spacing w:after="0" w:line="280" w:lineRule="exact"/>
              <w:jc w:val="left"/>
            </w:pPr>
            <w:r>
              <w:rPr>
                <w:b/>
                <w:color w:val="FFFFFF"/>
                <w:sz w:val="20"/>
              </w:rPr>
              <w:t>设计选择</w:t>
            </w:r>
          </w:p>
        </w:tc>
        <w:tc>
          <w:tcPr>
            <w:tcW w:type="dxa" w:w="7200"/>
            <w:vAlign w:val="center"/>
            <w:tcMar>
              <w:top w:w="80" w:type="dxa"/>
              <w:bottom w:w="80" w:type="dxa"/>
              <w:left w:w="100" w:type="dxa"/>
              <w:right w:w="100" w:type="dxa"/>
            </w:tcMar>
            <w:shd w:fill="18354B"/>
          </w:tcPr>
          <w:p>
            <w:pPr>
              <w:spacing w:after="0" w:line="280" w:lineRule="exact"/>
              <w:jc w:val="left"/>
            </w:pPr>
            <w:r>
              <w:rPr>
                <w:b/>
                <w:color w:val="FFFFFF"/>
                <w:sz w:val="20"/>
              </w:rPr>
              <w:t>为什么这样写</w:t>
            </w:r>
          </w:p>
        </w:tc>
      </w:tr>
      <w:tr>
        <w:trPr>
          <w:cantSplit/>
        </w:trPr>
        <w:tc>
          <w:tcPr>
            <w:tcW w:type="dxa" w:w="2880"/>
            <w:vAlign w:val="center"/>
            <w:tcMar>
              <w:top w:w="80" w:type="dxa"/>
              <w:bottom w:w="80" w:type="dxa"/>
              <w:left w:w="100" w:type="dxa"/>
              <w:right w:w="100" w:type="dxa"/>
            </w:tcMar>
            <w:shd w:fill="FFFFFF"/>
          </w:tcPr>
          <w:p>
            <w:pPr>
              <w:spacing w:after="0" w:line="280" w:lineRule="exact"/>
              <w:jc w:val="left"/>
            </w:pPr>
            <w:r>
              <w:rPr>
                <w:b w:val="0"/>
                <w:color w:val="000000"/>
                <w:sz w:val="20"/>
              </w:rPr>
              <w:t>一个连续长镜头</w:t>
            </w:r>
          </w:p>
        </w:tc>
        <w:tc>
          <w:tcPr>
            <w:tcW w:type="dxa" w:w="7200"/>
            <w:vAlign w:val="center"/>
            <w:tcMar>
              <w:top w:w="80" w:type="dxa"/>
              <w:bottom w:w="80" w:type="dxa"/>
              <w:left w:w="100" w:type="dxa"/>
              <w:right w:w="100" w:type="dxa"/>
            </w:tcMar>
            <w:shd w:fill="FFFFFF"/>
          </w:tcPr>
          <w:p>
            <w:pPr>
              <w:spacing w:after="0" w:line="280" w:lineRule="exact"/>
              <w:jc w:val="left"/>
            </w:pPr>
            <w:r>
              <w:rPr>
                <w:b w:val="0"/>
                <w:color w:val="000000"/>
                <w:sz w:val="20"/>
              </w:rPr>
              <w:t>减少切镜和场景切换，把计算结果集中在人脸和表演上</w:t>
            </w:r>
          </w:p>
        </w:tc>
      </w:tr>
      <w:tr>
        <w:trPr>
          <w:cantSplit/>
        </w:trPr>
        <w:tc>
          <w:tcPr>
            <w:tcW w:type="dxa" w:w="2880"/>
            <w:vAlign w:val="center"/>
            <w:tcMar>
              <w:top w:w="80" w:type="dxa"/>
              <w:bottom w:w="80" w:type="dxa"/>
              <w:left w:w="100" w:type="dxa"/>
              <w:right w:w="100" w:type="dxa"/>
            </w:tcMar>
            <w:shd w:fill="F1F5F8"/>
          </w:tcPr>
          <w:p>
            <w:pPr>
              <w:spacing w:after="0" w:line="280" w:lineRule="exact"/>
              <w:jc w:val="left"/>
            </w:pPr>
            <w:r>
              <w:rPr>
                <w:b w:val="0"/>
                <w:color w:val="000000"/>
                <w:sz w:val="20"/>
              </w:rPr>
              <w:t>从头肩近景逐渐推近</w:t>
            </w:r>
          </w:p>
        </w:tc>
        <w:tc>
          <w:tcPr>
            <w:tcW w:type="dxa" w:w="7200"/>
            <w:vAlign w:val="center"/>
            <w:tcMar>
              <w:top w:w="80" w:type="dxa"/>
              <w:bottom w:w="80" w:type="dxa"/>
              <w:left w:w="100" w:type="dxa"/>
              <w:right w:w="100" w:type="dxa"/>
            </w:tcMar>
            <w:shd w:fill="F1F5F8"/>
          </w:tcPr>
          <w:p>
            <w:pPr>
              <w:spacing w:after="0" w:line="280" w:lineRule="exact"/>
              <w:jc w:val="left"/>
            </w:pPr>
            <w:r>
              <w:rPr>
                <w:b w:val="0"/>
                <w:color w:val="000000"/>
                <w:sz w:val="20"/>
              </w:rPr>
              <w:t>让表情变化成为画面的主要信息</w:t>
            </w:r>
          </w:p>
        </w:tc>
      </w:tr>
      <w:tr>
        <w:trPr>
          <w:cantSplit/>
        </w:trPr>
        <w:tc>
          <w:tcPr>
            <w:tcW w:type="dxa" w:w="2880"/>
            <w:vAlign w:val="center"/>
            <w:tcMar>
              <w:top w:w="80" w:type="dxa"/>
              <w:bottom w:w="80" w:type="dxa"/>
              <w:left w:w="100" w:type="dxa"/>
              <w:right w:w="100" w:type="dxa"/>
            </w:tcMar>
            <w:shd w:fill="FFFFFF"/>
          </w:tcPr>
          <w:p>
            <w:pPr>
              <w:spacing w:after="0" w:line="280" w:lineRule="exact"/>
              <w:jc w:val="left"/>
            </w:pPr>
            <w:r>
              <w:rPr>
                <w:b w:val="0"/>
                <w:color w:val="000000"/>
                <w:sz w:val="20"/>
              </w:rPr>
              <w:t>暖侧逆光与浅景深</w:t>
            </w:r>
          </w:p>
        </w:tc>
        <w:tc>
          <w:tcPr>
            <w:tcW w:type="dxa" w:w="7200"/>
            <w:vAlign w:val="center"/>
            <w:tcMar>
              <w:top w:w="80" w:type="dxa"/>
              <w:bottom w:w="80" w:type="dxa"/>
              <w:left w:w="100" w:type="dxa"/>
              <w:right w:w="100" w:type="dxa"/>
            </w:tcMar>
            <w:shd w:fill="FFFFFF"/>
          </w:tcPr>
          <w:p>
            <w:pPr>
              <w:spacing w:after="0" w:line="280" w:lineRule="exact"/>
              <w:jc w:val="left"/>
            </w:pPr>
            <w:r>
              <w:rPr>
                <w:b w:val="0"/>
                <w:color w:val="000000"/>
                <w:sz w:val="20"/>
              </w:rPr>
              <w:t>分离人物和背景，保留书房窗边的写实气氛</w:t>
            </w:r>
          </w:p>
        </w:tc>
      </w:tr>
      <w:tr>
        <w:trPr>
          <w:cantSplit/>
        </w:trPr>
        <w:tc>
          <w:tcPr>
            <w:tcW w:type="dxa" w:w="2880"/>
            <w:vAlign w:val="center"/>
            <w:tcMar>
              <w:top w:w="80" w:type="dxa"/>
              <w:bottom w:w="80" w:type="dxa"/>
              <w:left w:w="100" w:type="dxa"/>
              <w:right w:w="100" w:type="dxa"/>
            </w:tcMar>
            <w:shd w:fill="F1F5F8"/>
          </w:tcPr>
          <w:p>
            <w:pPr>
              <w:spacing w:after="0" w:line="280" w:lineRule="exact"/>
              <w:jc w:val="left"/>
            </w:pPr>
            <w:r>
              <w:rPr>
                <w:b w:val="0"/>
                <w:color w:val="000000"/>
                <w:sz w:val="20"/>
              </w:rPr>
              <w:t>从停顿到泪笑</w:t>
            </w:r>
          </w:p>
        </w:tc>
        <w:tc>
          <w:tcPr>
            <w:tcW w:type="dxa" w:w="7200"/>
            <w:vAlign w:val="center"/>
            <w:tcMar>
              <w:top w:w="80" w:type="dxa"/>
              <w:bottom w:w="80" w:type="dxa"/>
              <w:left w:w="100" w:type="dxa"/>
              <w:right w:w="100" w:type="dxa"/>
            </w:tcMar>
            <w:shd w:fill="F1F5F8"/>
          </w:tcPr>
          <w:p>
            <w:pPr>
              <w:spacing w:after="0" w:line="280" w:lineRule="exact"/>
              <w:jc w:val="left"/>
            </w:pPr>
            <w:r>
              <w:rPr>
                <w:b w:val="0"/>
                <w:color w:val="000000"/>
                <w:sz w:val="20"/>
              </w:rPr>
              <w:t>明确动作先后，避免只写“感动”这类抽象情绪词</w:t>
            </w:r>
          </w:p>
        </w:tc>
      </w:tr>
      <w:tr>
        <w:trPr>
          <w:cantSplit/>
        </w:trPr>
        <w:tc>
          <w:tcPr>
            <w:tcW w:type="dxa" w:w="2880"/>
            <w:vAlign w:val="center"/>
            <w:tcMar>
              <w:top w:w="80" w:type="dxa"/>
              <w:bottom w:w="80" w:type="dxa"/>
              <w:left w:w="100" w:type="dxa"/>
              <w:right w:w="100" w:type="dxa"/>
            </w:tcMar>
            <w:shd w:fill="FFFFFF"/>
          </w:tcPr>
          <w:p>
            <w:pPr>
              <w:spacing w:after="0" w:line="280" w:lineRule="exact"/>
              <w:jc w:val="left"/>
            </w:pPr>
            <w:r>
              <w:rPr>
                <w:b w:val="0"/>
                <w:color w:val="000000"/>
                <w:sz w:val="20"/>
              </w:rPr>
              <w:t>轻环境声和稀疏钢琴</w:t>
            </w:r>
          </w:p>
        </w:tc>
        <w:tc>
          <w:tcPr>
            <w:tcW w:type="dxa" w:w="7200"/>
            <w:vAlign w:val="center"/>
            <w:tcMar>
              <w:top w:w="80" w:type="dxa"/>
              <w:bottom w:w="80" w:type="dxa"/>
              <w:left w:w="100" w:type="dxa"/>
              <w:right w:w="100" w:type="dxa"/>
            </w:tcMar>
            <w:shd w:fill="FFFFFF"/>
          </w:tcPr>
          <w:p>
            <w:pPr>
              <w:spacing w:after="0" w:line="280" w:lineRule="exact"/>
              <w:jc w:val="left"/>
            </w:pPr>
            <w:r>
              <w:rPr>
                <w:b w:val="0"/>
                <w:color w:val="000000"/>
                <w:sz w:val="20"/>
              </w:rPr>
              <w:t>给出声音方向，但不让对白增加口型同步难度</w:t>
            </w:r>
          </w:p>
        </w:tc>
      </w:tr>
    </w:tbl>
    <w:p>
      <w:pPr>
        <w:spacing w:after="40" w:line="96" w:lineRule="auto"/>
        <w:snapToGrid w:val="0"/>
      </w:pPr>
      <w:r>
        <w:rPr>
          <w:b w:val="0"/>
        </w:rPr>
      </w:r>
      <w:r>
        <w:rPr>
          <w:sz w:val="4"/>
        </w:rPr>
      </w:r>
    </w:p>
    <w:p>
      <w:pPr>
        <w:snapToGrid w:val="0"/>
      </w:pPr>
      <w:r>
        <w:rPr>
          <w:b w:val="0"/>
        </w:rPr>
        <w:t>人物外观参考采用Lu Yu的公开照片Asian young woman，许可为CC BY 2.0。照片裁为1110×1300后作为参考条件；它不绑定首帧，也不意味着生成故事是被摄者的真实经历。完整提示词保留在下一页，便于理解这次请求的约束。</w:t>
      </w:r>
    </w:p>
    <w:p>
      <w:pPr>
        <w:keepNext/>
        <w:spacing w:line="240" w:lineRule="auto"/>
        <w:jc w:val="center"/>
        <w:snapToGrid w:val="0"/>
      </w:pPr>
      <w:r>
        <w:drawing>
          <wp:inline xmlns:a="http://schemas.openxmlformats.org/drawingml/2006/main" xmlns:pic="http://schemas.openxmlformats.org/drawingml/2006/picture">
            <wp:extent cx="5577840" cy="3541376"/>
            <wp:docPr id="2" name="Picture 2" descr="图 2  最终十五秒人物镜头中的四个时点"/>
            <wp:cNvGraphicFramePr>
              <a:graphicFrameLocks noChangeAspect="1"/>
            </wp:cNvGraphicFramePr>
            <a:graphic>
              <a:graphicData uri="http://schemas.openxmlformats.org/drawingml/2006/picture">
                <pic:pic>
                  <pic:nvPicPr>
                    <pic:cNvPr id="0" name="movie-sequence.png"/>
                    <pic:cNvPicPr/>
                  </pic:nvPicPr>
                  <pic:blipFill>
                    <a:blip r:embed="rId13"/>
                    <a:stretch>
                      <a:fillRect/>
                    </a:stretch>
                  </pic:blipFill>
                  <pic:spPr>
                    <a:xfrm>
                      <a:off x="0" y="0"/>
                      <a:ext cx="5577840" cy="3541376"/>
                    </a:xfrm>
                    <a:prstGeom prst="rect"/>
                  </pic:spPr>
                </pic:pic>
              </a:graphicData>
            </a:graphic>
          </wp:inline>
        </w:drawing>
      </w:r>
    </w:p>
    <w:p>
      <w:pPr>
        <w:pStyle w:val="Caption"/>
        <w:snapToGrid w:val="0"/>
      </w:pPr>
      <w:r>
        <w:rPr>
          <w:b w:val="0"/>
        </w:rPr>
        <w:t>图 2  最终十五秒人物镜头中的四个时点</w:t>
      </w:r>
    </w:p>
    <w:p>
      <w:pPr>
        <w:spacing w:after="140" w:line="270" w:lineRule="exact"/>
        <w:snapToGrid w:val="0"/>
      </w:pPr>
      <w:r>
        <w:rPr>
          <w:b w:val="0"/>
          <w:sz w:val="19"/>
        </w:rPr>
        <w:t>静帧中可见暖光书房、逐渐收紧的构图与后段泪光微笑。实际出现双侧泪痕，结尾没有明显望向窗外；不能把画面可辨认描述成所有精细指令均已满足。</w:t>
      </w:r>
    </w:p>
    <w:p>
      <w:pPr>
        <w:pStyle w:val="Heading1"/>
        <w:pageBreakBefore/>
        <w:snapToGrid w:val="0"/>
      </w:pPr>
      <w:r>
        <w:t>完整电影镜头提示词</w:t>
      </w:r>
    </w:p>
    <w:p>
      <w:pPr>
        <w:spacing w:line="286" w:lineRule="exact" w:after="120"/>
        <w:snapToGrid w:val="0"/>
      </w:pPr>
      <w:r>
        <w:rPr>
          <w:b w:val="0"/>
          <w:sz w:val="21"/>
        </w:rPr>
        <w:t>subject_definitions:</w:t>
        <w:br/>
        <w:t>&lt;Subject 1&gt; is an adult woman whose facial appearance and loose dark hairstyle are referenced from &lt;Picture 1&gt;. Cast her as a fictional protagonist in a quiet live-action drama. Preserve her facial proportions, eyes, lips, natural skin texture and hair throughout the shot. She wears a simple cream blouse in the new scene, with both arms lowered naturally beside the desk.</w:t>
      </w:r>
    </w:p>
    <w:p>
      <w:pPr>
        <w:spacing w:line="286" w:lineRule="exact" w:after="120"/>
        <w:snapToGrid w:val="0"/>
      </w:pPr>
      <w:r>
        <w:rPr>
          <w:b w:val="0"/>
          <w:sz w:val="21"/>
        </w:rPr>
        <w:t>integrated_multimodal_description:</w:t>
        <w:br/>
        <w:t>An intimate cinematic close-up in a quiet study at dusk. &lt;Subject 1&gt; is seated beside a window, facing a laptop just below the camera's line of sight. Warm golden side and back light shapes her face and catches fine strands of hair; a soft cool fill keeps detail visible in the shadowed cheek. The foreground laptop edge and distant study are softly out of focus. Natural pores, restrained warm color grading, subtle film grain, shallow depth of field and realistic live-action photography. Her face and eyes remain the visual center of the scene.</w:t>
      </w:r>
    </w:p>
    <w:p>
      <w:pPr>
        <w:spacing w:line="286" w:lineRule="exact" w:after="120"/>
        <w:snapToGrid w:val="0"/>
      </w:pPr>
      <w:r>
        <w:rPr>
          <w:b w:val="0"/>
          <w:sz w:val="21"/>
        </w:rPr>
        <w:t>One continuous, very slow push-in from a head-and-shoulders close-up toward a tighter facial close-up. Her performance develops gradually through a clear emotional progression. At first she reads the screen, nearly motionless, as if she cannot yet believe the good news. Her eyebrows lift only slightly, her lips part a little and she takes a shallow breath. Her gaze pauses on the message, then her lips press together gently. Moisture gathers along the lower eyelids; she holds back the tears with one slow blink and a small swallow. Keep the expression subtle and believable.</w:t>
      </w:r>
    </w:p>
    <w:p>
      <w:pPr>
        <w:spacing w:line="286" w:lineRule="exact" w:after="120"/>
        <w:snapToGrid w:val="0"/>
      </w:pPr>
      <w:r>
        <w:rPr>
          <w:b w:val="0"/>
          <w:sz w:val="21"/>
        </w:rPr>
        <w:t>A single tear finally travels down one cheek. At that moment the camera edges a little closer and her tense mouth softens into a faint, involuntary smile. The smile is small and mixed with the remaining tears. She releases a quiet breath, her brow relaxes, and her gaze gradually shifts toward the warm light of the window. Keep her face visible at a three-quarter angle as she settles into calm relief. Her hands remain low by the desk, with only a slight fingertip tremor early in the shot. Maintain the same face, hairstyle and lighting continuity throughout, with no cuts or dramatic gestures.</w:t>
      </w:r>
    </w:p>
    <w:p>
      <w:pPr>
        <w:spacing w:line="286" w:lineRule="exact" w:after="120"/>
        <w:snapToGrid w:val="0"/>
      </w:pPr>
      <w:r>
        <w:rPr>
          <w:b w:val="0"/>
          <w:sz w:val="21"/>
        </w:rPr>
        <w:t>The laptop suggests an acceptance letter through a softly defocused email layout; no readable institution name, logo or title card is needed. The story is carried by her performance and the changing expression rather than by on-screen text.</w:t>
      </w:r>
    </w:p>
    <w:p>
      <w:pPr>
        <w:spacing w:line="286" w:lineRule="exact" w:after="120"/>
        <w:snapToGrid w:val="0"/>
      </w:pPr>
      <w:r>
        <w:rPr>
          <w:b w:val="0"/>
          <w:sz w:val="21"/>
        </w:rPr>
        <w:t>overall_soundscape:</w:t>
        <w:br/>
        <w:t>Quiet room tone, a faint breeze beyond the window, a soft keyboard tap near the beginning, subtle cloth movement, shallow breathing and a gentle relieved exhale. No spoken dialogue or narration.</w:t>
      </w:r>
    </w:p>
    <w:p>
      <w:pPr>
        <w:spacing w:line="286" w:lineRule="exact" w:after="120"/>
        <w:snapToGrid w:val="0"/>
      </w:pPr>
      <w:r>
        <w:rPr>
          <w:b w:val="0"/>
          <w:sz w:val="21"/>
        </w:rPr>
        <w:t>non_diegetic_music:</w:t>
        <w:br/>
        <w:t>A very soft, sparse piano motif enters near the emotional release and remains understated beneath the natural room ambience.</w:t>
      </w:r>
    </w:p>
    <w:p>
      <w:bookmarkStart w:id="81" w:name="duration"/>
      <w:pPr>
        <w:pStyle w:val="Heading1"/>
        <w:pageBreakBefore/>
        <w:snapToGrid w:val="0"/>
      </w:pPr>
      <w:r>
        <w:t>08 为什么精确十五秒还需要适配</w:t>
      </w:r>
      <w:bookmarkEnd w:id="81"/>
    </w:p>
    <w:p>
      <w:pPr>
        <w:snapToGrid w:val="0"/>
      </w:pPr>
      <w:r>
        <w:rPr>
          <w:b w:val="0"/>
        </w:rPr>
        <w:t>“想要15秒”不等于传360帧就能直接生成。固定版本的Diffusers在24fps下使用17n+5的帧网格，会把360对齐成362；随后又因为超过max_duration=15.0而拒绝。原路径能接受的最大对齐值是345帧，即14.375秒。</w:t>
      </w:r>
    </w:p>
    <w:p>
      <w:pPr>
        <w:snapToGrid w:val="0"/>
      </w:pPr>
      <w:r>
        <w:rPr>
          <w:b w:val="0"/>
        </w:rPr>
        <w:t>我用一个显式的本地runner子类处理这个边界，把该实例的校验上限设为362/24秒。参考准备、采样和解码都按362帧执行，最后只交付真实的前360帧；音频也先真实生成，再取每声道前480000个样本。原模型权重和安装框架没有改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600"/>
        <w:gridCol w:w="4032"/>
      </w:tblGrid>
      <w:tr>
        <w:trPr>
          <w:cantSplit/>
          <w:tblHeader/>
        </w:trPr>
        <w:tc>
          <w:tcPr>
            <w:tcW w:type="dxa" w:w="2448"/>
            <w:vAlign w:val="center"/>
            <w:tcMar>
              <w:top w:w="80" w:type="dxa"/>
              <w:bottom w:w="80" w:type="dxa"/>
              <w:left w:w="100" w:type="dxa"/>
              <w:right w:w="100" w:type="dxa"/>
            </w:tcMar>
            <w:shd w:fill="18354B"/>
          </w:tcPr>
          <w:p>
            <w:pPr>
              <w:spacing w:after="0" w:line="280" w:lineRule="exact"/>
              <w:jc w:val="left"/>
            </w:pPr>
            <w:r>
              <w:rPr>
                <w:b/>
                <w:color w:val="FFFFFF"/>
                <w:sz w:val="20"/>
              </w:rPr>
              <w:t>层次</w:t>
            </w:r>
          </w:p>
        </w:tc>
        <w:tc>
          <w:tcPr>
            <w:tcW w:type="dxa" w:w="3600"/>
            <w:vAlign w:val="center"/>
            <w:tcMar>
              <w:top w:w="80" w:type="dxa"/>
              <w:bottom w:w="80" w:type="dxa"/>
              <w:left w:w="100" w:type="dxa"/>
              <w:right w:w="100" w:type="dxa"/>
            </w:tcMar>
            <w:shd w:fill="18354B"/>
          </w:tcPr>
          <w:p>
            <w:pPr>
              <w:spacing w:after="0" w:line="280" w:lineRule="exact"/>
              <w:jc w:val="left"/>
            </w:pPr>
            <w:r>
              <w:rPr>
                <w:b/>
                <w:color w:val="FFFFFF"/>
                <w:sz w:val="20"/>
              </w:rPr>
              <w:t>实际数量</w:t>
            </w:r>
          </w:p>
        </w:tc>
        <w:tc>
          <w:tcPr>
            <w:tcW w:type="dxa" w:w="4032"/>
            <w:vAlign w:val="center"/>
            <w:tcMar>
              <w:top w:w="80" w:type="dxa"/>
              <w:bottom w:w="80" w:type="dxa"/>
              <w:left w:w="100" w:type="dxa"/>
              <w:right w:w="100" w:type="dxa"/>
            </w:tcMar>
            <w:shd w:fill="18354B"/>
          </w:tcPr>
          <w:p>
            <w:pPr>
              <w:spacing w:after="0" w:line="280" w:lineRule="exact"/>
              <w:jc w:val="left"/>
            </w:pPr>
            <w:r>
              <w:rPr>
                <w:b/>
                <w:color w:val="FFFFFF"/>
                <w:sz w:val="20"/>
              </w:rPr>
              <w:t>交付含义</w:t>
            </w:r>
          </w:p>
        </w:tc>
      </w:tr>
      <w:tr>
        <w:trPr>
          <w:cantSplit/>
        </w:trPr>
        <w:tc>
          <w:tcPr>
            <w:tcW w:type="dxa" w:w="2448"/>
            <w:vAlign w:val="center"/>
            <w:tcMar>
              <w:top w:w="80" w:type="dxa"/>
              <w:bottom w:w="80" w:type="dxa"/>
              <w:left w:w="100" w:type="dxa"/>
              <w:right w:w="100" w:type="dxa"/>
            </w:tcMar>
            <w:shd w:fill="FFFFFF"/>
          </w:tcPr>
          <w:p>
            <w:pPr>
              <w:spacing w:after="0" w:line="280" w:lineRule="exact"/>
              <w:jc w:val="left"/>
            </w:pPr>
            <w:r>
              <w:rPr>
                <w:b w:val="0"/>
                <w:color w:val="000000"/>
                <w:sz w:val="20"/>
              </w:rPr>
              <w:t>内部视频</w:t>
            </w:r>
          </w:p>
        </w:tc>
        <w:tc>
          <w:tcPr>
            <w:tcW w:type="dxa" w:w="3600"/>
            <w:vAlign w:val="center"/>
            <w:tcMar>
              <w:top w:w="80" w:type="dxa"/>
              <w:bottom w:w="80" w:type="dxa"/>
              <w:left w:w="100" w:type="dxa"/>
              <w:right w:w="100" w:type="dxa"/>
            </w:tcMar>
            <w:shd w:fill="FFFFFF"/>
          </w:tcPr>
          <w:p>
            <w:pPr>
              <w:spacing w:after="0" w:line="280" w:lineRule="exact"/>
              <w:jc w:val="left"/>
            </w:pPr>
            <w:r>
              <w:rPr>
                <w:b w:val="0"/>
                <w:color w:val="000000"/>
                <w:sz w:val="20"/>
              </w:rPr>
              <w:t>362帧</w:t>
            </w:r>
          </w:p>
        </w:tc>
        <w:tc>
          <w:tcPr>
            <w:tcW w:type="dxa" w:w="4032"/>
            <w:vAlign w:val="center"/>
            <w:tcMar>
              <w:top w:w="80" w:type="dxa"/>
              <w:bottom w:w="80" w:type="dxa"/>
              <w:left w:w="100" w:type="dxa"/>
              <w:right w:w="100" w:type="dxa"/>
            </w:tcMar>
            <w:shd w:fill="FFFFFF"/>
          </w:tcPr>
          <w:p>
            <w:pPr>
              <w:spacing w:after="0" w:line="280" w:lineRule="exact"/>
              <w:jc w:val="left"/>
            </w:pPr>
            <w:r>
              <w:rPr>
                <w:b w:val="0"/>
                <w:color w:val="000000"/>
                <w:sz w:val="20"/>
              </w:rPr>
              <w:t>24fps下约15.083333秒</w:t>
            </w:r>
          </w:p>
        </w:tc>
      </w:tr>
      <w:tr>
        <w:trPr>
          <w:cantSplit/>
        </w:trPr>
        <w:tc>
          <w:tcPr>
            <w:tcW w:type="dxa" w:w="2448"/>
            <w:vAlign w:val="center"/>
            <w:tcMar>
              <w:top w:w="80" w:type="dxa"/>
              <w:bottom w:w="80" w:type="dxa"/>
              <w:left w:w="100" w:type="dxa"/>
              <w:right w:w="100" w:type="dxa"/>
            </w:tcMar>
            <w:shd w:fill="F1F5F8"/>
          </w:tcPr>
          <w:p>
            <w:pPr>
              <w:spacing w:after="0" w:line="280" w:lineRule="exact"/>
              <w:jc w:val="left"/>
            </w:pPr>
            <w:r>
              <w:rPr>
                <w:b w:val="0"/>
                <w:color w:val="000000"/>
                <w:sz w:val="20"/>
              </w:rPr>
              <w:t>内部音频</w:t>
            </w:r>
          </w:p>
        </w:tc>
        <w:tc>
          <w:tcPr>
            <w:tcW w:type="dxa" w:w="3600"/>
            <w:vAlign w:val="center"/>
            <w:tcMar>
              <w:top w:w="80" w:type="dxa"/>
              <w:bottom w:w="80" w:type="dxa"/>
              <w:left w:w="100" w:type="dxa"/>
              <w:right w:w="100" w:type="dxa"/>
            </w:tcMar>
            <w:shd w:fill="F1F5F8"/>
          </w:tcPr>
          <w:p>
            <w:pPr>
              <w:spacing w:after="0" w:line="280" w:lineRule="exact"/>
              <w:jc w:val="left"/>
            </w:pPr>
            <w:r>
              <w:rPr>
                <w:b w:val="0"/>
                <w:color w:val="000000"/>
                <w:sz w:val="20"/>
              </w:rPr>
              <w:t>每声道482400样本</w:t>
            </w:r>
          </w:p>
        </w:tc>
        <w:tc>
          <w:tcPr>
            <w:tcW w:type="dxa" w:w="4032"/>
            <w:vAlign w:val="center"/>
            <w:tcMar>
              <w:top w:w="80" w:type="dxa"/>
              <w:bottom w:w="80" w:type="dxa"/>
              <w:left w:w="100" w:type="dxa"/>
              <w:right w:w="100" w:type="dxa"/>
            </w:tcMar>
            <w:shd w:fill="F1F5F8"/>
          </w:tcPr>
          <w:p>
            <w:pPr>
              <w:spacing w:after="0" w:line="280" w:lineRule="exact"/>
              <w:jc w:val="left"/>
            </w:pPr>
            <w:r>
              <w:rPr>
                <w:b w:val="0"/>
                <w:color w:val="000000"/>
                <w:sz w:val="20"/>
              </w:rPr>
              <w:t>32kHz下约15.075秒</w:t>
            </w:r>
          </w:p>
        </w:tc>
      </w:tr>
      <w:tr>
        <w:trPr>
          <w:cantSplit/>
        </w:trPr>
        <w:tc>
          <w:tcPr>
            <w:tcW w:type="dxa" w:w="2448"/>
            <w:vAlign w:val="center"/>
            <w:tcMar>
              <w:top w:w="80" w:type="dxa"/>
              <w:bottom w:w="80" w:type="dxa"/>
              <w:left w:w="100" w:type="dxa"/>
              <w:right w:w="100" w:type="dxa"/>
            </w:tcMar>
            <w:shd w:fill="FFFFFF"/>
          </w:tcPr>
          <w:p>
            <w:pPr>
              <w:spacing w:after="0" w:line="280" w:lineRule="exact"/>
              <w:jc w:val="left"/>
            </w:pPr>
            <w:r>
              <w:rPr>
                <w:b w:val="0"/>
                <w:color w:val="000000"/>
                <w:sz w:val="20"/>
              </w:rPr>
              <w:t>交付视频</w:t>
            </w:r>
          </w:p>
        </w:tc>
        <w:tc>
          <w:tcPr>
            <w:tcW w:type="dxa" w:w="3600"/>
            <w:vAlign w:val="center"/>
            <w:tcMar>
              <w:top w:w="80" w:type="dxa"/>
              <w:bottom w:w="80" w:type="dxa"/>
              <w:left w:w="100" w:type="dxa"/>
              <w:right w:w="100" w:type="dxa"/>
            </w:tcMar>
            <w:shd w:fill="FFFFFF"/>
          </w:tcPr>
          <w:p>
            <w:pPr>
              <w:spacing w:after="0" w:line="280" w:lineRule="exact"/>
              <w:jc w:val="left"/>
            </w:pPr>
            <w:r>
              <w:rPr>
                <w:b w:val="0"/>
                <w:color w:val="000000"/>
                <w:sz w:val="20"/>
              </w:rPr>
              <w:t>前360帧</w:t>
            </w:r>
          </w:p>
        </w:tc>
        <w:tc>
          <w:tcPr>
            <w:tcW w:type="dxa" w:w="4032"/>
            <w:vAlign w:val="center"/>
            <w:tcMar>
              <w:top w:w="80" w:type="dxa"/>
              <w:bottom w:w="80" w:type="dxa"/>
              <w:left w:w="100" w:type="dxa"/>
              <w:right w:w="100" w:type="dxa"/>
            </w:tcMar>
            <w:shd w:fill="FFFFFF"/>
          </w:tcPr>
          <w:p>
            <w:pPr>
              <w:spacing w:after="0" w:line="280" w:lineRule="exact"/>
              <w:jc w:val="left"/>
            </w:pPr>
            <w:r>
              <w:rPr>
                <w:b w:val="0"/>
                <w:color w:val="000000"/>
                <w:sz w:val="20"/>
              </w:rPr>
              <w:t>严格15.000秒</w:t>
            </w:r>
          </w:p>
        </w:tc>
      </w:tr>
      <w:tr>
        <w:trPr>
          <w:cantSplit/>
        </w:trPr>
        <w:tc>
          <w:tcPr>
            <w:tcW w:type="dxa" w:w="2448"/>
            <w:vAlign w:val="center"/>
            <w:tcMar>
              <w:top w:w="80" w:type="dxa"/>
              <w:bottom w:w="80" w:type="dxa"/>
              <w:left w:w="100" w:type="dxa"/>
              <w:right w:w="100" w:type="dxa"/>
            </w:tcMar>
            <w:shd w:fill="F1F5F8"/>
          </w:tcPr>
          <w:p>
            <w:pPr>
              <w:spacing w:after="0" w:line="280" w:lineRule="exact"/>
              <w:jc w:val="left"/>
            </w:pPr>
            <w:r>
              <w:rPr>
                <w:b w:val="0"/>
                <w:color w:val="000000"/>
                <w:sz w:val="20"/>
              </w:rPr>
              <w:t>交付音频</w:t>
            </w:r>
          </w:p>
        </w:tc>
        <w:tc>
          <w:tcPr>
            <w:tcW w:type="dxa" w:w="3600"/>
            <w:vAlign w:val="center"/>
            <w:tcMar>
              <w:top w:w="80" w:type="dxa"/>
              <w:bottom w:w="80" w:type="dxa"/>
              <w:left w:w="100" w:type="dxa"/>
              <w:right w:w="100" w:type="dxa"/>
            </w:tcMar>
            <w:shd w:fill="F1F5F8"/>
          </w:tcPr>
          <w:p>
            <w:pPr>
              <w:spacing w:after="0" w:line="280" w:lineRule="exact"/>
              <w:jc w:val="left"/>
            </w:pPr>
            <w:r>
              <w:rPr>
                <w:b w:val="0"/>
                <w:color w:val="000000"/>
                <w:sz w:val="20"/>
              </w:rPr>
              <w:t>每声道前480000样本</w:t>
            </w:r>
          </w:p>
        </w:tc>
        <w:tc>
          <w:tcPr>
            <w:tcW w:type="dxa" w:w="4032"/>
            <w:vAlign w:val="center"/>
            <w:tcMar>
              <w:top w:w="80" w:type="dxa"/>
              <w:bottom w:w="80" w:type="dxa"/>
              <w:left w:w="100" w:type="dxa"/>
              <w:right w:w="100" w:type="dxa"/>
            </w:tcMar>
            <w:shd w:fill="F1F5F8"/>
          </w:tcPr>
          <w:p>
            <w:pPr>
              <w:spacing w:after="0" w:line="280" w:lineRule="exact"/>
              <w:jc w:val="left"/>
            </w:pPr>
            <w:r>
              <w:rPr>
                <w:b w:val="0"/>
                <w:color w:val="000000"/>
                <w:sz w:val="20"/>
              </w:rPr>
              <w:t>32kHz双声道，严格15.000秒</w:t>
            </w:r>
          </w:p>
        </w:tc>
      </w:tr>
    </w:tbl>
    <w:p>
      <w:pPr>
        <w:spacing w:after="40" w:line="96" w:lineRule="auto"/>
        <w:snapToGrid w:val="0"/>
      </w:pPr>
      <w:r>
        <w:rPr>
          <w:b w:val="0"/>
        </w:rPr>
      </w:r>
      <w:r>
        <w:rPr>
          <w:sz w:val="4"/>
        </w:rPr>
      </w:r>
    </w:p>
    <w:p>
      <w:pPr>
        <w:snapToGrid w:val="0"/>
      </w:pPr>
      <w:r>
        <w:rPr>
          <w:b w:val="0"/>
        </w:rPr>
        <w:t>最终视频保留模型真实生成的前360帧，音频保留对应样本；没有插帧、复制帧、变速或拉伸。实际数量不符会报错。正式长任务之前，先用小图和测试音调确认子类加载与真实编码流程，再运行完整模型。</w:t>
      </w:r>
    </w:p>
    <w:p>
      <w:pPr>
        <w:pStyle w:val="Heading2"/>
        <w:snapToGrid w:val="0"/>
      </w:pPr>
      <w:r>
        <w:t>最终耗时拆开看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6912"/>
      </w:tblGrid>
      <w:tr>
        <w:trPr>
          <w:cantSplit/>
          <w:tblHeader/>
        </w:trPr>
        <w:tc>
          <w:tcPr>
            <w:tcW w:type="dxa" w:w="3168"/>
            <w:vAlign w:val="center"/>
            <w:tcMar>
              <w:top w:w="80" w:type="dxa"/>
              <w:bottom w:w="80" w:type="dxa"/>
              <w:left w:w="100" w:type="dxa"/>
              <w:right w:w="100" w:type="dxa"/>
            </w:tcMar>
            <w:shd w:fill="18354B"/>
          </w:tcPr>
          <w:p>
            <w:pPr>
              <w:spacing w:after="0" w:line="280" w:lineRule="exact"/>
              <w:jc w:val="left"/>
            </w:pPr>
            <w:r>
              <w:rPr>
                <w:b/>
                <w:color w:val="FFFFFF"/>
                <w:sz w:val="20"/>
              </w:rPr>
              <w:t>阶段</w:t>
            </w:r>
          </w:p>
        </w:tc>
        <w:tc>
          <w:tcPr>
            <w:tcW w:type="dxa" w:w="6912"/>
            <w:vAlign w:val="center"/>
            <w:tcMar>
              <w:top w:w="80" w:type="dxa"/>
              <w:bottom w:w="80" w:type="dxa"/>
              <w:left w:w="100" w:type="dxa"/>
              <w:right w:w="100" w:type="dxa"/>
            </w:tcMar>
            <w:shd w:fill="18354B"/>
          </w:tcPr>
          <w:p>
            <w:pPr>
              <w:spacing w:after="0" w:line="280" w:lineRule="exact"/>
              <w:jc w:val="left"/>
            </w:pPr>
            <w:r>
              <w:rPr>
                <w:b/>
                <w:color w:val="FFFFFF"/>
                <w:sz w:val="20"/>
              </w:rPr>
              <w:t>时间</w:t>
            </w:r>
          </w:p>
        </w:tc>
      </w:tr>
      <w:tr>
        <w:trPr>
          <w:cantSplit/>
        </w:trPr>
        <w:tc>
          <w:tcPr>
            <w:tcW w:type="dxa" w:w="3168"/>
            <w:vAlign w:val="center"/>
            <w:tcMar>
              <w:top w:w="80" w:type="dxa"/>
              <w:bottom w:w="80" w:type="dxa"/>
              <w:left w:w="100" w:type="dxa"/>
              <w:right w:w="100" w:type="dxa"/>
            </w:tcMar>
            <w:shd w:fill="FFFFFF"/>
          </w:tcPr>
          <w:p>
            <w:pPr>
              <w:spacing w:after="0" w:line="280" w:lineRule="exact"/>
              <w:jc w:val="left"/>
            </w:pPr>
            <w:r>
              <w:rPr>
                <w:b w:val="0"/>
                <w:color w:val="000000"/>
                <w:sz w:val="20"/>
              </w:rPr>
              <w:t>参考预处理</w:t>
            </w:r>
          </w:p>
        </w:tc>
        <w:tc>
          <w:tcPr>
            <w:tcW w:type="dxa" w:w="6912"/>
            <w:vAlign w:val="center"/>
            <w:tcMar>
              <w:top w:w="80" w:type="dxa"/>
              <w:bottom w:w="80" w:type="dxa"/>
              <w:left w:w="100" w:type="dxa"/>
              <w:right w:w="100" w:type="dxa"/>
            </w:tcMar>
            <w:shd w:fill="FFFFFF"/>
          </w:tcPr>
          <w:p>
            <w:pPr>
              <w:spacing w:after="0" w:line="280" w:lineRule="exact"/>
              <w:jc w:val="left"/>
            </w:pPr>
            <w:r>
              <w:rPr>
                <w:b w:val="0"/>
                <w:color w:val="000000"/>
                <w:sz w:val="20"/>
              </w:rPr>
              <w:t>344.45秒</w:t>
            </w:r>
          </w:p>
        </w:tc>
      </w:tr>
      <w:tr>
        <w:trPr>
          <w:cantSplit/>
        </w:trPr>
        <w:tc>
          <w:tcPr>
            <w:tcW w:type="dxa" w:w="3168"/>
            <w:vAlign w:val="center"/>
            <w:tcMar>
              <w:top w:w="80" w:type="dxa"/>
              <w:bottom w:w="80" w:type="dxa"/>
              <w:left w:w="100" w:type="dxa"/>
              <w:right w:w="100" w:type="dxa"/>
            </w:tcMar>
            <w:shd w:fill="F1F5F8"/>
          </w:tcPr>
          <w:p>
            <w:pPr>
              <w:spacing w:after="0" w:line="280" w:lineRule="exact"/>
              <w:jc w:val="left"/>
            </w:pPr>
            <w:r>
              <w:rPr>
                <w:b w:val="0"/>
                <w:color w:val="000000"/>
                <w:sz w:val="20"/>
              </w:rPr>
              <w:t>49次采样</w:t>
            </w:r>
          </w:p>
        </w:tc>
        <w:tc>
          <w:tcPr>
            <w:tcW w:type="dxa" w:w="6912"/>
            <w:vAlign w:val="center"/>
            <w:tcMar>
              <w:top w:w="80" w:type="dxa"/>
              <w:bottom w:w="80" w:type="dxa"/>
              <w:left w:w="100" w:type="dxa"/>
              <w:right w:w="100" w:type="dxa"/>
            </w:tcMar>
            <w:shd w:fill="F1F5F8"/>
          </w:tcPr>
          <w:p>
            <w:pPr>
              <w:spacing w:after="0" w:line="280" w:lineRule="exact"/>
              <w:jc w:val="left"/>
            </w:pPr>
            <w:r>
              <w:rPr>
                <w:b w:val="0"/>
                <w:color w:val="000000"/>
                <w:sz w:val="20"/>
              </w:rPr>
              <w:t>50024.29秒，平均1020.90秒/步</w:t>
            </w:r>
          </w:p>
        </w:tc>
      </w:tr>
      <w:tr>
        <w:trPr>
          <w:cantSplit/>
        </w:trPr>
        <w:tc>
          <w:tcPr>
            <w:tcW w:type="dxa" w:w="3168"/>
            <w:vAlign w:val="center"/>
            <w:tcMar>
              <w:top w:w="80" w:type="dxa"/>
              <w:bottom w:w="80" w:type="dxa"/>
              <w:left w:w="100" w:type="dxa"/>
              <w:right w:w="100" w:type="dxa"/>
            </w:tcMar>
            <w:shd w:fill="FFFFFF"/>
          </w:tcPr>
          <w:p>
            <w:pPr>
              <w:spacing w:after="0" w:line="280" w:lineRule="exact"/>
              <w:jc w:val="left"/>
            </w:pPr>
            <w:r>
              <w:rPr>
                <w:b w:val="0"/>
                <w:color w:val="000000"/>
                <w:sz w:val="20"/>
              </w:rPr>
              <w:t>采样后pipeline余量</w:t>
            </w:r>
          </w:p>
        </w:tc>
        <w:tc>
          <w:tcPr>
            <w:tcW w:type="dxa" w:w="6912"/>
            <w:vAlign w:val="center"/>
            <w:tcMar>
              <w:top w:w="80" w:type="dxa"/>
              <w:bottom w:w="80" w:type="dxa"/>
              <w:left w:w="100" w:type="dxa"/>
              <w:right w:w="100" w:type="dxa"/>
            </w:tcMar>
            <w:shd w:fill="FFFFFF"/>
          </w:tcPr>
          <w:p>
            <w:pPr>
              <w:spacing w:after="0" w:line="280" w:lineRule="exact"/>
              <w:jc w:val="left"/>
            </w:pPr>
            <w:r>
              <w:rPr>
                <w:b w:val="0"/>
                <w:color w:val="000000"/>
                <w:sz w:val="20"/>
              </w:rPr>
              <w:t>1237.43秒，约20.6分钟，主要是解码等；不是单独测得的纯VAE耗时</w:t>
            </w:r>
          </w:p>
        </w:tc>
      </w:tr>
      <w:tr>
        <w:trPr>
          <w:cantSplit/>
        </w:trPr>
        <w:tc>
          <w:tcPr>
            <w:tcW w:type="dxa" w:w="3168"/>
            <w:vAlign w:val="center"/>
            <w:tcMar>
              <w:top w:w="80" w:type="dxa"/>
              <w:bottom w:w="80" w:type="dxa"/>
              <w:left w:w="100" w:type="dxa"/>
              <w:right w:w="100" w:type="dxa"/>
            </w:tcMar>
            <w:shd w:fill="F1F5F8"/>
          </w:tcPr>
          <w:p>
            <w:pPr>
              <w:spacing w:after="0" w:line="280" w:lineRule="exact"/>
              <w:jc w:val="left"/>
            </w:pPr>
            <w:r>
              <w:rPr>
                <w:b w:val="0"/>
                <w:color w:val="000000"/>
                <w:sz w:val="20"/>
              </w:rPr>
              <w:t>封装MP4</w:t>
            </w:r>
          </w:p>
        </w:tc>
        <w:tc>
          <w:tcPr>
            <w:tcW w:type="dxa" w:w="6912"/>
            <w:vAlign w:val="center"/>
            <w:tcMar>
              <w:top w:w="80" w:type="dxa"/>
              <w:bottom w:w="80" w:type="dxa"/>
              <w:left w:w="100" w:type="dxa"/>
              <w:right w:w="100" w:type="dxa"/>
            </w:tcMar>
            <w:shd w:fill="F1F5F8"/>
          </w:tcPr>
          <w:p>
            <w:pPr>
              <w:spacing w:after="0" w:line="280" w:lineRule="exact"/>
              <w:jc w:val="left"/>
            </w:pPr>
            <w:r>
              <w:rPr>
                <w:b w:val="0"/>
                <w:color w:val="000000"/>
                <w:sz w:val="20"/>
              </w:rPr>
              <w:t>11.00秒</w:t>
            </w:r>
          </w:p>
        </w:tc>
      </w:tr>
      <w:tr>
        <w:trPr>
          <w:cantSplit/>
        </w:trPr>
        <w:tc>
          <w:tcPr>
            <w:tcW w:type="dxa" w:w="3168"/>
            <w:vAlign w:val="center"/>
            <w:tcMar>
              <w:top w:w="80" w:type="dxa"/>
              <w:bottom w:w="80" w:type="dxa"/>
              <w:left w:w="100" w:type="dxa"/>
              <w:right w:w="100" w:type="dxa"/>
            </w:tcMar>
            <w:shd w:fill="FFFFFF"/>
          </w:tcPr>
          <w:p>
            <w:pPr>
              <w:spacing w:after="0" w:line="280" w:lineRule="exact"/>
              <w:jc w:val="left"/>
            </w:pPr>
            <w:r>
              <w:rPr>
                <w:b w:val="0"/>
                <w:color w:val="000000"/>
                <w:sz w:val="20"/>
              </w:rPr>
              <w:t>完整脚本</w:t>
            </w:r>
          </w:p>
        </w:tc>
        <w:tc>
          <w:tcPr>
            <w:tcW w:type="dxa" w:w="6912"/>
            <w:vAlign w:val="center"/>
            <w:tcMar>
              <w:top w:w="80" w:type="dxa"/>
              <w:bottom w:w="80" w:type="dxa"/>
              <w:left w:w="100" w:type="dxa"/>
              <w:right w:w="100" w:type="dxa"/>
            </w:tcMar>
            <w:shd w:fill="FFFFFF"/>
          </w:tcPr>
          <w:p>
            <w:pPr>
              <w:spacing w:after="0" w:line="280" w:lineRule="exact"/>
              <w:jc w:val="left"/>
            </w:pPr>
            <w:r>
              <w:rPr>
                <w:b w:val="0"/>
                <w:color w:val="000000"/>
                <w:sz w:val="20"/>
              </w:rPr>
              <w:t>51673.57秒，约14小时21分钟，不含安装和下载</w:t>
            </w:r>
          </w:p>
        </w:tc>
      </w:tr>
    </w:tbl>
    <w:p>
      <w:pPr>
        <w:spacing w:after="40" w:line="96" w:lineRule="auto"/>
        <w:snapToGrid w:val="0"/>
      </w:pPr>
      <w:r>
        <w:rPr>
          <w:b w:val="0"/>
        </w:rPr>
      </w:r>
      <w:r>
        <w:rPr>
          <w:sz w:val="4"/>
        </w:rPr>
      </w:r>
    </w:p>
    <w:p>
      <w:pPr>
        <w:snapToGrid w:val="0"/>
      </w:pPr>
      <w:r>
        <w:rPr>
          <w:b w:val="0"/>
        </w:rPr>
        <w:t>文件最终通过完整解码，视频轨、音频轨和容器呈现时长均为15.000秒，实际读取360帧。原始音轨比较轻，综合响度约-39.2LUFS。</w:t>
      </w:r>
    </w:p>
    <w:p>
      <w:bookmarkStart w:id="89" w:name="cost"/>
      <w:pPr>
        <w:pStyle w:val="Heading1"/>
        <w:pageBreakBefore/>
        <w:snapToGrid w:val="0"/>
      </w:pPr>
      <w:r>
        <w:t>09 CPU 账单不能只看小时单价</w:t>
      </w:r>
      <w:bookmarkEnd w:id="89"/>
    </w:p>
    <w:p>
      <w:pPr>
        <w:snapToGrid w:val="0"/>
      </w:pPr>
      <w:r>
        <w:rPr>
          <w:b w:val="0"/>
        </w:rPr>
        <w:t>算自己的部署预算时，我需要同时考虑公开报价和完整运行窗口。CPU也会持续计费。2026年10月20日的北京官网刊例价中，ecs.g4i.40xlarge的按量参考价为40.4386元/小时；本次配置的极速型SSD PL0系统盘和数据盘，按量均为0.00105元/GiB·小时。[1]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5472"/>
        <w:gridCol w:w="2016"/>
      </w:tblGrid>
      <w:tr>
        <w:trPr>
          <w:cantSplit/>
          <w:tblHeader/>
        </w:trPr>
        <w:tc>
          <w:tcPr>
            <w:tcW w:type="dxa" w:w="2592"/>
            <w:vAlign w:val="center"/>
            <w:tcMar>
              <w:top w:w="80" w:type="dxa"/>
              <w:bottom w:w="80" w:type="dxa"/>
              <w:left w:w="100" w:type="dxa"/>
              <w:right w:w="100" w:type="dxa"/>
            </w:tcMar>
            <w:shd w:fill="18354B"/>
          </w:tcPr>
          <w:p>
            <w:pPr>
              <w:spacing w:after="0" w:line="280" w:lineRule="exact"/>
              <w:jc w:val="left"/>
            </w:pPr>
            <w:r>
              <w:rPr>
                <w:b/>
                <w:color w:val="FFFFFF"/>
                <w:sz w:val="20"/>
              </w:rPr>
              <w:t>按本次运行窗口重估</w:t>
            </w:r>
          </w:p>
        </w:tc>
        <w:tc>
          <w:tcPr>
            <w:tcW w:type="dxa" w:w="5472"/>
            <w:vAlign w:val="center"/>
            <w:tcMar>
              <w:top w:w="80" w:type="dxa"/>
              <w:bottom w:w="80" w:type="dxa"/>
              <w:left w:w="100" w:type="dxa"/>
              <w:right w:w="100" w:type="dxa"/>
            </w:tcMar>
            <w:shd w:fill="18354B"/>
          </w:tcPr>
          <w:p>
            <w:pPr>
              <w:spacing w:after="0" w:line="280" w:lineRule="exact"/>
              <w:jc w:val="left"/>
            </w:pPr>
            <w:r>
              <w:rPr>
                <w:b/>
                <w:color w:val="FFFFFF"/>
                <w:sz w:val="20"/>
              </w:rPr>
              <w:t>计算</w:t>
            </w:r>
          </w:p>
        </w:tc>
        <w:tc>
          <w:tcPr>
            <w:tcW w:type="dxa" w:w="2016"/>
            <w:vAlign w:val="center"/>
            <w:tcMar>
              <w:top w:w="80" w:type="dxa"/>
              <w:bottom w:w="80" w:type="dxa"/>
              <w:left w:w="100" w:type="dxa"/>
              <w:right w:w="100" w:type="dxa"/>
            </w:tcMar>
            <w:shd w:fill="18354B"/>
          </w:tcPr>
          <w:p>
            <w:pPr>
              <w:spacing w:after="0" w:line="280" w:lineRule="exact"/>
              <w:jc w:val="left"/>
            </w:pPr>
            <w:r>
              <w:rPr>
                <w:b/>
                <w:color w:val="FFFFFF"/>
                <w:sz w:val="20"/>
              </w:rPr>
              <w:t>参考金额</w:t>
            </w:r>
          </w:p>
        </w:tc>
      </w:tr>
      <w:tr>
        <w:trPr>
          <w:cantSplit/>
        </w:trPr>
        <w:tc>
          <w:tcPr>
            <w:tcW w:type="dxa" w:w="2592"/>
            <w:vAlign w:val="center"/>
            <w:tcMar>
              <w:top w:w="80" w:type="dxa"/>
              <w:bottom w:w="80" w:type="dxa"/>
              <w:left w:w="100" w:type="dxa"/>
              <w:right w:w="100" w:type="dxa"/>
            </w:tcMar>
            <w:shd w:fill="FFFFFF"/>
          </w:tcPr>
          <w:p>
            <w:pPr>
              <w:spacing w:after="0" w:line="280" w:lineRule="exact"/>
              <w:jc w:val="left"/>
            </w:pPr>
            <w:r>
              <w:rPr>
                <w:b w:val="0"/>
                <w:color w:val="000000"/>
                <w:sz w:val="20"/>
              </w:rPr>
              <w:t>CPU实例</w:t>
            </w:r>
          </w:p>
        </w:tc>
        <w:tc>
          <w:tcPr>
            <w:tcW w:type="dxa" w:w="5472"/>
            <w:vAlign w:val="center"/>
            <w:tcMar>
              <w:top w:w="80" w:type="dxa"/>
              <w:bottom w:w="80" w:type="dxa"/>
              <w:left w:w="100" w:type="dxa"/>
              <w:right w:w="100" w:type="dxa"/>
            </w:tcMar>
            <w:shd w:fill="FFFFFF"/>
          </w:tcPr>
          <w:p>
            <w:pPr>
              <w:spacing w:after="0" w:line="280" w:lineRule="exact"/>
              <w:jc w:val="left"/>
            </w:pPr>
            <w:r>
              <w:rPr>
                <w:b w:val="0"/>
                <w:color w:val="000000"/>
                <w:sz w:val="20"/>
              </w:rPr>
              <w:t>14.524167小时×40.4386元/小时</w:t>
            </w:r>
          </w:p>
        </w:tc>
        <w:tc>
          <w:tcPr>
            <w:tcW w:type="dxa" w:w="2016"/>
            <w:vAlign w:val="center"/>
            <w:tcMar>
              <w:top w:w="80" w:type="dxa"/>
              <w:bottom w:w="80" w:type="dxa"/>
              <w:left w:w="100" w:type="dxa"/>
              <w:right w:w="100" w:type="dxa"/>
            </w:tcMar>
            <w:shd w:fill="FFFFFF"/>
          </w:tcPr>
          <w:p>
            <w:pPr>
              <w:spacing w:after="0" w:line="280" w:lineRule="exact"/>
              <w:jc w:val="left"/>
            </w:pPr>
            <w:r>
              <w:rPr>
                <w:b w:val="0"/>
                <w:color w:val="000000"/>
                <w:sz w:val="20"/>
              </w:rPr>
              <w:t>587.34元</w:t>
            </w:r>
          </w:p>
        </w:tc>
      </w:tr>
      <w:tr>
        <w:trPr>
          <w:cantSplit/>
        </w:trPr>
        <w:tc>
          <w:tcPr>
            <w:tcW w:type="dxa" w:w="2592"/>
            <w:vAlign w:val="center"/>
            <w:tcMar>
              <w:top w:w="80" w:type="dxa"/>
              <w:bottom w:w="80" w:type="dxa"/>
              <w:left w:w="100" w:type="dxa"/>
              <w:right w:w="100" w:type="dxa"/>
            </w:tcMar>
            <w:shd w:fill="F1F5F8"/>
          </w:tcPr>
          <w:p>
            <w:pPr>
              <w:spacing w:after="0" w:line="280" w:lineRule="exact"/>
              <w:jc w:val="left"/>
            </w:pPr>
            <w:r>
              <w:rPr>
                <w:b w:val="0"/>
                <w:color w:val="000000"/>
                <w:sz w:val="20"/>
              </w:rPr>
              <w:t>两块云盘</w:t>
            </w:r>
          </w:p>
        </w:tc>
        <w:tc>
          <w:tcPr>
            <w:tcW w:type="dxa" w:w="5472"/>
            <w:vAlign w:val="center"/>
            <w:tcMar>
              <w:top w:w="80" w:type="dxa"/>
              <w:bottom w:w="80" w:type="dxa"/>
              <w:left w:w="100" w:type="dxa"/>
              <w:right w:w="100" w:type="dxa"/>
            </w:tcMar>
            <w:shd w:fill="F1F5F8"/>
          </w:tcPr>
          <w:p>
            <w:pPr>
              <w:spacing w:after="0" w:line="280" w:lineRule="exact"/>
              <w:jc w:val="left"/>
            </w:pPr>
            <w:r>
              <w:rPr>
                <w:b w:val="0"/>
                <w:color w:val="000000"/>
                <w:sz w:val="20"/>
              </w:rPr>
              <w:t>14.524167小时×580GiB×0.00105元/GiB·小时</w:t>
            </w:r>
          </w:p>
        </w:tc>
        <w:tc>
          <w:tcPr>
            <w:tcW w:type="dxa" w:w="2016"/>
            <w:vAlign w:val="center"/>
            <w:tcMar>
              <w:top w:w="80" w:type="dxa"/>
              <w:bottom w:w="80" w:type="dxa"/>
              <w:left w:w="100" w:type="dxa"/>
              <w:right w:w="100" w:type="dxa"/>
            </w:tcMar>
            <w:shd w:fill="F1F5F8"/>
          </w:tcPr>
          <w:p>
            <w:pPr>
              <w:spacing w:after="0" w:line="280" w:lineRule="exact"/>
              <w:jc w:val="left"/>
            </w:pPr>
            <w:r>
              <w:rPr>
                <w:b w:val="0"/>
                <w:color w:val="000000"/>
                <w:sz w:val="20"/>
              </w:rPr>
              <w:t>8.85元</w:t>
            </w:r>
          </w:p>
        </w:tc>
      </w:tr>
      <w:tr>
        <w:trPr>
          <w:cantSplit/>
        </w:trPr>
        <w:tc>
          <w:tcPr>
            <w:tcW w:type="dxa" w:w="2592"/>
            <w:vAlign w:val="center"/>
            <w:tcMar>
              <w:top w:w="80" w:type="dxa"/>
              <w:bottom w:w="80" w:type="dxa"/>
              <w:left w:w="100" w:type="dxa"/>
              <w:right w:w="100" w:type="dxa"/>
            </w:tcMar>
            <w:shd w:fill="FFFFFF"/>
          </w:tcPr>
          <w:p>
            <w:pPr>
              <w:spacing w:after="0" w:line="280" w:lineRule="exact"/>
              <w:jc w:val="left"/>
            </w:pPr>
            <w:r>
              <w:rPr>
                <w:b w:val="0"/>
                <w:color w:val="000000"/>
                <w:sz w:val="20"/>
              </w:rPr>
              <w:t>小计</w:t>
            </w:r>
          </w:p>
        </w:tc>
        <w:tc>
          <w:tcPr>
            <w:tcW w:type="dxa" w:w="5472"/>
            <w:vAlign w:val="center"/>
            <w:tcMar>
              <w:top w:w="80" w:type="dxa"/>
              <w:bottom w:w="80" w:type="dxa"/>
              <w:left w:w="100" w:type="dxa"/>
              <w:right w:w="100" w:type="dxa"/>
            </w:tcMar>
            <w:shd w:fill="FFFFFF"/>
          </w:tcPr>
          <w:p>
            <w:pPr>
              <w:spacing w:after="0" w:line="280" w:lineRule="exact"/>
              <w:jc w:val="left"/>
            </w:pPr>
            <w:r>
              <w:rPr>
                <w:b w:val="0"/>
                <w:color w:val="000000"/>
                <w:sz w:val="20"/>
              </w:rPr>
              <w:t>CPU与云盘</w:t>
            </w:r>
          </w:p>
        </w:tc>
        <w:tc>
          <w:tcPr>
            <w:tcW w:type="dxa" w:w="2016"/>
            <w:vAlign w:val="center"/>
            <w:tcMar>
              <w:top w:w="80" w:type="dxa"/>
              <w:bottom w:w="80" w:type="dxa"/>
              <w:left w:w="100" w:type="dxa"/>
              <w:right w:w="100" w:type="dxa"/>
            </w:tcMar>
            <w:shd w:fill="FFFFFF"/>
          </w:tcPr>
          <w:p>
            <w:pPr>
              <w:spacing w:after="0" w:line="280" w:lineRule="exact"/>
              <w:jc w:val="left"/>
            </w:pPr>
            <w:r>
              <w:rPr>
                <w:b w:val="0"/>
                <w:color w:val="000000"/>
                <w:sz w:val="20"/>
              </w:rPr>
              <w:t>596.18元</w:t>
            </w:r>
          </w:p>
        </w:tc>
      </w:tr>
      <w:tr>
        <w:trPr>
          <w:cantSplit/>
        </w:trPr>
        <w:tc>
          <w:tcPr>
            <w:tcW w:type="dxa" w:w="2592"/>
            <w:vAlign w:val="center"/>
            <w:tcMar>
              <w:top w:w="80" w:type="dxa"/>
              <w:bottom w:w="80" w:type="dxa"/>
              <w:left w:w="100" w:type="dxa"/>
              <w:right w:w="100" w:type="dxa"/>
            </w:tcMar>
            <w:shd w:fill="F1F5F8"/>
          </w:tcPr>
          <w:p>
            <w:pPr>
              <w:spacing w:after="0" w:line="280" w:lineRule="exact"/>
              <w:jc w:val="left"/>
            </w:pPr>
            <w:r>
              <w:rPr>
                <w:b w:val="0"/>
                <w:color w:val="000000"/>
                <w:sz w:val="20"/>
              </w:rPr>
              <w:t>另行计费</w:t>
            </w:r>
          </w:p>
        </w:tc>
        <w:tc>
          <w:tcPr>
            <w:tcW w:type="dxa" w:w="5472"/>
            <w:vAlign w:val="center"/>
            <w:tcMar>
              <w:top w:w="80" w:type="dxa"/>
              <w:bottom w:w="80" w:type="dxa"/>
              <w:left w:w="100" w:type="dxa"/>
              <w:right w:w="100" w:type="dxa"/>
            </w:tcMar>
            <w:shd w:fill="F1F5F8"/>
          </w:tcPr>
          <w:p>
            <w:pPr>
              <w:spacing w:after="0" w:line="280" w:lineRule="exact"/>
              <w:jc w:val="left"/>
            </w:pPr>
            <w:r>
              <w:rPr>
                <w:b w:val="0"/>
                <w:color w:val="000000"/>
                <w:sz w:val="20"/>
              </w:rPr>
              <w:t>公网IP、网络流量、快照、额外盘性能及之后保留费用</w:t>
            </w:r>
          </w:p>
        </w:tc>
        <w:tc>
          <w:tcPr>
            <w:tcW w:type="dxa" w:w="2016"/>
            <w:vAlign w:val="center"/>
            <w:tcMar>
              <w:top w:w="80" w:type="dxa"/>
              <w:bottom w:w="80" w:type="dxa"/>
              <w:left w:w="100" w:type="dxa"/>
              <w:right w:w="100" w:type="dxa"/>
            </w:tcMar>
            <w:shd w:fill="F1F5F8"/>
          </w:tcPr>
          <w:p>
            <w:pPr>
              <w:spacing w:after="0" w:line="280" w:lineRule="exact"/>
              <w:jc w:val="left"/>
            </w:pPr>
            <w:r>
              <w:rPr>
                <w:b w:val="0"/>
                <w:color w:val="000000"/>
                <w:sz w:val="20"/>
              </w:rPr>
              <w:t>未计入</w:t>
            </w:r>
          </w:p>
        </w:tc>
      </w:tr>
    </w:tbl>
    <w:p>
      <w:pPr>
        <w:spacing w:after="40" w:line="96" w:lineRule="auto"/>
        <w:snapToGrid w:val="0"/>
      </w:pPr>
      <w:r>
        <w:rPr>
          <w:b w:val="0"/>
        </w:rPr>
      </w:r>
      <w:r>
        <w:rPr>
          <w:sz w:val="4"/>
        </w:rPr>
      </w:r>
    </w:p>
    <w:p>
      <w:pPr>
        <w:snapToGrid w:val="0"/>
      </w:pPr>
      <w:r>
        <w:rPr>
          <w:b w:val="0"/>
        </w:rPr>
        <w:t>分项显示保留两位小数，小计按未舍入金额计算。这是把本次历史运行窗口套用公开刊例价后的预算重估，不是实际支付账单，也不是整个实验从零开始的总费用。准备依赖、下载权重、排查错误和等待人工操作，也可能占用收费中的实例。第一次部署的总成本通常比“模型推理时间×小时价”更复杂。</w:t>
      </w:r>
    </w:p>
    <w:p>
      <w:pPr>
        <w:pStyle w:val="Heading2"/>
        <w:snapToGrid w:val="0"/>
      </w:pPr>
      <w:r>
        <w:t>为什么不能用这次结果证明 CPU 更便宜</w:t>
      </w:r>
    </w:p>
    <w:p>
      <w:pPr>
        <w:snapToGrid w:val="0"/>
      </w:pPr>
      <w:r>
        <w:rPr>
          <w:b w:val="0"/>
        </w:rPr>
        <w:t>公开表中单卡A100 80GB整机的小时价约40.39元，和这台大CPU机器接近。比较单次生成成本时，应同时考虑实例单价、模型运行时间和目标质量。</w:t>
      </w:r>
    </w:p>
    <w:p>
      <w:pPr>
        <w:snapToGrid w:val="0"/>
      </w:pPr>
      <w:r>
        <w:rPr>
          <w:b w:val="0"/>
        </w:rPr>
        <w:t>模型与显卡评估、云资源筛选之后，我选择用大内存 CPU 完成这次部署。若目标是持续生成视频，应把 GPU 短租、托管 API 和 CPU 三条路线放到相同质量目标下，比较总费用、等待时间和运维负担。</w:t>
      </w:r>
    </w:p>
    <w:p>
      <w:pPr>
        <w:pStyle w:val="Heading2"/>
        <w:snapToGrid w:val="0"/>
      </w:pPr>
      <w:r>
        <w:t>完成后必须确认停止计算计费</w:t>
      </w:r>
    </w:p>
    <w:p>
      <w:pPr>
        <w:snapToGrid w:val="0"/>
      </w:pPr>
      <w:r>
        <w:rPr>
          <w:b w:val="0"/>
        </w:rPr>
        <w:t>Linux timeout只限制作业，进程退出或操作系统关机也不保证云端计算停止计费。我在取回视频和日志后，到控制台选择节省停机，并确认状态和停机模式。云盘与公网IP仍保留并按各自规则计费。普通停机和节省停机的差别，必须在开始长任务之前就弄清楚。[8]</w:t>
      </w:r>
    </w:p>
    <w:p>
      <w:bookmarkStart w:id="98" w:name="steps"/>
      <w:pPr>
        <w:pStyle w:val="Heading1"/>
        <w:pageBreakBefore/>
        <w:snapToGrid w:val="0"/>
      </w:pPr>
      <w:r>
        <w:t>10 普通用户照着做时我会检查什么</w:t>
      </w:r>
      <w:bookmarkEnd w:id="98"/>
    </w:p>
    <w:p>
      <w:pPr>
        <w:snapToGrid w:val="0"/>
      </w:pPr>
      <w:r>
        <w:rPr>
          <w:b w:val="0"/>
        </w:rPr>
        <w:t>下面是我会采用的执行顺序。它描述方法和关键配置，具体规格仍要以可用区库存、公开价及下单结果为准。实验脚本应和模型版本、输入处理、校验逻辑一并准备，不能只复制最后一条生成命令。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920"/>
      </w:tblGrid>
      <w:tr>
        <w:trPr>
          <w:cantSplit/>
          <w:tblHeader/>
        </w:trPr>
        <w:tc>
          <w:tcPr>
            <w:tcW w:type="dxa" w:w="2160"/>
            <w:vAlign w:val="center"/>
            <w:tcMar>
              <w:top w:w="80" w:type="dxa"/>
              <w:bottom w:w="80" w:type="dxa"/>
              <w:left w:w="100" w:type="dxa"/>
              <w:right w:w="100" w:type="dxa"/>
            </w:tcMar>
            <w:shd w:fill="18354B"/>
          </w:tcPr>
          <w:p>
            <w:pPr>
              <w:spacing w:after="0" w:line="280" w:lineRule="exact"/>
              <w:jc w:val="left"/>
            </w:pPr>
            <w:r>
              <w:rPr>
                <w:b/>
                <w:color w:val="FFFFFF"/>
                <w:sz w:val="20"/>
              </w:rPr>
              <w:t>步骤</w:t>
            </w:r>
          </w:p>
        </w:tc>
        <w:tc>
          <w:tcPr>
            <w:tcW w:type="dxa" w:w="7920"/>
            <w:vAlign w:val="center"/>
            <w:tcMar>
              <w:top w:w="80" w:type="dxa"/>
              <w:bottom w:w="80" w:type="dxa"/>
              <w:left w:w="100" w:type="dxa"/>
              <w:right w:w="100" w:type="dxa"/>
            </w:tcMar>
            <w:shd w:fill="18354B"/>
          </w:tcPr>
          <w:p>
            <w:pPr>
              <w:spacing w:after="0" w:line="280" w:lineRule="exact"/>
              <w:jc w:val="left"/>
            </w:pPr>
            <w:r>
              <w:rPr>
                <w:b/>
                <w:color w:val="FFFFFF"/>
                <w:sz w:val="20"/>
              </w:rPr>
              <w:t>做法与判断</w:t>
            </w:r>
          </w:p>
        </w:tc>
      </w:tr>
      <w:tr>
        <w:trPr>
          <w:cantSplit/>
        </w:trPr>
        <w:tc>
          <w:tcPr>
            <w:tcW w:type="dxa" w:w="2160"/>
            <w:vAlign w:val="center"/>
            <w:tcMar>
              <w:top w:w="80" w:type="dxa"/>
              <w:bottom w:w="80" w:type="dxa"/>
              <w:left w:w="100" w:type="dxa"/>
              <w:right w:w="100" w:type="dxa"/>
            </w:tcMar>
            <w:shd w:fill="FFFFFF"/>
          </w:tcPr>
          <w:p>
            <w:pPr>
              <w:spacing w:after="0" w:line="280" w:lineRule="exact"/>
              <w:jc w:val="left"/>
            </w:pPr>
            <w:r>
              <w:rPr>
                <w:b w:val="0"/>
                <w:color w:val="000000"/>
                <w:sz w:val="20"/>
              </w:rPr>
              <w:t>1 明确约束</w:t>
            </w:r>
          </w:p>
        </w:tc>
        <w:tc>
          <w:tcPr>
            <w:tcW w:type="dxa" w:w="7920"/>
            <w:vAlign w:val="center"/>
            <w:tcMar>
              <w:top w:w="80" w:type="dxa"/>
              <w:bottom w:w="80" w:type="dxa"/>
              <w:left w:w="100" w:type="dxa"/>
              <w:right w:w="100" w:type="dxa"/>
            </w:tcMar>
            <w:shd w:fill="FFFFFF"/>
          </w:tcPr>
          <w:p>
            <w:pPr>
              <w:spacing w:after="0" w:line="280" w:lineRule="exact"/>
              <w:jc w:val="left"/>
            </w:pPr>
            <w:r>
              <w:rPr>
                <w:b w:val="0"/>
                <w:color w:val="000000"/>
                <w:sz w:val="20"/>
              </w:rPr>
              <w:t>先列出模型目标与硬件条件，再对照可用设备、等待时间和完整实验预算</w:t>
            </w:r>
          </w:p>
        </w:tc>
      </w:tr>
      <w:tr>
        <w:trPr>
          <w:cantSplit/>
        </w:trPr>
        <w:tc>
          <w:tcPr>
            <w:tcW w:type="dxa" w:w="2160"/>
            <w:vAlign w:val="center"/>
            <w:tcMar>
              <w:top w:w="80" w:type="dxa"/>
              <w:bottom w:w="80" w:type="dxa"/>
              <w:left w:w="100" w:type="dxa"/>
              <w:right w:w="100" w:type="dxa"/>
            </w:tcMar>
            <w:shd w:fill="F1F5F8"/>
          </w:tcPr>
          <w:p>
            <w:pPr>
              <w:spacing w:after="0" w:line="280" w:lineRule="exact"/>
              <w:jc w:val="left"/>
            </w:pPr>
            <w:r>
              <w:rPr>
                <w:b w:val="0"/>
                <w:color w:val="000000"/>
                <w:sz w:val="20"/>
              </w:rPr>
              <w:t>2 查资源与报价</w:t>
            </w:r>
          </w:p>
        </w:tc>
        <w:tc>
          <w:tcPr>
            <w:tcW w:type="dxa" w:w="7920"/>
            <w:vAlign w:val="center"/>
            <w:tcMar>
              <w:top w:w="80" w:type="dxa"/>
              <w:bottom w:w="80" w:type="dxa"/>
              <w:left w:w="100" w:type="dxa"/>
              <w:right w:w="100" w:type="dxa"/>
            </w:tcMar>
            <w:shd w:fill="F1F5F8"/>
          </w:tcPr>
          <w:p>
            <w:pPr>
              <w:spacing w:after="0" w:line="280" w:lineRule="exact"/>
              <w:jc w:val="left"/>
            </w:pPr>
            <w:r>
              <w:rPr>
                <w:b w:val="0"/>
                <w:color w:val="000000"/>
                <w:sz w:val="20"/>
              </w:rPr>
              <w:t>分开核对购买条件、配额、可用区库存和最终费用，表单可选不代表已创建</w:t>
            </w:r>
          </w:p>
        </w:tc>
      </w:tr>
      <w:tr>
        <w:trPr>
          <w:cantSplit/>
        </w:trPr>
        <w:tc>
          <w:tcPr>
            <w:tcW w:type="dxa" w:w="2160"/>
            <w:vAlign w:val="center"/>
            <w:tcMar>
              <w:top w:w="80" w:type="dxa"/>
              <w:bottom w:w="80" w:type="dxa"/>
              <w:left w:w="100" w:type="dxa"/>
              <w:right w:w="100" w:type="dxa"/>
            </w:tcMar>
            <w:shd w:fill="FFFFFF"/>
          </w:tcPr>
          <w:p>
            <w:pPr>
              <w:spacing w:after="0" w:line="280" w:lineRule="exact"/>
              <w:jc w:val="left"/>
            </w:pPr>
            <w:r>
              <w:rPr>
                <w:b w:val="0"/>
                <w:color w:val="000000"/>
                <w:sz w:val="20"/>
              </w:rPr>
              <w:t>3 准备CPU主机</w:t>
            </w:r>
          </w:p>
        </w:tc>
        <w:tc>
          <w:tcPr>
            <w:tcW w:type="dxa" w:w="7920"/>
            <w:vAlign w:val="center"/>
            <w:tcMar>
              <w:top w:w="80" w:type="dxa"/>
              <w:bottom w:w="80" w:type="dxa"/>
              <w:left w:w="100" w:type="dxa"/>
              <w:right w:w="100" w:type="dxa"/>
            </w:tcMar>
            <w:shd w:fill="FFFFFF"/>
          </w:tcPr>
          <w:p>
            <w:pPr>
              <w:spacing w:after="0" w:line="280" w:lineRule="exact"/>
              <w:jc w:val="left"/>
            </w:pPr>
            <w:r>
              <w:rPr>
                <w:b w:val="0"/>
                <w:color w:val="000000"/>
                <w:sz w:val="20"/>
              </w:rPr>
              <w:t>核对实际物理核、内存、持久盘和网络；给模型、缓存和输出留足空间</w:t>
            </w:r>
          </w:p>
        </w:tc>
      </w:tr>
      <w:tr>
        <w:trPr>
          <w:cantSplit/>
        </w:trPr>
        <w:tc>
          <w:tcPr>
            <w:tcW w:type="dxa" w:w="2160"/>
            <w:vAlign w:val="center"/>
            <w:tcMar>
              <w:top w:w="80" w:type="dxa"/>
              <w:bottom w:w="80" w:type="dxa"/>
              <w:left w:w="100" w:type="dxa"/>
              <w:right w:w="100" w:type="dxa"/>
            </w:tcMar>
            <w:shd w:fill="F1F5F8"/>
          </w:tcPr>
          <w:p>
            <w:pPr>
              <w:spacing w:after="0" w:line="280" w:lineRule="exact"/>
              <w:jc w:val="left"/>
            </w:pPr>
            <w:r>
              <w:rPr>
                <w:b w:val="0"/>
                <w:color w:val="000000"/>
                <w:sz w:val="20"/>
              </w:rPr>
              <w:t>4 固定软件来源</w:t>
            </w:r>
          </w:p>
        </w:tc>
        <w:tc>
          <w:tcPr>
            <w:tcW w:type="dxa" w:w="7920"/>
            <w:vAlign w:val="center"/>
            <w:tcMar>
              <w:top w:w="80" w:type="dxa"/>
              <w:bottom w:w="80" w:type="dxa"/>
              <w:left w:w="100" w:type="dxa"/>
              <w:right w:w="100" w:type="dxa"/>
            </w:tcMar>
            <w:shd w:fill="F1F5F8"/>
          </w:tcPr>
          <w:p>
            <w:pPr>
              <w:spacing w:after="0" w:line="280" w:lineRule="exact"/>
              <w:jc w:val="left"/>
            </w:pPr>
            <w:r>
              <w:rPr>
                <w:b w:val="0"/>
                <w:color w:val="000000"/>
                <w:sz w:val="20"/>
              </w:rPr>
              <w:t>安装CPU版PyTorch、固定H3框架提交，保存版本清单并做微型算子检查</w:t>
            </w:r>
          </w:p>
        </w:tc>
      </w:tr>
      <w:tr>
        <w:trPr>
          <w:cantSplit/>
        </w:trPr>
        <w:tc>
          <w:tcPr>
            <w:tcW w:type="dxa" w:w="2160"/>
            <w:vAlign w:val="center"/>
            <w:tcMar>
              <w:top w:w="80" w:type="dxa"/>
              <w:bottom w:w="80" w:type="dxa"/>
              <w:left w:w="100" w:type="dxa"/>
              <w:right w:w="100" w:type="dxa"/>
            </w:tcMar>
            <w:shd w:fill="FFFFFF"/>
          </w:tcPr>
          <w:p>
            <w:pPr>
              <w:spacing w:after="0" w:line="280" w:lineRule="exact"/>
              <w:jc w:val="left"/>
            </w:pPr>
            <w:r>
              <w:rPr>
                <w:b w:val="0"/>
                <w:color w:val="000000"/>
                <w:sz w:val="20"/>
              </w:rPr>
              <w:t>5 下载并校验</w:t>
            </w:r>
          </w:p>
        </w:tc>
        <w:tc>
          <w:tcPr>
            <w:tcW w:type="dxa" w:w="7920"/>
            <w:vAlign w:val="center"/>
            <w:tcMar>
              <w:top w:w="80" w:type="dxa"/>
              <w:bottom w:w="80" w:type="dxa"/>
              <w:left w:w="100" w:type="dxa"/>
              <w:right w:w="100" w:type="dxa"/>
            </w:tcMar>
            <w:shd w:fill="FFFFFF"/>
          </w:tcPr>
          <w:p>
            <w:pPr>
              <w:spacing w:after="0" w:line="280" w:lineRule="exact"/>
              <w:jc w:val="left"/>
            </w:pPr>
            <w:r>
              <w:rPr>
                <w:b w:val="0"/>
                <w:color w:val="000000"/>
                <w:sz w:val="20"/>
              </w:rPr>
              <w:t>只取目标工作流组件；记录固定快照，校验文件哈希，推理走离线目录</w:t>
            </w:r>
          </w:p>
        </w:tc>
      </w:tr>
      <w:tr>
        <w:trPr>
          <w:cantSplit/>
        </w:trPr>
        <w:tc>
          <w:tcPr>
            <w:tcW w:type="dxa" w:w="2160"/>
            <w:vAlign w:val="center"/>
            <w:tcMar>
              <w:top w:w="80" w:type="dxa"/>
              <w:bottom w:w="80" w:type="dxa"/>
              <w:left w:w="100" w:type="dxa"/>
              <w:right w:w="100" w:type="dxa"/>
            </w:tcMar>
            <w:shd w:fill="F1F5F8"/>
          </w:tcPr>
          <w:p>
            <w:pPr>
              <w:spacing w:after="0" w:line="280" w:lineRule="exact"/>
              <w:jc w:val="left"/>
            </w:pPr>
            <w:r>
              <w:rPr>
                <w:b w:val="0"/>
                <w:color w:val="000000"/>
                <w:sz w:val="20"/>
              </w:rPr>
              <w:t>6 分级验证</w:t>
            </w:r>
          </w:p>
        </w:tc>
        <w:tc>
          <w:tcPr>
            <w:tcW w:type="dxa" w:w="7920"/>
            <w:vAlign w:val="center"/>
            <w:tcMar>
              <w:top w:w="80" w:type="dxa"/>
              <w:bottom w:w="80" w:type="dxa"/>
              <w:left w:w="100" w:type="dxa"/>
              <w:right w:w="100" w:type="dxa"/>
            </w:tcMar>
            <w:shd w:fill="F1F5F8"/>
          </w:tcPr>
          <w:p>
            <w:pPr>
              <w:spacing w:after="0" w:line="280" w:lineRule="exact"/>
              <w:jc w:val="left"/>
            </w:pPr>
            <w:r>
              <w:rPr>
                <w:b w:val="0"/>
                <w:color w:val="000000"/>
                <w:sz w:val="20"/>
              </w:rPr>
              <w:t>先小尺寸低步数检查连通，再运行正常49次采样，不用噪声样例评价最终质量</w:t>
            </w:r>
          </w:p>
        </w:tc>
      </w:tr>
      <w:tr>
        <w:trPr>
          <w:cantSplit/>
        </w:trPr>
        <w:tc>
          <w:tcPr>
            <w:tcW w:type="dxa" w:w="2160"/>
            <w:vAlign w:val="center"/>
            <w:tcMar>
              <w:top w:w="80" w:type="dxa"/>
              <w:bottom w:w="80" w:type="dxa"/>
              <w:left w:w="100" w:type="dxa"/>
              <w:right w:w="100" w:type="dxa"/>
            </w:tcMar>
            <w:shd w:fill="FFFFFF"/>
          </w:tcPr>
          <w:p>
            <w:pPr>
              <w:spacing w:after="0" w:line="280" w:lineRule="exact"/>
              <w:jc w:val="left"/>
            </w:pPr>
            <w:r>
              <w:rPr>
                <w:b w:val="0"/>
                <w:color w:val="000000"/>
                <w:sz w:val="20"/>
              </w:rPr>
              <w:t>7 增加复杂度</w:t>
            </w:r>
          </w:p>
        </w:tc>
        <w:tc>
          <w:tcPr>
            <w:tcW w:type="dxa" w:w="7920"/>
            <w:vAlign w:val="center"/>
            <w:tcMar>
              <w:top w:w="80" w:type="dxa"/>
              <w:bottom w:w="80" w:type="dxa"/>
              <w:left w:w="100" w:type="dxa"/>
              <w:right w:w="100" w:type="dxa"/>
            </w:tcMar>
            <w:shd w:fill="FFFFFF"/>
          </w:tcPr>
          <w:p>
            <w:pPr>
              <w:spacing w:after="0" w:line="280" w:lineRule="exact"/>
              <w:jc w:val="left"/>
            </w:pPr>
            <w:r>
              <w:rPr>
                <w:b w:val="0"/>
                <w:color w:val="000000"/>
                <w:sz w:val="20"/>
              </w:rPr>
              <w:t>先跑通单图短片，再提高时长与画幅；用实际前几步更新估算</w:t>
            </w:r>
          </w:p>
        </w:tc>
      </w:tr>
      <w:tr>
        <w:trPr>
          <w:cantSplit/>
        </w:trPr>
        <w:tc>
          <w:tcPr>
            <w:tcW w:type="dxa" w:w="2160"/>
            <w:vAlign w:val="center"/>
            <w:tcMar>
              <w:top w:w="80" w:type="dxa"/>
              <w:bottom w:w="80" w:type="dxa"/>
              <w:left w:w="100" w:type="dxa"/>
              <w:right w:w="100" w:type="dxa"/>
            </w:tcMar>
            <w:shd w:fill="F1F5F8"/>
          </w:tcPr>
          <w:p>
            <w:pPr>
              <w:spacing w:after="0" w:line="280" w:lineRule="exact"/>
              <w:jc w:val="left"/>
            </w:pPr>
            <w:r>
              <w:rPr>
                <w:b w:val="0"/>
                <w:color w:val="000000"/>
                <w:sz w:val="20"/>
              </w:rPr>
              <w:t>8 保存与停机</w:t>
            </w:r>
          </w:p>
        </w:tc>
        <w:tc>
          <w:tcPr>
            <w:tcW w:type="dxa" w:w="7920"/>
            <w:vAlign w:val="center"/>
            <w:tcMar>
              <w:top w:w="80" w:type="dxa"/>
              <w:bottom w:w="80" w:type="dxa"/>
              <w:left w:w="100" w:type="dxa"/>
              <w:right w:w="100" w:type="dxa"/>
            </w:tcMar>
            <w:shd w:fill="F1F5F8"/>
          </w:tcPr>
          <w:p>
            <w:pPr>
              <w:spacing w:after="0" w:line="280" w:lineRule="exact"/>
              <w:jc w:val="left"/>
            </w:pPr>
            <w:r>
              <w:rPr>
                <w:b w:val="0"/>
                <w:color w:val="000000"/>
                <w:sz w:val="20"/>
              </w:rPr>
              <w:t>等待解码和进程完成，校验并取回文件，然后确认节省停机</w:t>
            </w:r>
          </w:p>
        </w:tc>
      </w:tr>
    </w:tbl>
    <w:p>
      <w:pPr>
        <w:spacing w:after="40" w:line="96" w:lineRule="auto"/>
        <w:snapToGrid w:val="0"/>
      </w:pPr>
      <w:r>
        <w:rPr>
          <w:b w:val="0"/>
        </w:rPr>
      </w:r>
      <w:r>
        <w:rPr>
          <w:sz w:val="4"/>
        </w:rPr>
      </w:r>
    </w:p>
    <w:p>
      <w:pPr>
        <w:pStyle w:val="Heading2"/>
        <w:snapToGrid w:val="0"/>
      </w:pPr>
      <w:r>
        <w:t>示例配置应表达清楚什么</w:t>
      </w:r>
    </w:p>
    <w:p>
      <w:pPr>
        <w:spacing w:after="20" w:line="250" w:lineRule="exact"/>
        <w:ind w:left="173"/>
        <w:snapToGrid w:val="0"/>
      </w:pPr>
      <w:r>
        <w:rPr>
          <w:b w:val="0"/>
        </w:rPr>
      </w:r>
      <w:r>
        <w:rPr>
          <w:rFonts w:ascii="Menlo" w:hAnsi="Menlo" w:eastAsia="Hiragino Sans GB"/>
          <w:sz w:val="18"/>
        </w:rPr>
        <w:t># 本次完整短片的主要参数</w:t>
      </w:r>
    </w:p>
    <w:p>
      <w:pPr>
        <w:spacing w:after="20" w:line="250" w:lineRule="exact"/>
        <w:ind w:left="173"/>
        <w:snapToGrid w:val="0"/>
      </w:pPr>
      <w:r>
        <w:rPr>
          <w:b w:val="0"/>
        </w:rPr>
      </w:r>
      <w:r>
        <w:rPr>
          <w:rFonts w:ascii="Menlo" w:hAnsi="Menlo" w:eastAsia="Hiragino Sans GB"/>
          <w:sz w:val="18"/>
        </w:rPr>
        <w:t>--references-json /data/h3-cpu/example/references.json</w:t>
      </w:r>
    </w:p>
    <w:p>
      <w:pPr>
        <w:spacing w:after="20" w:line="250" w:lineRule="exact"/>
        <w:ind w:left="173"/>
        <w:snapToGrid w:val="0"/>
      </w:pPr>
      <w:r>
        <w:rPr>
          <w:b w:val="0"/>
        </w:rPr>
      </w:r>
      <w:r>
        <w:rPr>
          <w:rFonts w:ascii="Menlo" w:hAnsi="Menlo" w:eastAsia="Hiragino Sans GB"/>
          <w:sz w:val="18"/>
        </w:rPr>
        <w:t>--width 768 --height 768 --frames 124</w:t>
      </w:r>
    </w:p>
    <w:p>
      <w:pPr>
        <w:spacing w:after="20" w:line="250" w:lineRule="exact"/>
        <w:ind w:left="173"/>
        <w:snapToGrid w:val="0"/>
      </w:pPr>
      <w:r>
        <w:rPr>
          <w:b w:val="0"/>
        </w:rPr>
      </w:r>
      <w:r>
        <w:rPr>
          <w:rFonts w:ascii="Menlo" w:hAnsi="Menlo" w:eastAsia="Hiragino Sans GB"/>
          <w:sz w:val="18"/>
        </w:rPr>
        <w:t>--steps 49 --dtype bf16 --threads 80 --seed 2101</w:t>
      </w:r>
    </w:p>
    <w:p>
      <w:pPr>
        <w:spacing w:after="20" w:line="250" w:lineRule="exact"/>
        <w:ind w:left="173"/>
        <w:snapToGrid w:val="0"/>
      </w:pPr>
      <w:r>
        <w:rPr>
          <w:b w:val="0"/>
        </w:rPr>
      </w:r>
      <w:r>
        <w:rPr>
          <w:rFonts w:ascii="Menlo" w:hAnsi="Menlo" w:eastAsia="Hiragino Sans GB"/>
          <w:sz w:val="18"/>
        </w:rPr>
      </w:r>
    </w:p>
    <w:p>
      <w:pPr>
        <w:spacing w:after="20" w:line="250" w:lineRule="exact"/>
        <w:ind w:left="173"/>
        <w:snapToGrid w:val="0"/>
      </w:pPr>
      <w:r>
        <w:rPr>
          <w:b w:val="0"/>
        </w:rPr>
      </w:r>
      <w:r>
        <w:rPr>
          <w:rFonts w:ascii="Menlo" w:hAnsi="Menlo" w:eastAsia="Hiragino Sans GB"/>
          <w:sz w:val="18"/>
        </w:rPr>
        <w:t># 十五秒人物片的主要参数</w:t>
      </w:r>
    </w:p>
    <w:p>
      <w:pPr>
        <w:spacing w:after="20" w:line="250" w:lineRule="exact"/>
        <w:ind w:left="173"/>
        <w:snapToGrid w:val="0"/>
      </w:pPr>
      <w:r>
        <w:rPr>
          <w:b w:val="0"/>
        </w:rPr>
      </w:r>
      <w:r>
        <w:rPr>
          <w:rFonts w:ascii="Menlo" w:hAnsi="Menlo" w:eastAsia="Hiragino Sans GB"/>
          <w:sz w:val="18"/>
        </w:rPr>
        <w:t>--width 1344 --height 768 --exact-15-seconds</w:t>
      </w:r>
    </w:p>
    <w:p>
      <w:pPr>
        <w:spacing w:after="20" w:line="250" w:lineRule="exact"/>
        <w:ind w:left="173"/>
        <w:snapToGrid w:val="0"/>
      </w:pPr>
      <w:r>
        <w:rPr>
          <w:b w:val="0"/>
        </w:rPr>
      </w:r>
      <w:r>
        <w:rPr>
          <w:rFonts w:ascii="Menlo" w:hAnsi="Menlo" w:eastAsia="Hiragino Sans GB"/>
          <w:sz w:val="18"/>
        </w:rPr>
        <w:t>--steps 49 --dtype bf16 --threads 80 --seed 2103</w:t>
      </w:r>
    </w:p>
    <w:p>
      <w:pPr>
        <w:spacing w:after="20" w:line="250" w:lineRule="exact"/>
        <w:ind w:left="173"/>
        <w:snapToGrid w:val="0"/>
      </w:pPr>
      <w:r>
        <w:rPr>
          <w:b w:val="0"/>
        </w:rPr>
      </w:r>
      <w:r>
        <w:rPr>
          <w:rFonts w:ascii="Menlo" w:hAnsi="Menlo" w:eastAsia="Hiragino Sans GB"/>
          <w:sz w:val="18"/>
        </w:rPr>
        <w:t>--max-runtime-seconds 64800</w:t>
      </w:r>
    </w:p>
    <w:p>
      <w:pPr>
        <w:spacing w:after="40"/>
        <w:snapToGrid w:val="0"/>
      </w:pPr>
      <w:r>
        <w:rPr>
          <w:b w:val="0"/>
        </w:rPr>
      </w:r>
    </w:p>
    <w:p>
      <w:pPr>
        <w:snapToGrid w:val="0"/>
      </w:pPr>
      <w:r>
        <w:rPr>
          <w:b w:val="0"/>
        </w:rPr>
        <w:t>这些是本次runner参数，不是可以直接传给所有框架的通用API。--exact-15-seconds是本地适配；--max-runtime-seconds=64800是18小时作业上限，不是耗时承诺，更不会自动停止云计费。示例路径应替换为自己的图片清单与提示词。</w:t>
      </w:r>
    </w:p>
    <w:p>
      <w:bookmarkStart w:id="113" w:name="lessons"/>
      <w:pPr>
        <w:pStyle w:val="Heading1"/>
        <w:pageBreakBefore/>
        <w:snapToGrid w:val="0"/>
      </w:pPr>
      <w:r>
        <w:t>11 这次实践让我改变了哪些判断</w:t>
      </w:r>
      <w:bookmarkEnd w:id="113"/>
    </w:p>
    <w:p>
      <w:pPr>
        <w:snapToGrid w:val="0"/>
      </w:pPr>
      <w:r>
        <w:rPr>
          <w:b w:val="0"/>
        </w:rPr>
        <w:t>完成模型要求与本机显存、系统内存评估后，我进一步确认了大内存CPU能否承载完整H3生成。在这台高内存CPU机器和固定软件版本上，完整单图Ref2VA能够生成音视频；模型容量与CPU执行路径都已落实，代价是长时间等待，以及仍然可观的云资源费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5760"/>
      </w:tblGrid>
      <w:tr>
        <w:trPr>
          <w:cantSplit/>
          <w:tblHeader/>
        </w:trPr>
        <w:tc>
          <w:tcPr>
            <w:tcW w:type="dxa" w:w="4320"/>
            <w:vAlign w:val="center"/>
            <w:tcMar>
              <w:top w:w="80" w:type="dxa"/>
              <w:bottom w:w="80" w:type="dxa"/>
              <w:left w:w="100" w:type="dxa"/>
              <w:right w:w="100" w:type="dxa"/>
            </w:tcMar>
            <w:shd w:fill="18354B"/>
          </w:tcPr>
          <w:p>
            <w:pPr>
              <w:spacing w:after="0" w:line="280" w:lineRule="exact"/>
              <w:jc w:val="left"/>
            </w:pPr>
            <w:r>
              <w:rPr>
                <w:b/>
                <w:color w:val="FFFFFF"/>
                <w:sz w:val="20"/>
              </w:rPr>
              <w:t>实践结果</w:t>
            </w:r>
          </w:p>
        </w:tc>
        <w:tc>
          <w:tcPr>
            <w:tcW w:type="dxa" w:w="5760"/>
            <w:vAlign w:val="center"/>
            <w:tcMar>
              <w:top w:w="80" w:type="dxa"/>
              <w:bottom w:w="80" w:type="dxa"/>
              <w:left w:w="100" w:type="dxa"/>
              <w:right w:w="100" w:type="dxa"/>
            </w:tcMar>
            <w:shd w:fill="18354B"/>
          </w:tcPr>
          <w:p>
            <w:pPr>
              <w:spacing w:after="0" w:line="280" w:lineRule="exact"/>
              <w:jc w:val="left"/>
            </w:pPr>
            <w:r>
              <w:rPr>
                <w:b/>
                <w:color w:val="FFFFFF"/>
                <w:sz w:val="20"/>
              </w:rPr>
              <w:t>具体记录</w:t>
            </w:r>
          </w:p>
        </w:tc>
      </w:tr>
      <w:tr>
        <w:trPr>
          <w:cantSplit/>
        </w:trPr>
        <w:tc>
          <w:tcPr>
            <w:tcW w:type="dxa" w:w="4320"/>
            <w:vAlign w:val="center"/>
            <w:tcMar>
              <w:top w:w="80" w:type="dxa"/>
              <w:bottom w:w="80" w:type="dxa"/>
              <w:left w:w="100" w:type="dxa"/>
              <w:right w:w="100" w:type="dxa"/>
            </w:tcMar>
            <w:shd w:fill="FFFFFF"/>
          </w:tcPr>
          <w:p>
            <w:pPr>
              <w:spacing w:after="0" w:line="280" w:lineRule="exact"/>
              <w:jc w:val="left"/>
            </w:pPr>
            <w:r>
              <w:rPr>
                <w:b w:val="0"/>
                <w:color w:val="000000"/>
                <w:sz w:val="20"/>
              </w:rPr>
              <w:t>完整权重CPU单图参考生成已跑通</w:t>
            </w:r>
          </w:p>
        </w:tc>
        <w:tc>
          <w:tcPr>
            <w:tcW w:type="dxa" w:w="5760"/>
            <w:vAlign w:val="center"/>
            <w:tcMar>
              <w:top w:w="80" w:type="dxa"/>
              <w:bottom w:w="80" w:type="dxa"/>
              <w:left w:w="100" w:type="dxa"/>
              <w:right w:w="100" w:type="dxa"/>
            </w:tcMar>
            <w:shd w:fill="FFFFFF"/>
          </w:tcPr>
          <w:p>
            <w:pPr>
              <w:spacing w:after="0" w:line="280" w:lineRule="exact"/>
              <w:jc w:val="left"/>
            </w:pPr>
            <w:r>
              <w:rPr>
                <w:b w:val="0"/>
                <w:color w:val="000000"/>
                <w:sz w:val="20"/>
              </w:rPr>
              <w:t>160 vCPU、768GiB内存的CPU主机，采用80个计算线程</w:t>
            </w:r>
          </w:p>
        </w:tc>
      </w:tr>
      <w:tr>
        <w:trPr>
          <w:cantSplit/>
        </w:trPr>
        <w:tc>
          <w:tcPr>
            <w:tcW w:type="dxa" w:w="4320"/>
            <w:vAlign w:val="center"/>
            <w:tcMar>
              <w:top w:w="80" w:type="dxa"/>
              <w:bottom w:w="80" w:type="dxa"/>
              <w:left w:w="100" w:type="dxa"/>
              <w:right w:w="100" w:type="dxa"/>
            </w:tcMar>
            <w:shd w:fill="F1F5F8"/>
          </w:tcPr>
          <w:p>
            <w:pPr>
              <w:spacing w:after="0" w:line="280" w:lineRule="exact"/>
              <w:jc w:val="left"/>
            </w:pPr>
            <w:r>
              <w:rPr>
                <w:b w:val="0"/>
                <w:color w:val="000000"/>
                <w:sz w:val="20"/>
              </w:rPr>
              <w:t>五秒与十五秒请求都生成了可解码媒体</w:t>
            </w:r>
          </w:p>
        </w:tc>
        <w:tc>
          <w:tcPr>
            <w:tcW w:type="dxa" w:w="5760"/>
            <w:vAlign w:val="center"/>
            <w:tcMar>
              <w:top w:w="80" w:type="dxa"/>
              <w:bottom w:w="80" w:type="dxa"/>
              <w:left w:w="100" w:type="dxa"/>
              <w:right w:w="100" w:type="dxa"/>
            </w:tcMar>
            <w:shd w:fill="F1F5F8"/>
          </w:tcPr>
          <w:p>
            <w:pPr>
              <w:spacing w:after="0" w:line="280" w:lineRule="exact"/>
              <w:jc w:val="left"/>
            </w:pPr>
            <w:r>
              <w:rPr>
                <w:b w:val="0"/>
                <w:color w:val="000000"/>
                <w:sz w:val="20"/>
              </w:rPr>
              <w:t>五秒样例为768×768；十五秒电影人物片为1344×768、360帧</w:t>
            </w:r>
          </w:p>
        </w:tc>
      </w:tr>
      <w:tr>
        <w:trPr>
          <w:cantSplit/>
        </w:trPr>
        <w:tc>
          <w:tcPr>
            <w:tcW w:type="dxa" w:w="4320"/>
            <w:vAlign w:val="center"/>
            <w:tcMar>
              <w:top w:w="80" w:type="dxa"/>
              <w:bottom w:w="80" w:type="dxa"/>
              <w:left w:w="100" w:type="dxa"/>
              <w:right w:w="100" w:type="dxa"/>
            </w:tcMar>
            <w:shd w:fill="FFFFFF"/>
          </w:tcPr>
          <w:p>
            <w:pPr>
              <w:spacing w:after="0" w:line="280" w:lineRule="exact"/>
              <w:jc w:val="left"/>
            </w:pPr>
            <w:r>
              <w:rPr>
                <w:b w:val="0"/>
                <w:color w:val="000000"/>
                <w:sz w:val="20"/>
              </w:rPr>
              <w:t>人物近景和含泪微笑在抽帧中可见</w:t>
            </w:r>
          </w:p>
        </w:tc>
        <w:tc>
          <w:tcPr>
            <w:tcW w:type="dxa" w:w="5760"/>
            <w:vAlign w:val="center"/>
            <w:tcMar>
              <w:top w:w="80" w:type="dxa"/>
              <w:bottom w:w="80" w:type="dxa"/>
              <w:left w:w="100" w:type="dxa"/>
              <w:right w:w="100" w:type="dxa"/>
            </w:tcMar>
            <w:shd w:fill="FFFFFF"/>
          </w:tcPr>
          <w:p>
            <w:pPr>
              <w:spacing w:after="0" w:line="280" w:lineRule="exact"/>
              <w:jc w:val="left"/>
            </w:pPr>
            <w:r>
              <w:rPr>
                <w:b w:val="0"/>
                <w:color w:val="000000"/>
                <w:sz w:val="20"/>
              </w:rPr>
              <w:t>采用人物参考图、近景提示词和缓慢推近，表达克制停顿与含泪微笑</w:t>
            </w:r>
          </w:p>
        </w:tc>
      </w:tr>
      <w:tr>
        <w:trPr>
          <w:cantSplit/>
        </w:trPr>
        <w:tc>
          <w:tcPr>
            <w:tcW w:type="dxa" w:w="4320"/>
            <w:vAlign w:val="center"/>
            <w:tcMar>
              <w:top w:w="80" w:type="dxa"/>
              <w:bottom w:w="80" w:type="dxa"/>
              <w:left w:w="100" w:type="dxa"/>
              <w:right w:w="100" w:type="dxa"/>
            </w:tcMar>
            <w:shd w:fill="F1F5F8"/>
          </w:tcPr>
          <w:p>
            <w:pPr>
              <w:spacing w:after="0" w:line="280" w:lineRule="exact"/>
              <w:jc w:val="left"/>
            </w:pPr>
            <w:r>
              <w:rPr>
                <w:b w:val="0"/>
                <w:color w:val="000000"/>
                <w:sz w:val="20"/>
              </w:rPr>
              <w:t>精确15秒的本地适配有实际输出证据</w:t>
            </w:r>
          </w:p>
        </w:tc>
        <w:tc>
          <w:tcPr>
            <w:tcW w:type="dxa" w:w="5760"/>
            <w:vAlign w:val="center"/>
            <w:tcMar>
              <w:top w:w="80" w:type="dxa"/>
              <w:bottom w:w="80" w:type="dxa"/>
              <w:left w:w="100" w:type="dxa"/>
              <w:right w:w="100" w:type="dxa"/>
            </w:tcMar>
            <w:shd w:fill="F1F5F8"/>
          </w:tcPr>
          <w:p>
            <w:pPr>
              <w:spacing w:after="0" w:line="280" w:lineRule="exact"/>
              <w:jc w:val="left"/>
            </w:pPr>
            <w:r>
              <w:rPr>
                <w:b w:val="0"/>
                <w:color w:val="000000"/>
                <w:sz w:val="20"/>
              </w:rPr>
              <w:t>本地runner先生成362帧，再裁取真实前360帧及对应音频样本</w:t>
            </w:r>
          </w:p>
        </w:tc>
      </w:tr>
      <w:tr>
        <w:trPr>
          <w:cantSplit/>
        </w:trPr>
        <w:tc>
          <w:tcPr>
            <w:tcW w:type="dxa" w:w="4320"/>
            <w:vAlign w:val="center"/>
            <w:tcMar>
              <w:top w:w="80" w:type="dxa"/>
              <w:bottom w:w="80" w:type="dxa"/>
              <w:left w:w="100" w:type="dxa"/>
              <w:right w:w="100" w:type="dxa"/>
            </w:tcMar>
            <w:shd w:fill="FFFFFF"/>
          </w:tcPr>
          <w:p>
            <w:pPr>
              <w:spacing w:after="0" w:line="280" w:lineRule="exact"/>
              <w:jc w:val="left"/>
            </w:pPr>
            <w:r>
              <w:rPr>
                <w:b w:val="0"/>
                <w:color w:val="000000"/>
                <w:sz w:val="20"/>
              </w:rPr>
              <w:t>公开GPU报价能说明预算量级</w:t>
            </w:r>
          </w:p>
        </w:tc>
        <w:tc>
          <w:tcPr>
            <w:tcW w:type="dxa" w:w="5760"/>
            <w:vAlign w:val="center"/>
            <w:tcMar>
              <w:top w:w="80" w:type="dxa"/>
              <w:bottom w:w="80" w:type="dxa"/>
              <w:left w:w="100" w:type="dxa"/>
              <w:right w:w="100" w:type="dxa"/>
            </w:tcMar>
            <w:shd w:fill="FFFFFF"/>
          </w:tcPr>
          <w:p>
            <w:pPr>
              <w:spacing w:after="0" w:line="280" w:lineRule="exact"/>
              <w:jc w:val="left"/>
            </w:pPr>
            <w:r>
              <w:rPr>
                <w:b w:val="0"/>
                <w:color w:val="000000"/>
                <w:sz w:val="20"/>
              </w:rPr>
              <w:t>规格与价格分别查询，创建实例时同时检查地域、可用区、配额和库存</w:t>
            </w:r>
          </w:p>
        </w:tc>
      </w:tr>
    </w:tbl>
    <w:p>
      <w:pPr>
        <w:spacing w:after="40" w:line="96" w:lineRule="auto"/>
        <w:snapToGrid w:val="0"/>
      </w:pPr>
      <w:r>
        <w:rPr>
          <w:b w:val="0"/>
        </w:rPr>
      </w:r>
      <w:r>
        <w:rPr>
          <w:sz w:val="4"/>
        </w:rPr>
      </w:r>
    </w:p>
    <w:p>
      <w:pPr>
        <w:snapToGrid w:val="0"/>
      </w:pPr>
      <w:r>
        <w:rPr>
          <w:b w:val="0"/>
        </w:rPr>
        <w:t>如果再做一次，我会保留这套分级验证方法，但更早核对公开总价，并给安装、下载、解码和停机操作留出预算。对于日常创作，CPU可以作为技术验证和备选路径；真正要高频使用，仍应优先比较合适GPU或托管服务的端到端成本。</w:t>
      </w:r>
    </w:p>
    <w:p>
      <w:pPr>
        <w:pStyle w:val="Heading2"/>
        <w:snapToGrid w:val="0"/>
      </w:pPr>
      <w:r>
        <w:t>原始视频文件说明</w:t>
      </w:r>
    </w:p>
    <w:p>
      <w:pPr>
        <w:snapToGrid w:val="0"/>
      </w:pPr>
      <w:r>
        <w:rPr>
          <w:b w:val="0"/>
        </w:rPr>
        <w:t>文档开头的对象保存的是完整h3-cinematic-15s.mp4，和随文独立附件逐字节一致。没有重新编码、调速、补帧或替换音轨。Word中的静帧只是附件预览，不应把看到预览图误认为客户端已经具备视频解码播放能力。</w:t>
      </w:r>
    </w:p>
    <w:p>
      <w:pPr>
        <w:spacing w:after="140" w:line="270" w:lineRule="exact"/>
        <w:snapToGrid w:val="0"/>
      </w:pPr>
      <w:r>
        <w:rPr>
          <w:b w:val="0"/>
          <w:sz w:val="19"/>
        </w:rPr>
        <w:t>原始MP4 SHA256：1259819a5218d05f3339f5da8f3f8f724a30102fee5514237537c68e2c110ea9。</w:t>
      </w:r>
    </w:p>
    <w:p>
      <w:bookmarkStart w:id="120" w:name="api_development_plan"/>
      <w:pPr>
        <w:pStyle w:val="Heading1"/>
        <w:pageBreakBefore/>
        <w:snapToGrid w:val="0"/>
      </w:pPr>
      <w:r>
        <w:t>12 API开发方案</w:t>
      </w:r>
      <w:bookmarkEnd w:id="120"/>
    </w:p>
    <w:p>
      <w:pPr>
        <w:snapToGrid w:val="0"/>
      </w:pPr>
      <w:r>
        <w:rPr>
          <w:b w:val="0"/>
        </w:rPr>
        <w:t>我把服务开发的目标定为：在已有CPU推理脚本外增加一个可靠的异步接口，让调用方沿用MiniMax V2的提交、查询和下载方式。首版复用现有模型、权重和runner，只实现单图Ref2VA；接口不会改变CPU生成速度，也不把未实现的官方能力包装成已经支持。</w:t>
      </w:r>
    </w:p>
    <w:p>
      <w:pPr>
        <w:pStyle w:val="Heading2"/>
        <w:snapToGrid w:val="0"/>
      </w:pPr>
      <w:r>
        <w:t>架构选择与开发范围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6120"/>
        <w:gridCol w:w="1944"/>
      </w:tblGrid>
      <w:tr>
        <w:trPr>
          <w:cantSplit/>
          <w:tblHeader/>
        </w:trPr>
        <w:tc>
          <w:tcPr>
            <w:tcW w:type="dxa" w:w="2016"/>
            <w:vAlign w:val="center"/>
            <w:tcMar>
              <w:top w:w="80" w:type="dxa"/>
              <w:bottom w:w="80" w:type="dxa"/>
              <w:left w:w="100" w:type="dxa"/>
              <w:right w:w="100" w:type="dxa"/>
            </w:tcMar>
            <w:shd w:fill="18354B"/>
          </w:tcPr>
          <w:p>
            <w:pPr>
              <w:spacing w:after="0" w:line="280" w:lineRule="exact"/>
              <w:jc w:val="center"/>
            </w:pPr>
            <w:r>
              <w:rPr>
                <w:b/>
                <w:color w:val="FFFFFF"/>
                <w:sz w:val="20"/>
              </w:rPr>
              <w:t>候选方案</w:t>
            </w:r>
          </w:p>
        </w:tc>
        <w:tc>
          <w:tcPr>
            <w:tcW w:type="dxa" w:w="6120"/>
            <w:vAlign w:val="center"/>
            <w:tcMar>
              <w:top w:w="80" w:type="dxa"/>
              <w:bottom w:w="80" w:type="dxa"/>
              <w:left w:w="100" w:type="dxa"/>
              <w:right w:w="100" w:type="dxa"/>
            </w:tcMar>
            <w:shd w:fill="18354B"/>
          </w:tcPr>
          <w:p>
            <w:pPr>
              <w:spacing w:after="0" w:line="280" w:lineRule="exact"/>
              <w:jc w:val="left"/>
            </w:pPr>
            <w:r>
              <w:rPr>
                <w:b/>
                <w:color w:val="FFFFFF"/>
                <w:sz w:val="20"/>
              </w:rPr>
              <w:t>适用条件与代价</w:t>
            </w:r>
          </w:p>
        </w:tc>
        <w:tc>
          <w:tcPr>
            <w:tcW w:type="dxa" w:w="1944"/>
            <w:vAlign w:val="center"/>
            <w:tcMar>
              <w:top w:w="80" w:type="dxa"/>
              <w:bottom w:w="80" w:type="dxa"/>
              <w:left w:w="100" w:type="dxa"/>
              <w:right w:w="100" w:type="dxa"/>
            </w:tcMar>
            <w:shd w:fill="18354B"/>
          </w:tcPr>
          <w:p>
            <w:pPr>
              <w:spacing w:after="0" w:line="280" w:lineRule="exact"/>
              <w:jc w:val="left"/>
            </w:pPr>
            <w:r>
              <w:rPr>
                <w:b/>
                <w:color w:val="FFFFFF"/>
                <w:sz w:val="20"/>
              </w:rPr>
              <w:t>本次选择</w:t>
            </w:r>
          </w:p>
        </w:tc>
      </w:tr>
      <w:tr>
        <w:trPr>
          <w:cantSplit/>
        </w:trPr>
        <w:tc>
          <w:tcPr>
            <w:tcW w:type="dxa" w:w="2016"/>
            <w:vAlign w:val="center"/>
            <w:tcMar>
              <w:top w:w="80" w:type="dxa"/>
              <w:bottom w:w="80" w:type="dxa"/>
              <w:left w:w="100" w:type="dxa"/>
              <w:right w:w="100" w:type="dxa"/>
            </w:tcMar>
            <w:shd w:fill="FFFFFF"/>
          </w:tcPr>
          <w:p>
            <w:pPr>
              <w:spacing w:after="0" w:line="280" w:lineRule="exact"/>
              <w:jc w:val="center"/>
            </w:pPr>
            <w:r>
              <w:rPr>
                <w:b w:val="0"/>
                <w:color w:val="000000"/>
                <w:sz w:val="20"/>
              </w:rPr>
              <w:t>请求中同步推理</w:t>
            </w:r>
          </w:p>
        </w:tc>
        <w:tc>
          <w:tcPr>
            <w:tcW w:type="dxa" w:w="6120"/>
            <w:vAlign w:val="center"/>
            <w:tcMar>
              <w:top w:w="80" w:type="dxa"/>
              <w:bottom w:w="80" w:type="dxa"/>
              <w:left w:w="100" w:type="dxa"/>
              <w:right w:w="100" w:type="dxa"/>
            </w:tcMar>
            <w:shd w:fill="FFFFFF"/>
          </w:tcPr>
          <w:p>
            <w:pPr>
              <w:spacing w:after="0" w:line="280" w:lineRule="exact"/>
              <w:jc w:val="left"/>
            </w:pPr>
            <w:r>
              <w:rPr>
                <w:b w:val="0"/>
                <w:color w:val="000000"/>
                <w:sz w:val="20"/>
              </w:rPr>
              <w:t>实现入口少，但连接要等待数小时；超时后仍需解决任务是否执行的问题</w:t>
            </w:r>
          </w:p>
        </w:tc>
        <w:tc>
          <w:tcPr>
            <w:tcW w:type="dxa" w:w="1944"/>
            <w:vAlign w:val="center"/>
            <w:tcMar>
              <w:top w:w="80" w:type="dxa"/>
              <w:bottom w:w="80" w:type="dxa"/>
              <w:left w:w="100" w:type="dxa"/>
              <w:right w:w="100" w:type="dxa"/>
            </w:tcMar>
            <w:shd w:fill="FFFFFF"/>
          </w:tcPr>
          <w:p>
            <w:pPr>
              <w:spacing w:after="0" w:line="280" w:lineRule="exact"/>
              <w:jc w:val="left"/>
            </w:pPr>
            <w:r>
              <w:rPr>
                <w:b w:val="0"/>
                <w:color w:val="000000"/>
                <w:sz w:val="20"/>
              </w:rPr>
              <w:t>不作为首版调用方式</w:t>
            </w:r>
          </w:p>
        </w:tc>
      </w:tr>
      <w:tr>
        <w:trPr>
          <w:cantSplit/>
        </w:trPr>
        <w:tc>
          <w:tcPr>
            <w:tcW w:type="dxa" w:w="2016"/>
            <w:vAlign w:val="center"/>
            <w:tcMar>
              <w:top w:w="80" w:type="dxa"/>
              <w:bottom w:w="80" w:type="dxa"/>
              <w:left w:w="100" w:type="dxa"/>
              <w:right w:w="100" w:type="dxa"/>
            </w:tcMar>
            <w:shd w:fill="F1F5F8"/>
          </w:tcPr>
          <w:p>
            <w:pPr>
              <w:spacing w:after="0" w:line="280" w:lineRule="exact"/>
              <w:jc w:val="center"/>
            </w:pPr>
            <w:r>
              <w:rPr>
                <w:b w:val="0"/>
                <w:color w:val="000000"/>
                <w:sz w:val="20"/>
              </w:rPr>
              <w:t>单机异步服务</w:t>
            </w:r>
          </w:p>
        </w:tc>
        <w:tc>
          <w:tcPr>
            <w:tcW w:type="dxa" w:w="6120"/>
            <w:vAlign w:val="center"/>
            <w:tcMar>
              <w:top w:w="80" w:type="dxa"/>
              <w:bottom w:w="80" w:type="dxa"/>
              <w:left w:w="100" w:type="dxa"/>
              <w:right w:w="100" w:type="dxa"/>
            </w:tcMar>
            <w:shd w:fill="F1F5F8"/>
          </w:tcPr>
          <w:p>
            <w:pPr>
              <w:spacing w:after="0" w:line="280" w:lineRule="exact"/>
              <w:jc w:val="left"/>
            </w:pPr>
            <w:r>
              <w:rPr>
                <w:b w:val="0"/>
                <w:color w:val="000000"/>
                <w:sz w:val="20"/>
              </w:rPr>
              <w:t>FastAPI接入，SQLite保存状态，一个worker执行；依赖少，便于核查故障</w:t>
            </w:r>
          </w:p>
        </w:tc>
        <w:tc>
          <w:tcPr>
            <w:tcW w:type="dxa" w:w="1944"/>
            <w:vAlign w:val="center"/>
            <w:tcMar>
              <w:top w:w="80" w:type="dxa"/>
              <w:bottom w:w="80" w:type="dxa"/>
              <w:left w:w="100" w:type="dxa"/>
              <w:right w:w="100" w:type="dxa"/>
            </w:tcMar>
            <w:shd w:fill="F1F5F8"/>
          </w:tcPr>
          <w:p>
            <w:pPr>
              <w:spacing w:after="0" w:line="280" w:lineRule="exact"/>
              <w:jc w:val="left"/>
            </w:pPr>
            <w:r>
              <w:rPr>
                <w:b w:val="0"/>
                <w:color w:val="000000"/>
                <w:sz w:val="20"/>
              </w:rPr>
              <w:t>采用</w:t>
            </w:r>
          </w:p>
        </w:tc>
      </w:tr>
      <w:tr>
        <w:trPr>
          <w:cantSplit/>
        </w:trPr>
        <w:tc>
          <w:tcPr>
            <w:tcW w:type="dxa" w:w="2016"/>
            <w:vAlign w:val="center"/>
            <w:tcMar>
              <w:top w:w="80" w:type="dxa"/>
              <w:bottom w:w="80" w:type="dxa"/>
              <w:left w:w="100" w:type="dxa"/>
              <w:right w:w="100" w:type="dxa"/>
            </w:tcMar>
            <w:shd w:fill="FFFFFF"/>
          </w:tcPr>
          <w:p>
            <w:pPr>
              <w:spacing w:after="0" w:line="280" w:lineRule="exact"/>
              <w:jc w:val="center"/>
            </w:pPr>
            <w:r>
              <w:rPr>
                <w:b w:val="0"/>
                <w:color w:val="000000"/>
                <w:sz w:val="20"/>
              </w:rPr>
              <w:t>分布式队列与多机</w:t>
            </w:r>
          </w:p>
        </w:tc>
        <w:tc>
          <w:tcPr>
            <w:tcW w:type="dxa" w:w="6120"/>
            <w:vAlign w:val="center"/>
            <w:tcMar>
              <w:top w:w="80" w:type="dxa"/>
              <w:bottom w:w="80" w:type="dxa"/>
              <w:left w:w="100" w:type="dxa"/>
              <w:right w:w="100" w:type="dxa"/>
            </w:tcMar>
            <w:shd w:fill="FFFFFF"/>
          </w:tcPr>
          <w:p>
            <w:pPr>
              <w:spacing w:after="0" w:line="280" w:lineRule="exact"/>
              <w:jc w:val="left"/>
            </w:pPr>
            <w:r>
              <w:rPr>
                <w:b w:val="0"/>
                <w:color w:val="000000"/>
                <w:sz w:val="20"/>
              </w:rPr>
              <w:t>需要消息队列、共享存储和跨机器调度；适合并发与团队规模扩大后</w:t>
            </w:r>
          </w:p>
        </w:tc>
        <w:tc>
          <w:tcPr>
            <w:tcW w:type="dxa" w:w="1944"/>
            <w:vAlign w:val="center"/>
            <w:tcMar>
              <w:top w:w="80" w:type="dxa"/>
              <w:bottom w:w="80" w:type="dxa"/>
              <w:left w:w="100" w:type="dxa"/>
              <w:right w:w="100" w:type="dxa"/>
            </w:tcMar>
            <w:shd w:fill="FFFFFF"/>
          </w:tcPr>
          <w:p>
            <w:pPr>
              <w:spacing w:after="0" w:line="280" w:lineRule="exact"/>
              <w:jc w:val="left"/>
            </w:pPr>
            <w:r>
              <w:rPr>
                <w:b w:val="0"/>
                <w:color w:val="000000"/>
                <w:sz w:val="20"/>
              </w:rPr>
              <w:t>作为后续扩展</w:t>
            </w:r>
          </w:p>
        </w:tc>
      </w:tr>
    </w:tbl>
    <w:p>
      <w:pPr>
        <w:spacing w:after="40" w:line="96" w:lineRule="auto"/>
        <w:snapToGrid w:val="0"/>
      </w:pPr>
      <w:r>
        <w:rPr>
          <w:b w:val="0"/>
        </w:rPr>
      </w:r>
      <w:r>
        <w:rPr>
          <w:sz w:val="4"/>
        </w:rPr>
      </w:r>
    </w:p>
    <w:p>
      <w:pPr>
        <w:snapToGrid w:val="0"/>
      </w:pPr>
      <w:r>
        <w:rPr>
          <w:b w:val="0"/>
        </w:rPr>
        <w:t>技术栈选Python 3.12、FastAPI/Uvicorn、SQLite和Pillow。API与模型使用不同虚拟环境，避免Web依赖影响已经验证的PyTorch与Diffusers。CPU worker串行运行，每个任务启动独立模型子进程；首版不引入Redis或消息队列，也不承诺常驻模型和并行生成。</w:t>
      </w:r>
    </w:p>
    <w:p>
      <w:pPr>
        <w:keepNext/>
        <w:spacing w:line="240" w:lineRule="auto"/>
        <w:jc w:val="center"/>
        <w:snapToGrid w:val="0"/>
      </w:pPr>
      <w:r>
        <w:drawing>
          <wp:inline xmlns:a="http://schemas.openxmlformats.org/drawingml/2006/main" xmlns:pic="http://schemas.openxmlformats.org/drawingml/2006/picture">
            <wp:extent cx="6217920" cy="2245360"/>
            <wp:docPr id="3" name="Picture 3" descr="图 3  API接入 推理执行与结果获取分别处理"/>
            <wp:cNvGraphicFramePr>
              <a:graphicFrameLocks noChangeAspect="1"/>
            </wp:cNvGraphicFramePr>
            <a:graphic>
              <a:graphicData uri="http://schemas.openxmlformats.org/drawingml/2006/picture">
                <pic:pic>
                  <pic:nvPicPr>
                    <pic:cNvPr id="0" name="api-request-flow.png"/>
                    <pic:cNvPicPr/>
                  </pic:nvPicPr>
                  <pic:blipFill>
                    <a:blip r:embed="rId14"/>
                    <a:stretch>
                      <a:fillRect/>
                    </a:stretch>
                  </pic:blipFill>
                  <pic:spPr>
                    <a:xfrm>
                      <a:off x="0" y="0"/>
                      <a:ext cx="6217920" cy="2245360"/>
                    </a:xfrm>
                    <a:prstGeom prst="rect"/>
                  </pic:spPr>
                </pic:pic>
              </a:graphicData>
            </a:graphic>
          </wp:inline>
        </w:drawing>
      </w:r>
    </w:p>
    <w:p>
      <w:pPr>
        <w:pStyle w:val="Caption"/>
        <w:snapToGrid w:val="0"/>
      </w:pPr>
      <w:r>
        <w:rPr>
          <w:b w:val="0"/>
        </w:rPr>
        <w:t>图 3  API接入 推理执行与结果获取分别处理</w:t>
      </w:r>
    </w:p>
    <w:p>
      <w:pPr>
        <w:pStyle w:val="Heading2"/>
        <w:snapToGrid w:val="0"/>
      </w:pPr>
      <w:r>
        <w:t>如何界定兼容</w:t>
      </w:r>
    </w:p>
    <w:p>
      <w:pPr>
        <w:snapToGrid w:val="0"/>
      </w:pPr>
      <w:r>
        <w:rPr>
          <w:b w:val="0"/>
        </w:rPr>
        <w:t>兼容落实到已支持的路由、字段、任务状态和结果结构。首版必须带一条文本和一张reference_image，使用MiniMax-H3别名、768P档位及4至15秒整数时长。首尾帧、多参考、2K、回调等请求明确报错。接口清单与调用样例见后续两节，不能把V2风格接口理解为官方全部功能的等价实现。</w:t>
      </w:r>
    </w:p>
    <w:p>
      <w:bookmarkStart w:id="129" w:name="api_modules"/>
      <w:pPr>
        <w:pStyle w:val="Heading1"/>
        <w:pageBreakBefore/>
        <w:snapToGrid w:val="0"/>
      </w:pPr>
      <w:r>
        <w:t>API开发方案 模块与任务状态</w:t>
      </w:r>
      <w:bookmarkEnd w:id="129"/>
    </w:p>
    <w:p>
      <w:pPr>
        <w:snapToGrid w:val="0"/>
      </w:pPr>
      <w:r>
        <w:rPr>
          <w:b w:val="0"/>
        </w:rPr>
        <w:t>我把HTTP接入、任务存储、媒体处理和模型执行分别实现。Web进程不导入模型框架，worker通过明确的文件和命令参数调用runner；这样既能独立测试协议，也能定位是请求、素材、模型还是输出验证出了问题。</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tcMar>
              <w:top w:w="80" w:type="dxa"/>
              <w:bottom w:w="80" w:type="dxa"/>
              <w:left w:w="100" w:type="dxa"/>
              <w:right w:w="100" w:type="dxa"/>
            </w:tcMar>
            <w:shd w:fill="18354B"/>
          </w:tcPr>
          <w:p>
            <w:pPr>
              <w:spacing w:after="0" w:line="280" w:lineRule="exact"/>
              <w:jc w:val="left"/>
            </w:pPr>
            <w:r>
              <w:rPr>
                <w:b/>
                <w:color w:val="FFFFFF"/>
                <w:sz w:val="19"/>
              </w:rPr>
              <w:t>模块</w:t>
            </w:r>
          </w:p>
        </w:tc>
        <w:tc>
          <w:tcPr>
            <w:tcW w:type="dxa" w:w="7200"/>
            <w:vAlign w:val="center"/>
            <w:tcMar>
              <w:top w:w="80" w:type="dxa"/>
              <w:bottom w:w="80" w:type="dxa"/>
              <w:left w:w="100" w:type="dxa"/>
              <w:right w:w="100" w:type="dxa"/>
            </w:tcMar>
            <w:shd w:fill="18354B"/>
          </w:tcPr>
          <w:p>
            <w:pPr>
              <w:spacing w:after="0" w:line="280" w:lineRule="exact"/>
              <w:jc w:val="left"/>
            </w:pPr>
            <w:r>
              <w:rPr>
                <w:b/>
                <w:color w:val="FFFFFF"/>
                <w:sz w:val="19"/>
              </w:rPr>
              <w:t>职责与交付边界</w:t>
            </w:r>
          </w:p>
        </w:tc>
      </w:tr>
      <w:tr>
        <w:trPr>
          <w:cantSplit/>
        </w:trPr>
        <w:tc>
          <w:tcPr>
            <w:tcW w:type="dxa" w:w="2880"/>
            <w:vAlign w:val="center"/>
            <w:tcMar>
              <w:top w:w="80" w:type="dxa"/>
              <w:bottom w:w="80" w:type="dxa"/>
              <w:left w:w="100" w:type="dxa"/>
              <w:right w:w="100" w:type="dxa"/>
            </w:tcMar>
            <w:shd w:fill="FFFFFF"/>
          </w:tcPr>
          <w:p>
            <w:pPr>
              <w:spacing w:after="0" w:line="280" w:lineRule="exact"/>
              <w:jc w:val="left"/>
            </w:pPr>
            <w:r>
              <w:rPr>
                <w:b w:val="0"/>
                <w:color w:val="000000"/>
                <w:sz w:val="19"/>
              </w:rPr>
              <w:t>app.py 与 contracts.py</w:t>
            </w:r>
          </w:p>
        </w:tc>
        <w:tc>
          <w:tcPr>
            <w:tcW w:type="dxa" w:w="7200"/>
            <w:vAlign w:val="center"/>
            <w:tcMar>
              <w:top w:w="80" w:type="dxa"/>
              <w:bottom w:w="80" w:type="dxa"/>
              <w:left w:w="100" w:type="dxa"/>
              <w:right w:w="100" w:type="dxa"/>
            </w:tcMar>
            <w:shd w:fill="FFFFFF"/>
          </w:tcPr>
          <w:p>
            <w:pPr>
              <w:spacing w:after="0" w:line="280" w:lineRule="exact"/>
              <w:jc w:val="left"/>
            </w:pPr>
            <w:r>
              <w:rPr>
                <w:b w:val="0"/>
                <w:color w:val="000000"/>
                <w:sz w:val="19"/>
              </w:rPr>
              <w:t>鉴权、HTTP路由、严格字段校验和请求规范化；返回V2风格响应</w:t>
            </w:r>
          </w:p>
        </w:tc>
      </w:tr>
      <w:tr>
        <w:trPr>
          <w:cantSplit/>
        </w:trPr>
        <w:tc>
          <w:tcPr>
            <w:tcW w:type="dxa" w:w="2880"/>
            <w:vAlign w:val="center"/>
            <w:tcMar>
              <w:top w:w="80" w:type="dxa"/>
              <w:bottom w:w="80" w:type="dxa"/>
              <w:left w:w="100" w:type="dxa"/>
              <w:right w:w="100" w:type="dxa"/>
            </w:tcMar>
            <w:shd w:fill="F1F5F8"/>
          </w:tcPr>
          <w:p>
            <w:pPr>
              <w:spacing w:after="0" w:line="280" w:lineRule="exact"/>
              <w:jc w:val="left"/>
            </w:pPr>
            <w:r>
              <w:rPr>
                <w:b w:val="0"/>
                <w:color w:val="000000"/>
                <w:sz w:val="19"/>
              </w:rPr>
              <w:t>store.py</w:t>
            </w:r>
          </w:p>
        </w:tc>
        <w:tc>
          <w:tcPr>
            <w:tcW w:type="dxa" w:w="7200"/>
            <w:vAlign w:val="center"/>
            <w:tcMar>
              <w:top w:w="80" w:type="dxa"/>
              <w:bottom w:w="80" w:type="dxa"/>
              <w:left w:w="100" w:type="dxa"/>
              <w:right w:w="100" w:type="dxa"/>
            </w:tcMar>
            <w:shd w:fill="F1F5F8"/>
          </w:tcPr>
          <w:p>
            <w:pPr>
              <w:spacing w:after="0" w:line="280" w:lineRule="exact"/>
              <w:jc w:val="left"/>
            </w:pPr>
            <w:r>
              <w:rPr>
                <w:b w:val="0"/>
                <w:color w:val="000000"/>
                <w:sz w:val="19"/>
              </w:rPr>
              <w:t>SQLite WAL持久化；提交、幂等、事务领取、状态变更及逻辑删除</w:t>
            </w:r>
          </w:p>
        </w:tc>
      </w:tr>
      <w:tr>
        <w:trPr>
          <w:cantSplit/>
        </w:trPr>
        <w:tc>
          <w:tcPr>
            <w:tcW w:type="dxa" w:w="2880"/>
            <w:vAlign w:val="center"/>
            <w:tcMar>
              <w:top w:w="80" w:type="dxa"/>
              <w:bottom w:w="80" w:type="dxa"/>
              <w:left w:w="100" w:type="dxa"/>
              <w:right w:w="100" w:type="dxa"/>
            </w:tcMar>
            <w:shd w:fill="FFFFFF"/>
          </w:tcPr>
          <w:p>
            <w:pPr>
              <w:spacing w:after="0" w:line="280" w:lineRule="exact"/>
              <w:jc w:val="left"/>
            </w:pPr>
            <w:r>
              <w:rPr>
                <w:b w:val="0"/>
                <w:color w:val="000000"/>
                <w:sz w:val="19"/>
              </w:rPr>
              <w:t>media.py</w:t>
            </w:r>
          </w:p>
        </w:tc>
        <w:tc>
          <w:tcPr>
            <w:tcW w:type="dxa" w:w="7200"/>
            <w:vAlign w:val="center"/>
            <w:tcMar>
              <w:top w:w="80" w:type="dxa"/>
              <w:bottom w:w="80" w:type="dxa"/>
              <w:left w:w="100" w:type="dxa"/>
              <w:right w:w="100" w:type="dxa"/>
            </w:tcMar>
            <w:shd w:fill="FFFFFF"/>
          </w:tcPr>
          <w:p>
            <w:pPr>
              <w:spacing w:after="0" w:line="280" w:lineRule="exact"/>
              <w:jc w:val="left"/>
            </w:pPr>
            <w:r>
              <w:rPr>
                <w:b w:val="0"/>
                <w:color w:val="000000"/>
                <w:sz w:val="19"/>
              </w:rPr>
              <w:t>接入HTTPS图片或data URI，检查格式和大小、归正EXIF、生成标准参考图并选择画布</w:t>
            </w:r>
          </w:p>
        </w:tc>
      </w:tr>
      <w:tr>
        <w:trPr>
          <w:cantSplit/>
        </w:trPr>
        <w:tc>
          <w:tcPr>
            <w:tcW w:type="dxa" w:w="2880"/>
            <w:vAlign w:val="center"/>
            <w:tcMar>
              <w:top w:w="80" w:type="dxa"/>
              <w:bottom w:w="80" w:type="dxa"/>
              <w:left w:w="100" w:type="dxa"/>
              <w:right w:w="100" w:type="dxa"/>
            </w:tcMar>
            <w:shd w:fill="F1F5F8"/>
          </w:tcPr>
          <w:p>
            <w:pPr>
              <w:spacing w:after="0" w:line="280" w:lineRule="exact"/>
              <w:jc w:val="left"/>
            </w:pPr>
            <w:r>
              <w:rPr>
                <w:b w:val="0"/>
                <w:color w:val="000000"/>
                <w:sz w:val="19"/>
              </w:rPr>
              <w:t>worker.py</w:t>
            </w:r>
          </w:p>
        </w:tc>
        <w:tc>
          <w:tcPr>
            <w:tcW w:type="dxa" w:w="7200"/>
            <w:vAlign w:val="center"/>
            <w:tcMar>
              <w:top w:w="80" w:type="dxa"/>
              <w:bottom w:w="80" w:type="dxa"/>
              <w:left w:w="100" w:type="dxa"/>
              <w:right w:w="100" w:type="dxa"/>
            </w:tcMar>
            <w:shd w:fill="F1F5F8"/>
          </w:tcPr>
          <w:p>
            <w:pPr>
              <w:spacing w:after="0" w:line="280" w:lineRule="exact"/>
              <w:jc w:val="left"/>
            </w:pPr>
            <w:r>
              <w:rPr>
                <w:b w:val="0"/>
                <w:color w:val="000000"/>
                <w:sz w:val="19"/>
              </w:rPr>
              <w:t>获得独占锁、顺序领取任务、维护私有目录，并提交成功或失败状态</w:t>
            </w:r>
          </w:p>
        </w:tc>
      </w:tr>
      <w:tr>
        <w:trPr>
          <w:cantSplit/>
        </w:trPr>
        <w:tc>
          <w:tcPr>
            <w:tcW w:type="dxa" w:w="2880"/>
            <w:vAlign w:val="center"/>
            <w:tcMar>
              <w:top w:w="80" w:type="dxa"/>
              <w:bottom w:w="80" w:type="dxa"/>
              <w:left w:w="100" w:type="dxa"/>
              <w:right w:w="100" w:type="dxa"/>
            </w:tcMar>
            <w:shd w:fill="FFFFFF"/>
          </w:tcPr>
          <w:p>
            <w:pPr>
              <w:spacing w:after="0" w:line="280" w:lineRule="exact"/>
              <w:jc w:val="left"/>
            </w:pPr>
            <w:r>
              <w:rPr>
                <w:b w:val="0"/>
                <w:color w:val="000000"/>
                <w:sz w:val="19"/>
              </w:rPr>
              <w:t>backend.py 与 cpu-runtime</w:t>
            </w:r>
          </w:p>
        </w:tc>
        <w:tc>
          <w:tcPr>
            <w:tcW w:type="dxa" w:w="7200"/>
            <w:vAlign w:val="center"/>
            <w:tcMar>
              <w:top w:w="80" w:type="dxa"/>
              <w:bottom w:w="80" w:type="dxa"/>
              <w:left w:w="100" w:type="dxa"/>
              <w:right w:w="100" w:type="dxa"/>
            </w:tcMar>
            <w:shd w:fill="FFFFFF"/>
          </w:tcPr>
          <w:p>
            <w:pPr>
              <w:spacing w:after="0" w:line="280" w:lineRule="exact"/>
              <w:jc w:val="left"/>
            </w:pPr>
            <w:r>
              <w:rPr>
                <w:b w:val="0"/>
                <w:color w:val="000000"/>
                <w:sz w:val="19"/>
              </w:rPr>
              <w:t>子进程执行真实H3，控制时限，验证报告与媒体；按请求秒数裁取真实生成内容</w:t>
            </w:r>
          </w:p>
        </w:tc>
      </w:tr>
      <w:tr>
        <w:trPr>
          <w:cantSplit/>
        </w:trPr>
        <w:tc>
          <w:tcPr>
            <w:tcW w:type="dxa" w:w="2880"/>
            <w:vAlign w:val="center"/>
            <w:tcMar>
              <w:top w:w="80" w:type="dxa"/>
              <w:bottom w:w="80" w:type="dxa"/>
              <w:left w:w="100" w:type="dxa"/>
              <w:right w:w="100" w:type="dxa"/>
            </w:tcMar>
            <w:shd w:fill="F1F5F8"/>
          </w:tcPr>
          <w:p>
            <w:pPr>
              <w:spacing w:after="0" w:line="280" w:lineRule="exact"/>
              <w:jc w:val="left"/>
            </w:pPr>
            <w:r>
              <w:rPr>
                <w:b w:val="0"/>
                <w:color w:val="000000"/>
                <w:sz w:val="19"/>
              </w:rPr>
              <w:t>examples/client.py</w:t>
            </w:r>
          </w:p>
        </w:tc>
        <w:tc>
          <w:tcPr>
            <w:tcW w:type="dxa" w:w="7200"/>
            <w:vAlign w:val="center"/>
            <w:tcMar>
              <w:top w:w="80" w:type="dxa"/>
              <w:bottom w:w="80" w:type="dxa"/>
              <w:left w:w="100" w:type="dxa"/>
              <w:right w:w="100" w:type="dxa"/>
            </w:tcMar>
            <w:shd w:fill="F1F5F8"/>
          </w:tcPr>
          <w:p>
            <w:pPr>
              <w:spacing w:after="0" w:line="280" w:lineRule="exact"/>
              <w:jc w:val="left"/>
            </w:pPr>
            <w:r>
              <w:rPr>
                <w:b w:val="0"/>
                <w:color w:val="000000"/>
                <w:sz w:val="19"/>
              </w:rPr>
              <w:t>提交时保存回执；断线后凭任务ID继续查询和下载，恢复模式不发送POST</w:t>
            </w:r>
          </w:p>
        </w:tc>
      </w:tr>
      <w:tr>
        <w:trPr>
          <w:cantSplit/>
        </w:trPr>
        <w:tc>
          <w:tcPr>
            <w:tcW w:type="dxa" w:w="2880"/>
            <w:vAlign w:val="center"/>
            <w:tcMar>
              <w:top w:w="80" w:type="dxa"/>
              <w:bottom w:w="80" w:type="dxa"/>
              <w:left w:w="100" w:type="dxa"/>
              <w:right w:w="100" w:type="dxa"/>
            </w:tcMar>
            <w:shd w:fill="FFFFFF"/>
          </w:tcPr>
          <w:p>
            <w:pPr>
              <w:spacing w:after="0" w:line="280" w:lineRule="exact"/>
              <w:jc w:val="left"/>
            </w:pPr>
            <w:r>
              <w:rPr>
                <w:b w:val="0"/>
                <w:color w:val="000000"/>
                <w:sz w:val="19"/>
              </w:rPr>
              <w:t>deploy 与 config.py</w:t>
            </w:r>
          </w:p>
        </w:tc>
        <w:tc>
          <w:tcPr>
            <w:tcW w:type="dxa" w:w="7200"/>
            <w:vAlign w:val="center"/>
            <w:tcMar>
              <w:top w:w="80" w:type="dxa"/>
              <w:bottom w:w="80" w:type="dxa"/>
              <w:left w:w="100" w:type="dxa"/>
              <w:right w:w="100" w:type="dxa"/>
            </w:tcMar>
            <w:shd w:fill="FFFFFF"/>
          </w:tcPr>
          <w:p>
            <w:pPr>
              <w:spacing w:after="0" w:line="280" w:lineRule="exact"/>
              <w:jc w:val="left"/>
            </w:pPr>
            <w:r>
              <w:rPr>
                <w:b w:val="0"/>
                <w:color w:val="000000"/>
                <w:sz w:val="19"/>
              </w:rPr>
              <w:t>生成systemd配置、管理环境参数；独立API环境与原模型环境分别使用</w:t>
            </w:r>
          </w:p>
        </w:tc>
      </w:tr>
    </w:tbl>
    <w:p>
      <w:pPr>
        <w:spacing w:after="40" w:line="96" w:lineRule="auto"/>
        <w:snapToGrid w:val="0"/>
      </w:pPr>
      <w:r>
        <w:rPr>
          <w:b w:val="0"/>
        </w:rPr>
      </w:r>
      <w:r>
        <w:rPr>
          <w:sz w:val="4"/>
        </w:rPr>
      </w:r>
    </w:p>
    <w:p>
      <w:pPr>
        <w:pStyle w:val="Heading2"/>
        <w:snapToGrid w:val="0"/>
      </w:pPr>
      <w:r>
        <w:t>数据如何保存与流转</w:t>
      </w:r>
    </w:p>
    <w:p>
      <w:pPr>
        <w:snapToGrid w:val="0"/>
      </w:pPr>
      <w:r>
        <w:rPr>
          <w:b w:val="0"/>
        </w:rPr>
        <w:t>tasks表以seq安排FIFO顺序，以id对外标识任务。payload保存规范化输入，seed保存本次随机种子；idem与request_hash识别重复提交。status、创建和更新时间记录生命周期；result保存输出规格与哈希，error_code和error_message保存对外错误。图片、提示词、日志和MP4位于各自的私有任务目录，不把大视频写入数据库。</w:t>
      </w:r>
    </w:p>
    <w:p>
      <w:pPr>
        <w:spacing w:after="20" w:line="250" w:lineRule="exact"/>
        <w:ind w:left="173"/>
        <w:snapToGrid w:val="0"/>
      </w:pPr>
      <w:r>
        <w:rPr>
          <w:b w:val="0"/>
        </w:rPr>
      </w:r>
      <w:r>
        <w:rPr>
          <w:rFonts w:ascii="Menlo" w:hAnsi="Menlo" w:eastAsia="Hiragino Sans GB"/>
          <w:sz w:val="18"/>
        </w:rPr>
        <w:t>queued  -&gt; running -&gt; succeeded</w:t>
      </w:r>
    </w:p>
    <w:p>
      <w:pPr>
        <w:spacing w:after="20" w:line="250" w:lineRule="exact"/>
        <w:ind w:left="173"/>
        <w:snapToGrid w:val="0"/>
      </w:pPr>
      <w:r>
        <w:rPr>
          <w:b w:val="0"/>
        </w:rPr>
      </w:r>
      <w:r>
        <w:rPr>
          <w:rFonts w:ascii="Menlo" w:hAnsi="Menlo" w:eastAsia="Hiragino Sans GB"/>
          <w:sz w:val="18"/>
        </w:rPr>
        <w:t xml:space="preserve">                    -&gt; failed</w:t>
      </w:r>
    </w:p>
    <w:p>
      <w:pPr>
        <w:spacing w:after="20" w:line="250" w:lineRule="exact"/>
        <w:ind w:left="173"/>
        <w:snapToGrid w:val="0"/>
      </w:pPr>
      <w:r>
        <w:rPr>
          <w:b w:val="0"/>
        </w:rPr>
      </w:r>
      <w:r>
        <w:rPr>
          <w:rFonts w:ascii="Menlo" w:hAnsi="Menlo" w:eastAsia="Hiragino Sans GB"/>
          <w:sz w:val="18"/>
        </w:rPr>
        <w:t>queued  -&gt; cancelled</w:t>
      </w:r>
    </w:p>
    <w:p>
      <w:pPr>
        <w:spacing w:after="20" w:line="250" w:lineRule="exact"/>
        <w:ind w:left="173"/>
        <w:snapToGrid w:val="0"/>
      </w:pPr>
      <w:r>
        <w:rPr>
          <w:b w:val="0"/>
        </w:rPr>
      </w:r>
      <w:r>
        <w:rPr>
          <w:rFonts w:ascii="Menlo" w:hAnsi="Menlo" w:eastAsia="Hiragino Sans GB"/>
          <w:sz w:val="18"/>
        </w:rPr>
        <w:t>queued  -&gt; failed     # 排队超过可见期限时到期处理</w:t>
      </w:r>
    </w:p>
    <w:p>
      <w:pPr>
        <w:spacing w:after="40"/>
        <w:snapToGrid w:val="0"/>
      </w:pPr>
      <w:r>
        <w:rPr>
          <w:b w:val="0"/>
        </w:rPr>
      </w:r>
    </w:p>
    <w:p>
      <w:pPr>
        <w:snapToGrid w:val="0"/>
      </w:pPr>
      <w:r>
        <w:rPr>
          <w:b w:val="0"/>
        </w:rPr>
        <w:t>提交与领取使用BEGIN IMMEDIATE事务。领取前先确认没有running任务，再按seq选择最早queued任务并在同一事务内改为running。同一数据目录还使用可继承的文件锁；模型子进程未退出时，新的worker不能并行抢跑。仅当文件校验与原子发布完成后，才提交succeeded状态。</w:t>
      </w:r>
    </w:p>
    <w:p>
      <w:pPr>
        <w:snapToGrid w:val="0"/>
      </w:pPr>
      <w:r>
        <w:rPr>
          <w:b w:val="0"/>
        </w:rPr>
        <w:t>文件改名与数据库提交并不是一个联合事务。如果文件已经发布、但成功状态尚未提交时进程退出，新worker仍会把遗留running记为失败，不自动补记成功；这类文件不会通过媒体接口对外提供。</w:t>
      </w:r>
    </w:p>
    <w:p>
      <w:pPr>
        <w:spacing w:after="140" w:line="270" w:lineRule="exact"/>
        <w:snapToGrid w:val="0"/>
      </w:pPr>
      <w:r>
        <w:rPr>
          <w:b w:val="0"/>
          <w:sz w:val="19"/>
        </w:rPr>
        <w:t>DELETE是逻辑操作：queued变为cancelled，succeeded或failed被隐藏；running和已cancelled任务拒绝删除。七天可见期按创建时间计算；过期queued在下次提交或领取时处理。没有定时自动删除文件或历史数据库行。</w:t>
      </w:r>
    </w:p>
    <w:p>
      <w:bookmarkStart w:id="142" w:name="api_work_plan"/>
      <w:pPr>
        <w:pStyle w:val="Heading1"/>
        <w:pageBreakBefore/>
        <w:snapToGrid w:val="0"/>
      </w:pPr>
      <w:r>
        <w:t>API开发方案 开发步骤与验收</w:t>
      </w:r>
      <w:bookmarkEnd w:id="142"/>
    </w:p>
    <w:p>
      <w:pPr>
        <w:snapToGrid w:val="0"/>
      </w:pPr>
      <w:r>
        <w:rPr>
          <w:b w:val="0"/>
        </w:rPr>
        <w:t>我按从低成本单元验证到真实模型联调的顺序推进，每一步都给出可检查的交付物。下表对应已经落地的开发工作；后续新增能力应沿用相同验收顺序，不能仅凭HTTP返回成功就认定模型生成成功。</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032"/>
        <w:gridCol w:w="4248"/>
      </w:tblGrid>
      <w:tr>
        <w:trPr>
          <w:cantSplit/>
          <w:tblHeader/>
        </w:trPr>
        <w:tc>
          <w:tcPr>
            <w:tcW w:type="dxa" w:w="1800"/>
            <w:vAlign w:val="center"/>
            <w:tcMar>
              <w:top w:w="80" w:type="dxa"/>
              <w:bottom w:w="80" w:type="dxa"/>
              <w:left w:w="100" w:type="dxa"/>
              <w:right w:w="100" w:type="dxa"/>
            </w:tcMar>
            <w:shd w:fill="18354B"/>
          </w:tcPr>
          <w:p>
            <w:pPr>
              <w:spacing w:after="0" w:line="280" w:lineRule="exact"/>
              <w:jc w:val="center"/>
            </w:pPr>
            <w:r>
              <w:rPr>
                <w:b/>
                <w:color w:val="FFFFFF"/>
                <w:sz w:val="19"/>
              </w:rPr>
              <w:t>阶段</w:t>
            </w:r>
          </w:p>
        </w:tc>
        <w:tc>
          <w:tcPr>
            <w:tcW w:type="dxa" w:w="4032"/>
            <w:vAlign w:val="center"/>
            <w:tcMar>
              <w:top w:w="80" w:type="dxa"/>
              <w:bottom w:w="80" w:type="dxa"/>
              <w:left w:w="100" w:type="dxa"/>
              <w:right w:w="100" w:type="dxa"/>
            </w:tcMar>
            <w:shd w:fill="18354B"/>
          </w:tcPr>
          <w:p>
            <w:pPr>
              <w:spacing w:after="0" w:line="280" w:lineRule="exact"/>
              <w:jc w:val="left"/>
            </w:pPr>
            <w:r>
              <w:rPr>
                <w:b/>
                <w:color w:val="FFFFFF"/>
                <w:sz w:val="19"/>
              </w:rPr>
              <w:t>主要交付物</w:t>
            </w:r>
          </w:p>
        </w:tc>
        <w:tc>
          <w:tcPr>
            <w:tcW w:type="dxa" w:w="4248"/>
            <w:vAlign w:val="center"/>
            <w:tcMar>
              <w:top w:w="80" w:type="dxa"/>
              <w:bottom w:w="80" w:type="dxa"/>
              <w:left w:w="100" w:type="dxa"/>
              <w:right w:w="100" w:type="dxa"/>
            </w:tcMar>
            <w:shd w:fill="18354B"/>
          </w:tcPr>
          <w:p>
            <w:pPr>
              <w:spacing w:after="0" w:line="280" w:lineRule="exact"/>
              <w:jc w:val="left"/>
            </w:pPr>
            <w:r>
              <w:rPr>
                <w:b/>
                <w:color w:val="FFFFFF"/>
                <w:sz w:val="19"/>
              </w:rPr>
              <w:t>通过条件</w:t>
            </w:r>
          </w:p>
        </w:tc>
      </w:tr>
      <w:tr>
        <w:trPr>
          <w:cantSplit/>
        </w:trPr>
        <w:tc>
          <w:tcPr>
            <w:tcW w:type="dxa" w:w="1800"/>
            <w:vAlign w:val="center"/>
            <w:tcMar>
              <w:top w:w="80" w:type="dxa"/>
              <w:bottom w:w="80" w:type="dxa"/>
              <w:left w:w="100" w:type="dxa"/>
              <w:right w:w="100" w:type="dxa"/>
            </w:tcMar>
            <w:shd w:fill="FFFFFF"/>
          </w:tcPr>
          <w:p>
            <w:pPr>
              <w:spacing w:after="0" w:line="280" w:lineRule="exact"/>
              <w:jc w:val="center"/>
            </w:pPr>
            <w:r>
              <w:rPr>
                <w:b w:val="0"/>
                <w:color w:val="000000"/>
                <w:sz w:val="19"/>
              </w:rPr>
              <w:t>1 定义契约</w:t>
            </w:r>
          </w:p>
        </w:tc>
        <w:tc>
          <w:tcPr>
            <w:tcW w:type="dxa" w:w="4032"/>
            <w:vAlign w:val="center"/>
            <w:tcMar>
              <w:top w:w="80" w:type="dxa"/>
              <w:bottom w:w="80" w:type="dxa"/>
              <w:left w:w="100" w:type="dxa"/>
              <w:right w:w="100" w:type="dxa"/>
            </w:tcMar>
            <w:shd w:fill="FFFFFF"/>
          </w:tcPr>
          <w:p>
            <w:pPr>
              <w:spacing w:after="0" w:line="280" w:lineRule="exact"/>
              <w:jc w:val="left"/>
            </w:pPr>
            <w:r>
              <w:rPr>
                <w:b w:val="0"/>
                <w:color w:val="000000"/>
                <w:sz w:val="19"/>
              </w:rPr>
              <w:t>字段白名单、能力矩阵、路由与错误结构</w:t>
            </w:r>
          </w:p>
        </w:tc>
        <w:tc>
          <w:tcPr>
            <w:tcW w:type="dxa" w:w="4248"/>
            <w:vAlign w:val="center"/>
            <w:tcMar>
              <w:top w:w="80" w:type="dxa"/>
              <w:bottom w:w="80" w:type="dxa"/>
              <w:left w:w="100" w:type="dxa"/>
              <w:right w:w="100" w:type="dxa"/>
            </w:tcMar>
            <w:shd w:fill="FFFFFF"/>
          </w:tcPr>
          <w:p>
            <w:pPr>
              <w:spacing w:after="0" w:line="280" w:lineRule="exact"/>
              <w:jc w:val="left"/>
            </w:pPr>
            <w:r>
              <w:rPr>
                <w:b w:val="0"/>
                <w:color w:val="000000"/>
                <w:sz w:val="19"/>
              </w:rPr>
              <w:t>合法请求可规范化，未知或不支持字段明确报错</w:t>
            </w:r>
          </w:p>
        </w:tc>
      </w:tr>
      <w:tr>
        <w:trPr>
          <w:cantSplit/>
        </w:trPr>
        <w:tc>
          <w:tcPr>
            <w:tcW w:type="dxa" w:w="1800"/>
            <w:vAlign w:val="center"/>
            <w:tcMar>
              <w:top w:w="80" w:type="dxa"/>
              <w:bottom w:w="80" w:type="dxa"/>
              <w:left w:w="100" w:type="dxa"/>
              <w:right w:w="100" w:type="dxa"/>
            </w:tcMar>
            <w:shd w:fill="F1F5F8"/>
          </w:tcPr>
          <w:p>
            <w:pPr>
              <w:spacing w:after="0" w:line="280" w:lineRule="exact"/>
              <w:jc w:val="center"/>
            </w:pPr>
            <w:r>
              <w:rPr>
                <w:b w:val="0"/>
                <w:color w:val="000000"/>
                <w:sz w:val="19"/>
              </w:rPr>
              <w:t>2 实现任务库</w:t>
            </w:r>
          </w:p>
        </w:tc>
        <w:tc>
          <w:tcPr>
            <w:tcW w:type="dxa" w:w="4032"/>
            <w:vAlign w:val="center"/>
            <w:tcMar>
              <w:top w:w="80" w:type="dxa"/>
              <w:bottom w:w="80" w:type="dxa"/>
              <w:left w:w="100" w:type="dxa"/>
              <w:right w:w="100" w:type="dxa"/>
            </w:tcMar>
            <w:shd w:fill="F1F5F8"/>
          </w:tcPr>
          <w:p>
            <w:pPr>
              <w:spacing w:after="0" w:line="280" w:lineRule="exact"/>
              <w:jc w:val="left"/>
            </w:pPr>
            <w:r>
              <w:rPr>
                <w:b w:val="0"/>
                <w:color w:val="000000"/>
                <w:sz w:val="19"/>
              </w:rPr>
              <w:t>SQLite、FIFO、状态机与幂等处理</w:t>
            </w:r>
          </w:p>
        </w:tc>
        <w:tc>
          <w:tcPr>
            <w:tcW w:type="dxa" w:w="4248"/>
            <w:vAlign w:val="center"/>
            <w:tcMar>
              <w:top w:w="80" w:type="dxa"/>
              <w:bottom w:w="80" w:type="dxa"/>
              <w:left w:w="100" w:type="dxa"/>
              <w:right w:w="100" w:type="dxa"/>
            </w:tcMar>
            <w:shd w:fill="F1F5F8"/>
          </w:tcPr>
          <w:p>
            <w:pPr>
              <w:spacing w:after="0" w:line="280" w:lineRule="exact"/>
              <w:jc w:val="left"/>
            </w:pPr>
            <w:r>
              <w:rPr>
                <w:b w:val="0"/>
                <w:color w:val="000000"/>
                <w:sz w:val="19"/>
              </w:rPr>
              <w:t>原子领取、同键复用、请求冲突409、队列满429</w:t>
            </w:r>
          </w:p>
        </w:tc>
      </w:tr>
      <w:tr>
        <w:trPr>
          <w:cantSplit/>
        </w:trPr>
        <w:tc>
          <w:tcPr>
            <w:tcW w:type="dxa" w:w="1800"/>
            <w:vAlign w:val="center"/>
            <w:tcMar>
              <w:top w:w="80" w:type="dxa"/>
              <w:bottom w:w="80" w:type="dxa"/>
              <w:left w:w="100" w:type="dxa"/>
              <w:right w:w="100" w:type="dxa"/>
            </w:tcMar>
            <w:shd w:fill="FFFFFF"/>
          </w:tcPr>
          <w:p>
            <w:pPr>
              <w:spacing w:after="0" w:line="280" w:lineRule="exact"/>
              <w:jc w:val="center"/>
            </w:pPr>
            <w:r>
              <w:rPr>
                <w:b w:val="0"/>
                <w:color w:val="000000"/>
                <w:sz w:val="19"/>
              </w:rPr>
              <w:t>3 接入素材</w:t>
            </w:r>
          </w:p>
        </w:tc>
        <w:tc>
          <w:tcPr>
            <w:tcW w:type="dxa" w:w="4032"/>
            <w:vAlign w:val="center"/>
            <w:tcMar>
              <w:top w:w="80" w:type="dxa"/>
              <w:bottom w:w="80" w:type="dxa"/>
              <w:left w:w="100" w:type="dxa"/>
              <w:right w:w="100" w:type="dxa"/>
            </w:tcMar>
            <w:shd w:fill="FFFFFF"/>
          </w:tcPr>
          <w:p>
            <w:pPr>
              <w:spacing w:after="0" w:line="280" w:lineRule="exact"/>
              <w:jc w:val="left"/>
            </w:pPr>
            <w:r>
              <w:rPr>
                <w:b w:val="0"/>
                <w:color w:val="000000"/>
                <w:sz w:val="19"/>
              </w:rPr>
              <w:t>下载、格式检查与图片标准化</w:t>
            </w:r>
          </w:p>
        </w:tc>
        <w:tc>
          <w:tcPr>
            <w:tcW w:type="dxa" w:w="4248"/>
            <w:vAlign w:val="center"/>
            <w:tcMar>
              <w:top w:w="80" w:type="dxa"/>
              <w:bottom w:w="80" w:type="dxa"/>
              <w:left w:w="100" w:type="dxa"/>
              <w:right w:w="100" w:type="dxa"/>
            </w:tcMar>
            <w:shd w:fill="FFFFFF"/>
          </w:tcPr>
          <w:p>
            <w:pPr>
              <w:spacing w:after="0" w:line="280" w:lineRule="exact"/>
              <w:jc w:val="left"/>
            </w:pPr>
            <w:r>
              <w:rPr>
                <w:b w:val="0"/>
                <w:color w:val="000000"/>
                <w:sz w:val="19"/>
              </w:rPr>
              <w:t>限制字节与像素；每次解析、重定向都验证公网地址</w:t>
            </w:r>
          </w:p>
        </w:tc>
      </w:tr>
      <w:tr>
        <w:trPr>
          <w:cantSplit/>
        </w:trPr>
        <w:tc>
          <w:tcPr>
            <w:tcW w:type="dxa" w:w="1800"/>
            <w:vAlign w:val="center"/>
            <w:tcMar>
              <w:top w:w="80" w:type="dxa"/>
              <w:bottom w:w="80" w:type="dxa"/>
              <w:left w:w="100" w:type="dxa"/>
              <w:right w:w="100" w:type="dxa"/>
            </w:tcMar>
            <w:shd w:fill="F1F5F8"/>
          </w:tcPr>
          <w:p>
            <w:pPr>
              <w:spacing w:after="0" w:line="280" w:lineRule="exact"/>
              <w:jc w:val="center"/>
            </w:pPr>
            <w:r>
              <w:rPr>
                <w:b w:val="0"/>
                <w:color w:val="000000"/>
                <w:sz w:val="19"/>
              </w:rPr>
              <w:t>4 桥接模型</w:t>
            </w:r>
          </w:p>
        </w:tc>
        <w:tc>
          <w:tcPr>
            <w:tcW w:type="dxa" w:w="4032"/>
            <w:vAlign w:val="center"/>
            <w:tcMar>
              <w:top w:w="80" w:type="dxa"/>
              <w:bottom w:w="80" w:type="dxa"/>
              <w:left w:w="100" w:type="dxa"/>
              <w:right w:w="100" w:type="dxa"/>
            </w:tcMar>
            <w:shd w:fill="F1F5F8"/>
          </w:tcPr>
          <w:p>
            <w:pPr>
              <w:spacing w:after="0" w:line="280" w:lineRule="exact"/>
              <w:jc w:val="left"/>
            </w:pPr>
            <w:r>
              <w:rPr>
                <w:b w:val="0"/>
                <w:color w:val="000000"/>
                <w:sz w:val="19"/>
              </w:rPr>
              <w:t>独占worker、模型子进程和时长适配</w:t>
            </w:r>
          </w:p>
        </w:tc>
        <w:tc>
          <w:tcPr>
            <w:tcW w:type="dxa" w:w="4248"/>
            <w:vAlign w:val="center"/>
            <w:tcMar>
              <w:top w:w="80" w:type="dxa"/>
              <w:bottom w:w="80" w:type="dxa"/>
              <w:left w:w="100" w:type="dxa"/>
              <w:right w:w="100" w:type="dxa"/>
            </w:tcMar>
            <w:shd w:fill="F1F5F8"/>
          </w:tcPr>
          <w:p>
            <w:pPr>
              <w:spacing w:after="0" w:line="280" w:lineRule="exact"/>
              <w:jc w:val="left"/>
            </w:pPr>
            <w:r>
              <w:rPr>
                <w:b w:val="0"/>
                <w:color w:val="000000"/>
                <w:sz w:val="19"/>
              </w:rPr>
              <w:t>保留模型venv入口；时限有效；参数、参考哈希与输出可验证</w:t>
            </w:r>
          </w:p>
        </w:tc>
      </w:tr>
      <w:tr>
        <w:trPr>
          <w:cantSplit/>
        </w:trPr>
        <w:tc>
          <w:tcPr>
            <w:tcW w:type="dxa" w:w="1800"/>
            <w:vAlign w:val="center"/>
            <w:tcMar>
              <w:top w:w="80" w:type="dxa"/>
              <w:bottom w:w="80" w:type="dxa"/>
              <w:left w:w="100" w:type="dxa"/>
              <w:right w:w="100" w:type="dxa"/>
            </w:tcMar>
            <w:shd w:fill="FFFFFF"/>
          </w:tcPr>
          <w:p>
            <w:pPr>
              <w:spacing w:after="0" w:line="280" w:lineRule="exact"/>
              <w:jc w:val="center"/>
            </w:pPr>
            <w:r>
              <w:rPr>
                <w:b w:val="0"/>
                <w:color w:val="000000"/>
                <w:sz w:val="19"/>
              </w:rPr>
              <w:t>5 完成客户端</w:t>
            </w:r>
          </w:p>
        </w:tc>
        <w:tc>
          <w:tcPr>
            <w:tcW w:type="dxa" w:w="4032"/>
            <w:vAlign w:val="center"/>
            <w:tcMar>
              <w:top w:w="80" w:type="dxa"/>
              <w:bottom w:w="80" w:type="dxa"/>
              <w:left w:w="100" w:type="dxa"/>
              <w:right w:w="100" w:type="dxa"/>
            </w:tcMar>
            <w:shd w:fill="FFFFFF"/>
          </w:tcPr>
          <w:p>
            <w:pPr>
              <w:spacing w:after="0" w:line="280" w:lineRule="exact"/>
              <w:jc w:val="left"/>
            </w:pPr>
            <w:r>
              <w:rPr>
                <w:b w:val="0"/>
                <w:color w:val="000000"/>
                <w:sz w:val="19"/>
              </w:rPr>
              <w:t>任务回执、查询与签名下载</w:t>
            </w:r>
          </w:p>
        </w:tc>
        <w:tc>
          <w:tcPr>
            <w:tcW w:type="dxa" w:w="4248"/>
            <w:vAlign w:val="center"/>
            <w:tcMar>
              <w:top w:w="80" w:type="dxa"/>
              <w:bottom w:w="80" w:type="dxa"/>
              <w:left w:w="100" w:type="dxa"/>
              <w:right w:w="100" w:type="dxa"/>
            </w:tcMar>
            <w:shd w:fill="FFFFFF"/>
          </w:tcPr>
          <w:p>
            <w:pPr>
              <w:spacing w:after="0" w:line="280" w:lineRule="exact"/>
              <w:jc w:val="left"/>
            </w:pPr>
            <w:r>
              <w:rPr>
                <w:b w:val="0"/>
                <w:color w:val="000000"/>
                <w:sz w:val="19"/>
              </w:rPr>
              <w:t>原ID恢复不重新提交；签名篡改、到期等边界受控</w:t>
            </w:r>
          </w:p>
        </w:tc>
      </w:tr>
      <w:tr>
        <w:trPr>
          <w:cantSplit/>
        </w:trPr>
        <w:tc>
          <w:tcPr>
            <w:tcW w:type="dxa" w:w="1800"/>
            <w:vAlign w:val="center"/>
            <w:tcMar>
              <w:top w:w="80" w:type="dxa"/>
              <w:bottom w:w="80" w:type="dxa"/>
              <w:left w:w="100" w:type="dxa"/>
              <w:right w:w="100" w:type="dxa"/>
            </w:tcMar>
            <w:shd w:fill="F1F5F8"/>
          </w:tcPr>
          <w:p>
            <w:pPr>
              <w:spacing w:after="0" w:line="280" w:lineRule="exact"/>
              <w:jc w:val="center"/>
            </w:pPr>
            <w:r>
              <w:rPr>
                <w:b w:val="0"/>
                <w:color w:val="000000"/>
                <w:sz w:val="19"/>
              </w:rPr>
              <w:t>6 本地集成</w:t>
            </w:r>
          </w:p>
        </w:tc>
        <w:tc>
          <w:tcPr>
            <w:tcW w:type="dxa" w:w="4032"/>
            <w:vAlign w:val="center"/>
            <w:tcMar>
              <w:top w:w="80" w:type="dxa"/>
              <w:bottom w:w="80" w:type="dxa"/>
              <w:left w:w="100" w:type="dxa"/>
              <w:right w:w="100" w:type="dxa"/>
            </w:tcMar>
            <w:shd w:fill="F1F5F8"/>
          </w:tcPr>
          <w:p>
            <w:pPr>
              <w:spacing w:after="0" w:line="280" w:lineRule="exact"/>
              <w:jc w:val="left"/>
            </w:pPr>
            <w:r>
              <w:rPr>
                <w:b w:val="0"/>
                <w:color w:val="000000"/>
                <w:sz w:val="19"/>
              </w:rPr>
              <w:t>真实socket与FFmpeg测试媒体</w:t>
            </w:r>
          </w:p>
        </w:tc>
        <w:tc>
          <w:tcPr>
            <w:tcW w:type="dxa" w:w="4248"/>
            <w:vAlign w:val="center"/>
            <w:tcMar>
              <w:top w:w="80" w:type="dxa"/>
              <w:bottom w:w="80" w:type="dxa"/>
              <w:left w:w="100" w:type="dxa"/>
              <w:right w:w="100" w:type="dxa"/>
            </w:tcMar>
            <w:shd w:fill="F1F5F8"/>
          </w:tcPr>
          <w:p>
            <w:pPr>
              <w:spacing w:after="0" w:line="280" w:lineRule="exact"/>
              <w:jc w:val="left"/>
            </w:pPr>
            <w:r>
              <w:rPr>
                <w:b w:val="0"/>
                <w:color w:val="000000"/>
                <w:sz w:val="19"/>
              </w:rPr>
              <w:t>完整HTTP链路通过；模型替身仅用于测试</w:t>
            </w:r>
          </w:p>
        </w:tc>
      </w:tr>
      <w:tr>
        <w:trPr>
          <w:cantSplit/>
        </w:trPr>
        <w:tc>
          <w:tcPr>
            <w:tcW w:type="dxa" w:w="1800"/>
            <w:vAlign w:val="center"/>
            <w:tcMar>
              <w:top w:w="80" w:type="dxa"/>
              <w:bottom w:w="80" w:type="dxa"/>
              <w:left w:w="100" w:type="dxa"/>
              <w:right w:w="100" w:type="dxa"/>
            </w:tcMar>
            <w:shd w:fill="FFFFFF"/>
          </w:tcPr>
          <w:p>
            <w:pPr>
              <w:spacing w:after="0" w:line="280" w:lineRule="exact"/>
              <w:jc w:val="center"/>
            </w:pPr>
            <w:r>
              <w:rPr>
                <w:b w:val="0"/>
                <w:color w:val="000000"/>
                <w:sz w:val="19"/>
              </w:rPr>
              <w:t>7 实机验收</w:t>
            </w:r>
          </w:p>
        </w:tc>
        <w:tc>
          <w:tcPr>
            <w:tcW w:type="dxa" w:w="4032"/>
            <w:vAlign w:val="center"/>
            <w:tcMar>
              <w:top w:w="80" w:type="dxa"/>
              <w:bottom w:w="80" w:type="dxa"/>
              <w:left w:w="100" w:type="dxa"/>
              <w:right w:w="100" w:type="dxa"/>
            </w:tcMar>
            <w:shd w:fill="FFFFFF"/>
          </w:tcPr>
          <w:p>
            <w:pPr>
              <w:spacing w:after="0" w:line="280" w:lineRule="exact"/>
              <w:jc w:val="left"/>
            </w:pPr>
            <w:r>
              <w:rPr>
                <w:b w:val="0"/>
                <w:color w:val="000000"/>
                <w:sz w:val="19"/>
              </w:rPr>
              <w:t>systemd部署与一次真实CPU请求</w:t>
            </w:r>
          </w:p>
        </w:tc>
        <w:tc>
          <w:tcPr>
            <w:tcW w:type="dxa" w:w="4248"/>
            <w:vAlign w:val="center"/>
            <w:tcMar>
              <w:top w:w="80" w:type="dxa"/>
              <w:bottom w:w="80" w:type="dxa"/>
              <w:left w:w="100" w:type="dxa"/>
              <w:right w:w="100" w:type="dxa"/>
            </w:tcMar>
            <w:shd w:fill="FFFFFF"/>
          </w:tcPr>
          <w:p>
            <w:pPr>
              <w:spacing w:after="0" w:line="280" w:lineRule="exact"/>
              <w:jc w:val="left"/>
            </w:pPr>
            <w:r>
              <w:rPr>
                <w:b w:val="0"/>
                <w:color w:val="000000"/>
                <w:sz w:val="19"/>
              </w:rPr>
              <w:t>5秒、120帧、音轨规格和下载哈希一致，重启后可取回</w:t>
            </w:r>
          </w:p>
        </w:tc>
      </w:tr>
      <w:tr>
        <w:trPr>
          <w:cantSplit/>
        </w:trPr>
        <w:tc>
          <w:tcPr>
            <w:tcW w:type="dxa" w:w="1800"/>
            <w:vAlign w:val="center"/>
            <w:tcMar>
              <w:top w:w="80" w:type="dxa"/>
              <w:bottom w:w="80" w:type="dxa"/>
              <w:left w:w="100" w:type="dxa"/>
              <w:right w:w="100" w:type="dxa"/>
            </w:tcMar>
            <w:shd w:fill="F1F5F8"/>
          </w:tcPr>
          <w:p>
            <w:pPr>
              <w:spacing w:after="0" w:line="280" w:lineRule="exact"/>
              <w:jc w:val="center"/>
            </w:pPr>
            <w:r>
              <w:rPr>
                <w:b w:val="0"/>
                <w:color w:val="000000"/>
                <w:sz w:val="19"/>
              </w:rPr>
              <w:t>8 整理交付</w:t>
            </w:r>
          </w:p>
        </w:tc>
        <w:tc>
          <w:tcPr>
            <w:tcW w:type="dxa" w:w="4032"/>
            <w:vAlign w:val="center"/>
            <w:tcMar>
              <w:top w:w="80" w:type="dxa"/>
              <w:bottom w:w="80" w:type="dxa"/>
              <w:left w:w="100" w:type="dxa"/>
              <w:right w:w="100" w:type="dxa"/>
            </w:tcMar>
            <w:shd w:fill="F1F5F8"/>
          </w:tcPr>
          <w:p>
            <w:pPr>
              <w:spacing w:after="0" w:line="280" w:lineRule="exact"/>
              <w:jc w:val="left"/>
            </w:pPr>
            <w:r>
              <w:rPr>
                <w:b w:val="0"/>
                <w:color w:val="000000"/>
                <w:sz w:val="19"/>
              </w:rPr>
              <w:t>源码包、依赖锁文件、示例和文档</w:t>
            </w:r>
          </w:p>
        </w:tc>
        <w:tc>
          <w:tcPr>
            <w:tcW w:type="dxa" w:w="4248"/>
            <w:vAlign w:val="center"/>
            <w:tcMar>
              <w:top w:w="80" w:type="dxa"/>
              <w:bottom w:w="80" w:type="dxa"/>
              <w:left w:w="100" w:type="dxa"/>
              <w:right w:w="100" w:type="dxa"/>
            </w:tcMar>
            <w:shd w:fill="F1F5F8"/>
          </w:tcPr>
          <w:p>
            <w:pPr>
              <w:spacing w:after="0" w:line="280" w:lineRule="exact"/>
              <w:jc w:val="left"/>
            </w:pPr>
            <w:r>
              <w:rPr>
                <w:b w:val="0"/>
                <w:color w:val="000000"/>
                <w:sz w:val="19"/>
              </w:rPr>
              <w:t>不含凭据或权重；验证范围清晰；资源收尾可回读</w:t>
            </w:r>
          </w:p>
        </w:tc>
      </w:tr>
    </w:tbl>
    <w:p>
      <w:pPr>
        <w:spacing w:after="40" w:line="96" w:lineRule="auto"/>
        <w:snapToGrid w:val="0"/>
      </w:pPr>
      <w:r>
        <w:rPr>
          <w:b w:val="0"/>
        </w:rPr>
      </w:r>
      <w:r>
        <w:rPr>
          <w:sz w:val="4"/>
        </w:rPr>
      </w:r>
    </w:p>
    <w:p>
      <w:pPr>
        <w:pStyle w:val="Heading2"/>
        <w:snapToGrid w:val="0"/>
      </w:pPr>
      <w:r>
        <w:t>重复提交与故障恢复怎样处理</w:t>
      </w:r>
    </w:p>
    <w:p>
      <w:pPr>
        <w:snapToGrid w:val="0"/>
      </w:pPr>
      <w:r>
        <w:rPr>
          <w:b w:val="0"/>
        </w:rPr>
        <w:t>本地Idempotency-Key是额外约定，长度为1至128个非空白可见ASCII字符。同一个键只有在规范化请求相同、任务未删除且未过期时才返回原ID；请求变化或旧任务已删除、到期则返回409。已失败或取消的任务复用旧键仍返回原任务，不会自动重新生成。客户端拿到task_id后，只查询这个ID。</w:t>
      </w:r>
    </w:p>
    <w:p>
      <w:pPr>
        <w:snapToGrid w:val="0"/>
      </w:pPr>
      <w:r>
        <w:rPr>
          <w:b w:val="0"/>
        </w:rPr>
        <w:t>API重启不清空任务。worker重新取得独占锁后，会把遗留running任务标记为failed，而不是从头重算。模型时限从子进程启动起算，超时会结束整个进程组；它不覆盖排队、素材预处理和生成后的额外验收。私有日志保留供排障，对外只给简短错误。HTTPS下载保持证书校验并拒绝内网地址；输出使用有时效的签名链接，查询成功后可获取新链接。</w:t>
      </w:r>
    </w:p>
    <w:p>
      <w:pPr>
        <w:pStyle w:val="Heading2"/>
        <w:snapToGrid w:val="0"/>
      </w:pPr>
      <w:r>
        <w:t>复杂度判断与后续扩展</w:t>
      </w:r>
    </w:p>
    <w:p>
      <w:pPr>
        <w:snapToGrid w:val="0"/>
      </w:pPr>
      <w:r>
        <w:rPr>
          <w:b w:val="0"/>
        </w:rPr>
        <w:t>首版的主要工作在长任务状态、素材安全、CPU运行时和故障恢复，HTTP路由本身较简单。当前已完成一个5秒方形请求的实机验收。扩展方向包括更多条件输入、多租户、并行worker、外部队列、回调与自动云资源管理。</w:t>
      </w:r>
    </w:p>
    <w:p>
      <w:bookmarkStart w:id="150" w:name="api"/>
      <w:pPr>
        <w:pStyle w:val="Heading1"/>
        <w:pageBreakBefore/>
        <w:snapToGrid w:val="0"/>
      </w:pPr>
      <w:r>
        <w:t>13 把推理封装成官方 V2 调用方式</w:t>
      </w:r>
      <w:bookmarkEnd w:id="150"/>
    </w:p>
    <w:p>
      <w:pPr>
        <w:snapToGrid w:val="0"/>
      </w:pPr>
      <w:r>
        <w:rPr>
          <w:b w:val="0"/>
        </w:rPr>
        <w:t>单条视频跑通后，我把下一步目标定为可重复调用的服务。新增的h3-api代码提供官方V2风格的单图Ref2VA接口；在已支持的请求范围内，调用方可以沿用提交、轮询和下载流程，改用自己的服务地址与本地服务密钥。接口开发复用原来的CPU runner，没有重新训练模型。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8064"/>
      </w:tblGrid>
      <w:tr>
        <w:trPr>
          <w:cantSplit/>
          <w:tblHeader/>
        </w:trPr>
        <w:tc>
          <w:tcPr>
            <w:tcW w:type="dxa" w:w="2016"/>
            <w:vAlign w:val="center"/>
            <w:tcMar>
              <w:top w:w="80" w:type="dxa"/>
              <w:bottom w:w="80" w:type="dxa"/>
              <w:left w:w="100" w:type="dxa"/>
              <w:right w:w="100" w:type="dxa"/>
            </w:tcMar>
            <w:shd w:fill="18354B"/>
          </w:tcPr>
          <w:p>
            <w:pPr>
              <w:spacing w:after="0" w:line="280" w:lineRule="exact"/>
              <w:jc w:val="center"/>
            </w:pPr>
            <w:r>
              <w:rPr>
                <w:b/>
                <w:color w:val="FFFFFF"/>
                <w:sz w:val="20"/>
              </w:rPr>
              <w:t>功能</w:t>
            </w:r>
          </w:p>
        </w:tc>
        <w:tc>
          <w:tcPr>
            <w:tcW w:type="dxa" w:w="8064"/>
            <w:vAlign w:val="center"/>
            <w:tcMar>
              <w:top w:w="80" w:type="dxa"/>
              <w:bottom w:w="80" w:type="dxa"/>
              <w:left w:w="100" w:type="dxa"/>
              <w:right w:w="100" w:type="dxa"/>
            </w:tcMar>
            <w:shd w:fill="18354B"/>
          </w:tcPr>
          <w:p>
            <w:pPr>
              <w:spacing w:after="0" w:line="280" w:lineRule="exact"/>
              <w:jc w:val="left"/>
            </w:pPr>
            <w:r>
              <w:rPr>
                <w:b/>
                <w:color w:val="FFFFFF"/>
                <w:sz w:val="20"/>
              </w:rPr>
              <w:t>实现的接口或行为</w:t>
            </w:r>
          </w:p>
        </w:tc>
      </w:tr>
      <w:tr>
        <w:trPr>
          <w:cantSplit/>
        </w:trPr>
        <w:tc>
          <w:tcPr>
            <w:tcW w:type="dxa" w:w="2016"/>
            <w:vAlign w:val="center"/>
            <w:tcMar>
              <w:top w:w="80" w:type="dxa"/>
              <w:bottom w:w="80" w:type="dxa"/>
              <w:left w:w="100" w:type="dxa"/>
              <w:right w:w="100" w:type="dxa"/>
            </w:tcMar>
            <w:shd w:fill="FFFFFF"/>
          </w:tcPr>
          <w:p>
            <w:pPr>
              <w:spacing w:after="0" w:line="280" w:lineRule="exact"/>
              <w:jc w:val="center"/>
            </w:pPr>
            <w:r>
              <w:rPr>
                <w:b w:val="0"/>
                <w:color w:val="000000"/>
                <w:sz w:val="20"/>
              </w:rPr>
              <w:t>创建任务</w:t>
            </w:r>
          </w:p>
        </w:tc>
        <w:tc>
          <w:tcPr>
            <w:tcW w:type="dxa" w:w="8064"/>
            <w:vAlign w:val="center"/>
            <w:tcMar>
              <w:top w:w="80" w:type="dxa"/>
              <w:bottom w:w="80" w:type="dxa"/>
              <w:left w:w="100" w:type="dxa"/>
              <w:right w:w="100" w:type="dxa"/>
            </w:tcMar>
            <w:shd w:fill="FFFFFF"/>
          </w:tcPr>
          <w:p>
            <w:pPr>
              <w:spacing w:after="0" w:line="280" w:lineRule="exact"/>
              <w:jc w:val="left"/>
            </w:pPr>
            <w:r>
              <w:rPr>
                <w:b w:val="0"/>
                <w:color w:val="000000"/>
                <w:sz w:val="20"/>
              </w:rPr>
              <w:t>POST /v2/video_generation；返回task_id，任务先持久化再排队</w:t>
            </w:r>
          </w:p>
        </w:tc>
      </w:tr>
      <w:tr>
        <w:trPr>
          <w:cantSplit/>
        </w:trPr>
        <w:tc>
          <w:tcPr>
            <w:tcW w:type="dxa" w:w="2016"/>
            <w:vAlign w:val="center"/>
            <w:tcMar>
              <w:top w:w="80" w:type="dxa"/>
              <w:bottom w:w="80" w:type="dxa"/>
              <w:left w:w="100" w:type="dxa"/>
              <w:right w:w="100" w:type="dxa"/>
            </w:tcMar>
            <w:shd w:fill="F1F5F8"/>
          </w:tcPr>
          <w:p>
            <w:pPr>
              <w:spacing w:after="0" w:line="280" w:lineRule="exact"/>
              <w:jc w:val="center"/>
            </w:pPr>
            <w:r>
              <w:rPr>
                <w:b w:val="0"/>
                <w:color w:val="000000"/>
                <w:sz w:val="20"/>
              </w:rPr>
              <w:t>查询单任务</w:t>
            </w:r>
          </w:p>
        </w:tc>
        <w:tc>
          <w:tcPr>
            <w:tcW w:type="dxa" w:w="8064"/>
            <w:vAlign w:val="center"/>
            <w:tcMar>
              <w:top w:w="80" w:type="dxa"/>
              <w:bottom w:w="80" w:type="dxa"/>
              <w:left w:w="100" w:type="dxa"/>
              <w:right w:w="100" w:type="dxa"/>
            </w:tcMar>
            <w:shd w:fill="F1F5F8"/>
          </w:tcPr>
          <w:p>
            <w:pPr>
              <w:spacing w:after="0" w:line="280" w:lineRule="exact"/>
              <w:jc w:val="left"/>
            </w:pPr>
            <w:r>
              <w:rPr>
                <w:b w:val="0"/>
                <w:color w:val="000000"/>
                <w:sz w:val="20"/>
              </w:rPr>
              <w:t>GET /v2/query/video_generation/{task_id}；返回task状态与结果</w:t>
            </w:r>
          </w:p>
        </w:tc>
      </w:tr>
      <w:tr>
        <w:trPr>
          <w:cantSplit/>
        </w:trPr>
        <w:tc>
          <w:tcPr>
            <w:tcW w:type="dxa" w:w="2016"/>
            <w:vAlign w:val="center"/>
            <w:tcMar>
              <w:top w:w="80" w:type="dxa"/>
              <w:bottom w:w="80" w:type="dxa"/>
              <w:left w:w="100" w:type="dxa"/>
              <w:right w:w="100" w:type="dxa"/>
            </w:tcMar>
            <w:shd w:fill="FFFFFF"/>
          </w:tcPr>
          <w:p>
            <w:pPr>
              <w:spacing w:after="0" w:line="280" w:lineRule="exact"/>
              <w:jc w:val="center"/>
            </w:pPr>
            <w:r>
              <w:rPr>
                <w:b w:val="0"/>
                <w:color w:val="000000"/>
                <w:sz w:val="20"/>
              </w:rPr>
              <w:t>批量查询</w:t>
            </w:r>
          </w:p>
        </w:tc>
        <w:tc>
          <w:tcPr>
            <w:tcW w:type="dxa" w:w="8064"/>
            <w:vAlign w:val="center"/>
            <w:tcMar>
              <w:top w:w="80" w:type="dxa"/>
              <w:bottom w:w="80" w:type="dxa"/>
              <w:left w:w="100" w:type="dxa"/>
              <w:right w:w="100" w:type="dxa"/>
            </w:tcMar>
            <w:shd w:fill="FFFFFF"/>
          </w:tcPr>
          <w:p>
            <w:pPr>
              <w:spacing w:after="0" w:line="280" w:lineRule="exact"/>
              <w:jc w:val="left"/>
            </w:pPr>
            <w:r>
              <w:rPr>
                <w:b w:val="0"/>
                <w:color w:val="000000"/>
                <w:sz w:val="20"/>
              </w:rPr>
              <w:t>GET /v2/query/video_generation；支持分页与状态、任务ID等筛选</w:t>
            </w:r>
          </w:p>
        </w:tc>
      </w:tr>
      <w:tr>
        <w:trPr>
          <w:cantSplit/>
        </w:trPr>
        <w:tc>
          <w:tcPr>
            <w:tcW w:type="dxa" w:w="2016"/>
            <w:vAlign w:val="center"/>
            <w:tcMar>
              <w:top w:w="80" w:type="dxa"/>
              <w:bottom w:w="80" w:type="dxa"/>
              <w:left w:w="100" w:type="dxa"/>
              <w:right w:w="100" w:type="dxa"/>
            </w:tcMar>
            <w:shd w:fill="F1F5F8"/>
          </w:tcPr>
          <w:p>
            <w:pPr>
              <w:spacing w:after="0" w:line="280" w:lineRule="exact"/>
              <w:jc w:val="center"/>
            </w:pPr>
            <w:r>
              <w:rPr>
                <w:b w:val="0"/>
                <w:color w:val="000000"/>
                <w:sz w:val="20"/>
              </w:rPr>
              <w:t>取消和删除</w:t>
            </w:r>
          </w:p>
        </w:tc>
        <w:tc>
          <w:tcPr>
            <w:tcW w:type="dxa" w:w="8064"/>
            <w:vAlign w:val="center"/>
            <w:tcMar>
              <w:top w:w="80" w:type="dxa"/>
              <w:bottom w:w="80" w:type="dxa"/>
              <w:left w:w="100" w:type="dxa"/>
              <w:right w:w="100" w:type="dxa"/>
            </w:tcMar>
            <w:shd w:fill="F1F5F8"/>
          </w:tcPr>
          <w:p>
            <w:pPr>
              <w:spacing w:after="0" w:line="280" w:lineRule="exact"/>
              <w:jc w:val="left"/>
            </w:pPr>
            <w:r>
              <w:rPr>
                <w:b w:val="0"/>
                <w:color w:val="000000"/>
                <w:sz w:val="20"/>
              </w:rPr>
              <w:t>DELETE /v2/video_generation/{task_id}；排队可取消，完成/失败可删除记录，运行中拒绝删除</w:t>
            </w:r>
          </w:p>
        </w:tc>
      </w:tr>
      <w:tr>
        <w:trPr>
          <w:cantSplit/>
        </w:trPr>
        <w:tc>
          <w:tcPr>
            <w:tcW w:type="dxa" w:w="2016"/>
            <w:vAlign w:val="center"/>
            <w:tcMar>
              <w:top w:w="80" w:type="dxa"/>
              <w:bottom w:w="80" w:type="dxa"/>
              <w:left w:w="100" w:type="dxa"/>
              <w:right w:w="100" w:type="dxa"/>
            </w:tcMar>
            <w:shd w:fill="FFFFFF"/>
          </w:tcPr>
          <w:p>
            <w:pPr>
              <w:spacing w:after="0" w:line="280" w:lineRule="exact"/>
              <w:jc w:val="center"/>
            </w:pPr>
            <w:r>
              <w:rPr>
                <w:b w:val="0"/>
                <w:color w:val="000000"/>
                <w:sz w:val="20"/>
              </w:rPr>
              <w:t>下载结果</w:t>
            </w:r>
          </w:p>
        </w:tc>
        <w:tc>
          <w:tcPr>
            <w:tcW w:type="dxa" w:w="8064"/>
            <w:vAlign w:val="center"/>
            <w:tcMar>
              <w:top w:w="80" w:type="dxa"/>
              <w:bottom w:w="80" w:type="dxa"/>
              <w:left w:w="100" w:type="dxa"/>
              <w:right w:w="100" w:type="dxa"/>
            </w:tcMar>
            <w:shd w:fill="FFFFFF"/>
          </w:tcPr>
          <w:p>
            <w:pPr>
              <w:spacing w:after="0" w:line="280" w:lineRule="exact"/>
              <w:jc w:val="left"/>
            </w:pPr>
            <w:r>
              <w:rPr>
                <w:b w:val="0"/>
                <w:color w:val="000000"/>
                <w:sz w:val="20"/>
              </w:rPr>
              <w:t>成功结果的task.content.url为有时效的签名MP4地址，可直接下载</w:t>
            </w:r>
          </w:p>
        </w:tc>
      </w:tr>
    </w:tbl>
    <w:p>
      <w:pPr>
        <w:spacing w:after="40" w:line="96" w:lineRule="auto"/>
        <w:snapToGrid w:val="0"/>
      </w:pPr>
      <w:r>
        <w:rPr>
          <w:b w:val="0"/>
        </w:rPr>
      </w:r>
      <w:r>
        <w:rPr>
          <w:sz w:val="4"/>
        </w:rPr>
      </w:r>
    </w:p>
    <w:p>
      <w:pPr>
        <w:pStyle w:val="Heading2"/>
        <w:snapToGrid w:val="0"/>
      </w:pPr>
      <w:r>
        <w:t>首版的实际能力范围</w:t>
      </w:r>
    </w:p>
    <w:p>
      <w:pPr>
        <w:snapToGrid w:val="0"/>
      </w:pPr>
      <w:r>
        <w:rPr>
          <w:b w:val="0"/>
        </w:rPr>
        <w:t>支持MiniMax-H3模型别名、单张reference_image、JPEG/PNG/WEBP、公网HTTPS或图片data URI、768P档位及4至15秒整数时长。官方比例标签映射到本地固定像素桶，例如16:9使用1344×768；这是近似画幅，不承诺数学上完全相同的像素比例。adaptive会按参考图选择最近的比例桶。</w:t>
      </w:r>
    </w:p>
    <w:p>
      <w:pPr>
        <w:snapToGrid w:val="0"/>
      </w:pPr>
      <w:r>
        <w:rPr>
          <w:b w:val="0"/>
        </w:rPr>
        <w:t>2K、H3-Max、首尾帧、多参考、视频或音频参考、mm_file、callback以及水印生成尚未实现，请求会明确报错。响应采用V2风格的错误包，不把未支持功能静默忽略。本地Idempotency-Key是额外约定，用于安全重试同一提交，不宣称是官方已经定义的字段。</w:t>
      </w:r>
    </w:p>
    <w:p>
      <w:pPr>
        <w:pStyle w:val="Heading2"/>
        <w:snapToGrid w:val="0"/>
      </w:pPr>
      <w:r>
        <w:t>服务内部怎么组织</w:t>
      </w:r>
    </w:p>
    <w:p>
      <w:pPr>
        <w:snapToGrid w:val="0"/>
      </w:pPr>
      <w:r>
        <w:rPr>
          <w:b w:val="0"/>
        </w:rPr>
        <w:t>FastAPI只负责鉴权和轻量HTTP操作，SQLite保存任务，独立Worker顺序执行推理。Worker先安全取得图片并保存到任务私有目录，然后通过子进程调用CPU runner；提示词通过私有文件传入，不放入进程命令行。模型验证、完整媒体检查和原子发布完成后，任务才会变成succeeded。</w:t>
      </w:r>
    </w:p>
    <w:p>
      <w:pPr>
        <w:snapToGrid w:val="0"/>
      </w:pPr>
      <w:r>
        <w:rPr>
          <w:b w:val="0"/>
        </w:rPr>
        <w:t>同一数据目录只能有一个推理Worker。生成进程继承独占锁，即使父Worker意外退出，旧生成仍存活时也不会抢跑第二个Worker。重新取得锁后，未完成任务明确标为失败，不自动从头重跑，也不伪称能从第N步续算。API进程重启则不会清空队列。</w:t>
      </w:r>
    </w:p>
    <w:p>
      <w:pPr>
        <w:spacing w:after="140" w:line="270" w:lineRule="exact"/>
        <w:snapToGrid w:val="0"/>
      </w:pPr>
      <w:r>
        <w:rPr>
          <w:b w:val="0"/>
          <w:sz w:val="19"/>
        </w:rPr>
        <w:t>这不是完整官方服务的复刻。它没有托管提示词增强、2K再生成、官方Token计费或多租户账单系统；单个API Key代表一个本地服务身份。原始任务日志和服务器文件路径不会直接放进查询响应。</w:t>
      </w:r>
    </w:p>
    <w:p>
      <w:bookmarkStart w:id="160" w:name="api_use"/>
      <w:pPr>
        <w:pStyle w:val="Heading1"/>
        <w:pageBreakBefore/>
        <w:snapToGrid w:val="0"/>
      </w:pPr>
      <w:r>
        <w:t>14 新接口怎么启动与调用</w:t>
      </w:r>
      <w:bookmarkEnd w:id="160"/>
    </w:p>
    <w:p>
      <w:pPr>
        <w:snapToGrid w:val="0"/>
      </w:pPr>
      <w:r>
        <w:rPr>
          <w:b w:val="0"/>
        </w:rPr>
        <w:t>代码包分为h3-api服务和cpu-runtime辅助脚本，不含模型权重。已有模型环境可继续复用，但需要同步本次新增--duration-seconds、--prompt-file的runner和辅助文件。API使用独立虚拟环境，模型仍由原CPU虚拟环境运行，不把Web依赖装进模型环境。</w:t>
      </w:r>
    </w:p>
    <w:p>
      <w:pPr>
        <w:spacing w:after="20" w:line="250" w:lineRule="exact"/>
        <w:ind w:left="173"/>
        <w:snapToGrid w:val="0"/>
      </w:pPr>
      <w:r>
        <w:rPr>
          <w:b w:val="0"/>
        </w:rPr>
      </w:r>
      <w:r>
        <w:rPr>
          <w:rFonts w:ascii="Menlo" w:hAnsi="Menlo" w:eastAsia="Hiragino Sans GB"/>
          <w:sz w:val="18"/>
        </w:rPr>
        <w:t>cd h3-api</w:t>
      </w:r>
    </w:p>
    <w:p>
      <w:pPr>
        <w:spacing w:after="20" w:line="250" w:lineRule="exact"/>
        <w:ind w:left="173"/>
        <w:snapToGrid w:val="0"/>
      </w:pPr>
      <w:r>
        <w:rPr>
          <w:b w:val="0"/>
        </w:rPr>
      </w:r>
      <w:r>
        <w:rPr>
          <w:rFonts w:ascii="Menlo" w:hAnsi="Menlo" w:eastAsia="Hiragino Sans GB"/>
          <w:sz w:val="18"/>
        </w:rPr>
        <w:t>python3.12 -m venv .venv</w:t>
      </w:r>
    </w:p>
    <w:p>
      <w:pPr>
        <w:spacing w:after="20" w:line="250" w:lineRule="exact"/>
        <w:ind w:left="173"/>
        <w:snapToGrid w:val="0"/>
      </w:pPr>
      <w:r>
        <w:rPr>
          <w:b w:val="0"/>
        </w:rPr>
      </w:r>
      <w:r>
        <w:rPr>
          <w:rFonts w:ascii="Menlo" w:hAnsi="Menlo" w:eastAsia="Hiragino Sans GB"/>
          <w:sz w:val="18"/>
        </w:rPr>
        <w:t>source .venv/bin/activate</w:t>
      </w:r>
    </w:p>
    <w:p>
      <w:pPr>
        <w:spacing w:after="20" w:line="250" w:lineRule="exact"/>
        <w:ind w:left="173"/>
        <w:snapToGrid w:val="0"/>
      </w:pPr>
      <w:r>
        <w:rPr>
          <w:b w:val="0"/>
        </w:rPr>
      </w:r>
      <w:r>
        <w:rPr>
          <w:rFonts w:ascii="Menlo" w:hAnsi="Menlo" w:eastAsia="Hiragino Sans GB"/>
          <w:sz w:val="18"/>
        </w:rPr>
        <w:t>python -m pip install -r requirements.lock</w:t>
      </w:r>
    </w:p>
    <w:p>
      <w:pPr>
        <w:spacing w:after="20" w:line="250" w:lineRule="exact"/>
        <w:ind w:left="173"/>
        <w:snapToGrid w:val="0"/>
      </w:pPr>
      <w:r>
        <w:rPr>
          <w:b w:val="0"/>
        </w:rPr>
      </w:r>
      <w:r>
        <w:rPr>
          <w:rFonts w:ascii="Menlo" w:hAnsi="Menlo" w:eastAsia="Hiragino Sans GB"/>
          <w:sz w:val="18"/>
        </w:rPr>
        <w:t>python -m pip install --no-deps .</w:t>
      </w:r>
    </w:p>
    <w:p>
      <w:pPr>
        <w:spacing w:after="20" w:line="250" w:lineRule="exact"/>
        <w:ind w:left="173"/>
        <w:snapToGrid w:val="0"/>
      </w:pPr>
      <w:r>
        <w:rPr>
          <w:b w:val="0"/>
        </w:rPr>
      </w:r>
      <w:r>
        <w:rPr>
          <w:rFonts w:ascii="Menlo" w:hAnsi="Menlo" w:eastAsia="Hiragino Sans GB"/>
          <w:sz w:val="18"/>
        </w:rPr>
      </w:r>
    </w:p>
    <w:p>
      <w:pPr>
        <w:spacing w:after="20" w:line="250" w:lineRule="exact"/>
        <w:ind w:left="173"/>
        <w:snapToGrid w:val="0"/>
      </w:pPr>
      <w:r>
        <w:rPr>
          <w:b w:val="0"/>
        </w:rPr>
      </w:r>
      <w:r>
        <w:rPr>
          <w:rFonts w:ascii="Menlo" w:hAnsi="Menlo" w:eastAsia="Hiragino Sans GB"/>
          <w:sz w:val="18"/>
        </w:rPr>
        <w:t>export H3_API_KEY="$(cat /secure/path/local-api-key)"</w:t>
      </w:r>
    </w:p>
    <w:p>
      <w:pPr>
        <w:spacing w:after="20" w:line="250" w:lineRule="exact"/>
        <w:ind w:left="173"/>
        <w:snapToGrid w:val="0"/>
      </w:pPr>
      <w:r>
        <w:rPr>
          <w:b w:val="0"/>
        </w:rPr>
      </w:r>
      <w:r>
        <w:rPr>
          <w:rFonts w:ascii="Menlo" w:hAnsi="Menlo" w:eastAsia="Hiragino Sans GB"/>
          <w:sz w:val="18"/>
        </w:rPr>
        <w:t>export H3_DATA_DIR=/data/h3-service</w:t>
      </w:r>
    </w:p>
    <w:p>
      <w:pPr>
        <w:spacing w:after="20" w:line="250" w:lineRule="exact"/>
        <w:ind w:left="173"/>
        <w:snapToGrid w:val="0"/>
      </w:pPr>
      <w:r>
        <w:rPr>
          <w:b w:val="0"/>
        </w:rPr>
      </w:r>
      <w:r>
        <w:rPr>
          <w:rFonts w:ascii="Menlo" w:hAnsi="Menlo" w:eastAsia="Hiragino Sans GB"/>
          <w:sz w:val="18"/>
        </w:rPr>
        <w:t>export H3_PUBLIC_BASE_URL=http://127.0.0.1:30010</w:t>
      </w:r>
    </w:p>
    <w:p>
      <w:pPr>
        <w:spacing w:after="20" w:line="250" w:lineRule="exact"/>
        <w:ind w:left="173"/>
        <w:snapToGrid w:val="0"/>
      </w:pPr>
      <w:r>
        <w:rPr>
          <w:b w:val="0"/>
        </w:rPr>
      </w:r>
      <w:r>
        <w:rPr>
          <w:rFonts w:ascii="Menlo" w:hAnsi="Menlo" w:eastAsia="Hiragino Sans GB"/>
          <w:sz w:val="18"/>
        </w:rPr>
        <w:t>export H3_RUNNER_DIR=/data/h3-cpu</w:t>
      </w:r>
    </w:p>
    <w:p>
      <w:pPr>
        <w:spacing w:after="20" w:line="250" w:lineRule="exact"/>
        <w:ind w:left="173"/>
        <w:snapToGrid w:val="0"/>
      </w:pPr>
      <w:r>
        <w:rPr>
          <w:b w:val="0"/>
        </w:rPr>
      </w:r>
      <w:r>
        <w:rPr>
          <w:rFonts w:ascii="Menlo" w:hAnsi="Menlo" w:eastAsia="Hiragino Sans GB"/>
          <w:sz w:val="18"/>
        </w:rPr>
        <w:t>export H3_MODEL_DIR=/data/h3-cpu/model</w:t>
      </w:r>
    </w:p>
    <w:p>
      <w:pPr>
        <w:spacing w:after="20" w:line="250" w:lineRule="exact"/>
        <w:ind w:left="173"/>
        <w:snapToGrid w:val="0"/>
      </w:pPr>
      <w:r>
        <w:rPr>
          <w:b w:val="0"/>
        </w:rPr>
      </w:r>
      <w:r>
        <w:rPr>
          <w:rFonts w:ascii="Menlo" w:hAnsi="Menlo" w:eastAsia="Hiragino Sans GB"/>
          <w:sz w:val="18"/>
        </w:rPr>
        <w:t>export H3_MODEL_PYTHON=/data/h3-cpu/.venv/bin/python</w:t>
      </w:r>
    </w:p>
    <w:p>
      <w:pPr>
        <w:spacing w:after="20" w:line="250" w:lineRule="exact"/>
        <w:ind w:left="173"/>
        <w:snapToGrid w:val="0"/>
      </w:pPr>
      <w:r>
        <w:rPr>
          <w:b w:val="0"/>
        </w:rPr>
      </w:r>
      <w:r>
        <w:rPr>
          <w:rFonts w:ascii="Menlo" w:hAnsi="Menlo" w:eastAsia="Hiragino Sans GB"/>
          <w:sz w:val="18"/>
        </w:rPr>
      </w:r>
    </w:p>
    <w:p>
      <w:pPr>
        <w:spacing w:after="20" w:line="250" w:lineRule="exact"/>
        <w:ind w:left="173"/>
        <w:snapToGrid w:val="0"/>
      </w:pPr>
      <w:r>
        <w:rPr>
          <w:b w:val="0"/>
        </w:rPr>
      </w:r>
      <w:r>
        <w:rPr>
          <w:rFonts w:ascii="Menlo" w:hAnsi="Menlo" w:eastAsia="Hiragino Sans GB"/>
          <w:sz w:val="18"/>
        </w:rPr>
        <w:t>python -m h3_api api</w:t>
      </w:r>
    </w:p>
    <w:p>
      <w:pPr>
        <w:spacing w:after="20" w:line="250" w:lineRule="exact"/>
        <w:ind w:left="173"/>
        <w:snapToGrid w:val="0"/>
      </w:pPr>
      <w:r>
        <w:rPr>
          <w:b w:val="0"/>
        </w:rPr>
      </w:r>
      <w:r>
        <w:rPr>
          <w:rFonts w:ascii="Menlo" w:hAnsi="Menlo" w:eastAsia="Hiragino Sans GB"/>
          <w:sz w:val="18"/>
        </w:rPr>
        <w:t># 另一个终端使用同一组环境变量</w:t>
      </w:r>
    </w:p>
    <w:p>
      <w:pPr>
        <w:spacing w:after="20" w:line="250" w:lineRule="exact"/>
        <w:ind w:left="173"/>
        <w:snapToGrid w:val="0"/>
      </w:pPr>
      <w:r>
        <w:rPr>
          <w:b w:val="0"/>
        </w:rPr>
      </w:r>
      <w:r>
        <w:rPr>
          <w:rFonts w:ascii="Menlo" w:hAnsi="Menlo" w:eastAsia="Hiragino Sans GB"/>
          <w:sz w:val="18"/>
        </w:rPr>
        <w:t>python -m h3_api worker</w:t>
      </w:r>
    </w:p>
    <w:p>
      <w:pPr>
        <w:spacing w:after="40"/>
        <w:snapToGrid w:val="0"/>
      </w:pPr>
      <w:r>
        <w:rPr>
          <w:b w:val="0"/>
        </w:rPr>
      </w:r>
    </w:p>
    <w:p>
      <w:pPr>
        <w:snapToGrid w:val="0"/>
      </w:pPr>
      <w:r>
        <w:rPr>
          <w:b w:val="0"/>
        </w:rPr>
        <w:t>local-api-key是自行创建并妥善保存的本地服务密钥，至少24个无空白ASCII字符，不是MiniMax官方密钥。默认只监听127.0.0.1:30010；远程访问需自行配置私有连接或HTTPS反向代理。单独启动API并不代表模型已就绪，worker才执行生成。</w:t>
      </w:r>
    </w:p>
    <w:p>
      <w:pPr>
        <w:pStyle w:val="Heading2"/>
        <w:snapToGrid w:val="0"/>
      </w:pPr>
      <w:r>
        <w:t>请求仍沿用官方的核心字段</w:t>
      </w:r>
    </w:p>
    <w:p>
      <w:pPr>
        <w:spacing w:after="20" w:line="250" w:lineRule="exact"/>
        <w:ind w:left="173"/>
        <w:snapToGrid w:val="0"/>
      </w:pPr>
      <w:r>
        <w:rPr>
          <w:b w:val="0"/>
        </w:rPr>
      </w:r>
      <w:r>
        <w:rPr>
          <w:rFonts w:ascii="Menlo" w:hAnsi="Menlo" w:eastAsia="Hiragino Sans GB"/>
          <w:sz w:val="18"/>
        </w:rPr>
        <w:t>{</w:t>
      </w:r>
    </w:p>
    <w:p>
      <w:pPr>
        <w:spacing w:after="20" w:line="250" w:lineRule="exact"/>
        <w:ind w:left="173"/>
        <w:snapToGrid w:val="0"/>
      </w:pPr>
      <w:r>
        <w:rPr>
          <w:b w:val="0"/>
        </w:rPr>
      </w:r>
      <w:r>
        <w:rPr>
          <w:rFonts w:ascii="Menlo" w:hAnsi="Menlo" w:eastAsia="Hiragino Sans GB"/>
          <w:sz w:val="18"/>
        </w:rPr>
        <w:t xml:space="preserve">  "model": "MiniMax-H3",</w:t>
      </w:r>
    </w:p>
    <w:p>
      <w:pPr>
        <w:spacing w:after="20" w:line="250" w:lineRule="exact"/>
        <w:ind w:left="173"/>
        <w:snapToGrid w:val="0"/>
      </w:pPr>
      <w:r>
        <w:rPr>
          <w:b w:val="0"/>
        </w:rPr>
      </w:r>
      <w:r>
        <w:rPr>
          <w:rFonts w:ascii="Menlo" w:hAnsi="Menlo" w:eastAsia="Hiragino Sans GB"/>
          <w:sz w:val="18"/>
        </w:rPr>
        <w:t xml:space="preserve">  "content": [</w:t>
      </w:r>
    </w:p>
    <w:p>
      <w:pPr>
        <w:spacing w:after="20" w:line="250" w:lineRule="exact"/>
        <w:ind w:left="173"/>
        <w:snapToGrid w:val="0"/>
      </w:pPr>
      <w:r>
        <w:rPr>
          <w:b w:val="0"/>
        </w:rPr>
      </w:r>
      <w:r>
        <w:rPr>
          <w:rFonts w:ascii="Menlo" w:hAnsi="Menlo" w:eastAsia="Hiragino Sans GB"/>
          <w:sz w:val="18"/>
        </w:rPr>
        <w:t xml:space="preserve">    {"type": "text", "text": "窗边人物缓慢抬头，保持外观一致。"},</w:t>
      </w:r>
    </w:p>
    <w:p>
      <w:pPr>
        <w:spacing w:after="20" w:line="250" w:lineRule="exact"/>
        <w:ind w:left="173"/>
        <w:snapToGrid w:val="0"/>
      </w:pPr>
      <w:r>
        <w:rPr>
          <w:b w:val="0"/>
        </w:rPr>
      </w:r>
      <w:r>
        <w:rPr>
          <w:rFonts w:ascii="Menlo" w:hAnsi="Menlo" w:eastAsia="Hiragino Sans GB"/>
          <w:sz w:val="18"/>
        </w:rPr>
        <w:t xml:space="preserve">    {"type": "image_url", "role": "reference_image",</w:t>
      </w:r>
    </w:p>
    <w:p>
      <w:pPr>
        <w:spacing w:after="20" w:line="250" w:lineRule="exact"/>
        <w:ind w:left="173"/>
        <w:snapToGrid w:val="0"/>
      </w:pPr>
      <w:r>
        <w:rPr>
          <w:b w:val="0"/>
        </w:rPr>
      </w:r>
      <w:r>
        <w:rPr>
          <w:rFonts w:ascii="Menlo" w:hAnsi="Menlo" w:eastAsia="Hiragino Sans GB"/>
          <w:sz w:val="18"/>
        </w:rPr>
        <w:t xml:space="preserve">     "image_url": {"url": "https://example.com/reference.jpg"}}</w:t>
      </w:r>
    </w:p>
    <w:p>
      <w:pPr>
        <w:spacing w:after="20" w:line="250" w:lineRule="exact"/>
        <w:ind w:left="173"/>
        <w:snapToGrid w:val="0"/>
      </w:pPr>
      <w:r>
        <w:rPr>
          <w:b w:val="0"/>
        </w:rPr>
      </w:r>
      <w:r>
        <w:rPr>
          <w:rFonts w:ascii="Menlo" w:hAnsi="Menlo" w:eastAsia="Hiragino Sans GB"/>
          <w:sz w:val="18"/>
        </w:rPr>
        <w:t xml:space="preserve">  ],</w:t>
      </w:r>
    </w:p>
    <w:p>
      <w:pPr>
        <w:spacing w:after="20" w:line="250" w:lineRule="exact"/>
        <w:ind w:left="173"/>
        <w:snapToGrid w:val="0"/>
      </w:pPr>
      <w:r>
        <w:rPr>
          <w:b w:val="0"/>
        </w:rPr>
      </w:r>
      <w:r>
        <w:rPr>
          <w:rFonts w:ascii="Menlo" w:hAnsi="Menlo" w:eastAsia="Hiragino Sans GB"/>
          <w:sz w:val="18"/>
        </w:rPr>
        <w:t xml:space="preserve">  "duration": 15, "resolution": "768P", "ratio": "16:9"</w:t>
      </w:r>
    </w:p>
    <w:p>
      <w:pPr>
        <w:spacing w:after="20" w:line="250" w:lineRule="exact"/>
        <w:ind w:left="173"/>
        <w:snapToGrid w:val="0"/>
      </w:pPr>
      <w:r>
        <w:rPr>
          <w:b w:val="0"/>
        </w:rPr>
      </w:r>
      <w:r>
        <w:rPr>
          <w:rFonts w:ascii="Menlo" w:hAnsi="Menlo" w:eastAsia="Hiragino Sans GB"/>
          <w:sz w:val="18"/>
        </w:rPr>
        <w:t>}</w:t>
      </w:r>
    </w:p>
    <w:p>
      <w:pPr>
        <w:spacing w:after="40"/>
        <w:snapToGrid w:val="0"/>
      </w:pPr>
      <w:r>
        <w:rPr>
          <w:b w:val="0"/>
        </w:rPr>
      </w:r>
    </w:p>
    <w:p>
      <w:pPr>
        <w:snapToGrid w:val="0"/>
      </w:pPr>
      <w:r>
        <w:rPr>
          <w:b w:val="0"/>
        </w:rPr>
        <w:t>示例图片地址需替换成实际公网HTTPS图片，或使用data URI。随代码附有examples/client.py，可直接读取本地图片和提示词，自动完成提交、轮询及下载；密钥从环境变量读取，任务ID回执不包含密钥。</w:t>
      </w:r>
    </w:p>
    <w:p>
      <w:pPr>
        <w:spacing w:after="140" w:line="270" w:lineRule="exact"/>
        <w:snapToGrid w:val="0"/>
      </w:pPr>
      <w:r>
        <w:rPr>
          <w:b w:val="0"/>
          <w:sz w:val="19"/>
        </w:rPr>
        <w:t>运行上限只结束作业，不停止云计费。任务查询默认保留7天可见范围，签名下载链接默认1小时有效；删除记录不等于自动清理磁盘文件，长期使用需要维护存储。公网TLS、云资源自动启停和多人生产容量不在这次实现范围内。</w:t>
      </w:r>
    </w:p>
    <w:p>
      <w:bookmarkStart w:id="193" w:name="api_tests"/>
      <w:pPr>
        <w:pStyle w:val="Heading1"/>
        <w:pageBreakBefore/>
        <w:snapToGrid w:val="0"/>
      </w:pPr>
      <w:r>
        <w:t>15 接口开发如何验证</w:t>
      </w:r>
      <w:bookmarkEnd w:id="193"/>
    </w:p>
    <w:p>
      <w:pPr>
        <w:snapToGrid w:val="0"/>
      </w:pPr>
      <w:r>
        <w:rPr>
          <w:b w:val="0"/>
        </w:rPr>
        <w:t>我先在本地验证HTTP协议、任务状态和合成媒体，再到CPU实例检查真实环境与生成链路。下表记录本地开发验证，实机结果见下一节。</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2448"/>
        <w:gridCol w:w="5688"/>
      </w:tblGrid>
      <w:tr>
        <w:trPr>
          <w:cantSplit/>
          <w:tblHeader/>
        </w:trPr>
        <w:tc>
          <w:tcPr>
            <w:tcW w:type="dxa" w:w="1944"/>
            <w:vAlign w:val="center"/>
            <w:tcMar>
              <w:top w:w="80" w:type="dxa"/>
              <w:bottom w:w="80" w:type="dxa"/>
              <w:left w:w="100" w:type="dxa"/>
              <w:right w:w="100" w:type="dxa"/>
            </w:tcMar>
            <w:shd w:fill="18354B"/>
          </w:tcPr>
          <w:p>
            <w:pPr>
              <w:spacing w:after="0" w:line="280" w:lineRule="exact"/>
              <w:jc w:val="center"/>
            </w:pPr>
            <w:r>
              <w:rPr>
                <w:b/>
                <w:color w:val="FFFFFF"/>
                <w:sz w:val="19"/>
              </w:rPr>
              <w:t>验证层</w:t>
            </w:r>
          </w:p>
        </w:tc>
        <w:tc>
          <w:tcPr>
            <w:tcW w:type="dxa" w:w="2448"/>
            <w:vAlign w:val="center"/>
            <w:tcMar>
              <w:top w:w="80" w:type="dxa"/>
              <w:bottom w:w="80" w:type="dxa"/>
              <w:left w:w="100" w:type="dxa"/>
              <w:right w:w="100" w:type="dxa"/>
            </w:tcMar>
            <w:shd w:fill="18354B"/>
          </w:tcPr>
          <w:p>
            <w:pPr>
              <w:spacing w:after="0" w:line="280" w:lineRule="exact"/>
              <w:jc w:val="left"/>
            </w:pPr>
            <w:r>
              <w:rPr>
                <w:b/>
                <w:color w:val="FFFFFF"/>
                <w:sz w:val="19"/>
              </w:rPr>
              <w:t>本次结果</w:t>
            </w:r>
          </w:p>
        </w:tc>
        <w:tc>
          <w:tcPr>
            <w:tcW w:type="dxa" w:w="5688"/>
            <w:vAlign w:val="center"/>
            <w:tcMar>
              <w:top w:w="80" w:type="dxa"/>
              <w:bottom w:w="80" w:type="dxa"/>
              <w:left w:w="100" w:type="dxa"/>
              <w:right w:w="100" w:type="dxa"/>
            </w:tcMar>
            <w:shd w:fill="18354B"/>
          </w:tcPr>
          <w:p>
            <w:pPr>
              <w:spacing w:after="0" w:line="280" w:lineRule="exact"/>
              <w:jc w:val="left"/>
            </w:pPr>
            <w:r>
              <w:rPr>
                <w:b/>
                <w:color w:val="FFFFFF"/>
                <w:sz w:val="19"/>
              </w:rPr>
              <w:t>证明的范围</w:t>
            </w:r>
          </w:p>
        </w:tc>
      </w:tr>
      <w:tr>
        <w:trPr>
          <w:cantSplit/>
        </w:trPr>
        <w:tc>
          <w:tcPr>
            <w:tcW w:type="dxa" w:w="1944"/>
            <w:vAlign w:val="center"/>
            <w:tcMar>
              <w:top w:w="80" w:type="dxa"/>
              <w:bottom w:w="80" w:type="dxa"/>
              <w:left w:w="100" w:type="dxa"/>
              <w:right w:w="100" w:type="dxa"/>
            </w:tcMar>
            <w:shd w:fill="FFFFFF"/>
          </w:tcPr>
          <w:p>
            <w:pPr>
              <w:spacing w:after="0" w:line="280" w:lineRule="exact"/>
              <w:jc w:val="center"/>
            </w:pPr>
            <w:r>
              <w:rPr>
                <w:b w:val="0"/>
                <w:color w:val="000000"/>
                <w:sz w:val="19"/>
              </w:rPr>
              <w:t>API本地测试</w:t>
            </w:r>
          </w:p>
        </w:tc>
        <w:tc>
          <w:tcPr>
            <w:tcW w:type="dxa" w:w="2448"/>
            <w:vAlign w:val="center"/>
            <w:tcMar>
              <w:top w:w="80" w:type="dxa"/>
              <w:bottom w:w="80" w:type="dxa"/>
              <w:left w:w="100" w:type="dxa"/>
              <w:right w:w="100" w:type="dxa"/>
            </w:tcMar>
            <w:shd w:fill="FFFFFF"/>
          </w:tcPr>
          <w:p>
            <w:pPr>
              <w:spacing w:after="0" w:line="280" w:lineRule="exact"/>
              <w:jc w:val="left"/>
            </w:pPr>
            <w:r>
              <w:rPr>
                <w:b w:val="0"/>
                <w:color w:val="000000"/>
                <w:sz w:val="19"/>
              </w:rPr>
              <w:t>75项通过，另有108个参数化子检查</w:t>
            </w:r>
          </w:p>
        </w:tc>
        <w:tc>
          <w:tcPr>
            <w:tcW w:type="dxa" w:w="5688"/>
            <w:vAlign w:val="center"/>
            <w:tcMar>
              <w:top w:w="80" w:type="dxa"/>
              <w:bottom w:w="80" w:type="dxa"/>
              <w:left w:w="100" w:type="dxa"/>
              <w:right w:w="100" w:type="dxa"/>
            </w:tcMar>
            <w:shd w:fill="FFFFFF"/>
          </w:tcPr>
          <w:p>
            <w:pPr>
              <w:spacing w:after="0" w:line="280" w:lineRule="exact"/>
              <w:jc w:val="left"/>
            </w:pPr>
            <w:r>
              <w:rPr>
                <w:b w:val="0"/>
                <w:color w:val="000000"/>
                <w:sz w:val="19"/>
              </w:rPr>
              <w:t>鉴权、严格字段、队列、状态、取消、幂等、签名下载、超时与媒体接入</w:t>
            </w:r>
          </w:p>
        </w:tc>
      </w:tr>
      <w:tr>
        <w:trPr>
          <w:cantSplit/>
        </w:trPr>
        <w:tc>
          <w:tcPr>
            <w:tcW w:type="dxa" w:w="1944"/>
            <w:vAlign w:val="center"/>
            <w:tcMar>
              <w:top w:w="80" w:type="dxa"/>
              <w:bottom w:w="80" w:type="dxa"/>
              <w:left w:w="100" w:type="dxa"/>
              <w:right w:w="100" w:type="dxa"/>
            </w:tcMar>
            <w:shd w:fill="F1F5F8"/>
          </w:tcPr>
          <w:p>
            <w:pPr>
              <w:spacing w:after="0" w:line="280" w:lineRule="exact"/>
              <w:jc w:val="center"/>
            </w:pPr>
            <w:r>
              <w:rPr>
                <w:b w:val="0"/>
                <w:color w:val="000000"/>
                <w:sz w:val="19"/>
              </w:rPr>
              <w:t>真实runner参数检查</w:t>
            </w:r>
          </w:p>
        </w:tc>
        <w:tc>
          <w:tcPr>
            <w:tcW w:type="dxa" w:w="2448"/>
            <w:vAlign w:val="center"/>
            <w:tcMar>
              <w:top w:w="80" w:type="dxa"/>
              <w:bottom w:w="80" w:type="dxa"/>
              <w:left w:w="100" w:type="dxa"/>
              <w:right w:w="100" w:type="dxa"/>
            </w:tcMar>
            <w:shd w:fill="F1F5F8"/>
          </w:tcPr>
          <w:p>
            <w:pPr>
              <w:spacing w:after="0" w:line="280" w:lineRule="exact"/>
              <w:jc w:val="left"/>
            </w:pPr>
            <w:r>
              <w:rPr>
                <w:b w:val="0"/>
                <w:color w:val="000000"/>
                <w:sz w:val="19"/>
              </w:rPr>
              <w:t>12个时长逐一通过</w:t>
            </w:r>
          </w:p>
        </w:tc>
        <w:tc>
          <w:tcPr>
            <w:tcW w:type="dxa" w:w="5688"/>
            <w:vAlign w:val="center"/>
            <w:tcMar>
              <w:top w:w="80" w:type="dxa"/>
              <w:bottom w:w="80" w:type="dxa"/>
              <w:left w:w="100" w:type="dxa"/>
              <w:right w:w="100" w:type="dxa"/>
            </w:tcMar>
            <w:shd w:fill="F1F5F8"/>
          </w:tcPr>
          <w:p>
            <w:pPr>
              <w:spacing w:after="0" w:line="280" w:lineRule="exact"/>
              <w:jc w:val="left"/>
            </w:pPr>
            <w:r>
              <w:rPr>
                <w:b w:val="0"/>
                <w:color w:val="000000"/>
                <w:sz w:val="19"/>
              </w:rPr>
              <w:t>实际CLI的4至15秒参数、49次采样、提示词文件哈希和输出帧计划；未加载权重</w:t>
            </w:r>
          </w:p>
        </w:tc>
      </w:tr>
      <w:tr>
        <w:trPr>
          <w:cantSplit/>
        </w:trPr>
        <w:tc>
          <w:tcPr>
            <w:tcW w:type="dxa" w:w="1944"/>
            <w:vAlign w:val="center"/>
            <w:tcMar>
              <w:top w:w="80" w:type="dxa"/>
              <w:bottom w:w="80" w:type="dxa"/>
              <w:left w:w="100" w:type="dxa"/>
              <w:right w:w="100" w:type="dxa"/>
            </w:tcMar>
            <w:shd w:fill="FFFFFF"/>
          </w:tcPr>
          <w:p>
            <w:pPr>
              <w:spacing w:after="0" w:line="280" w:lineRule="exact"/>
              <w:jc w:val="center"/>
            </w:pPr>
            <w:r>
              <w:rPr>
                <w:b w:val="0"/>
                <w:color w:val="000000"/>
                <w:sz w:val="19"/>
              </w:rPr>
              <w:t>runner定向回归</w:t>
            </w:r>
          </w:p>
        </w:tc>
        <w:tc>
          <w:tcPr>
            <w:tcW w:type="dxa" w:w="2448"/>
            <w:vAlign w:val="center"/>
            <w:tcMar>
              <w:top w:w="80" w:type="dxa"/>
              <w:bottom w:w="80" w:type="dxa"/>
              <w:left w:w="100" w:type="dxa"/>
              <w:right w:w="100" w:type="dxa"/>
            </w:tcMar>
            <w:shd w:fill="FFFFFF"/>
          </w:tcPr>
          <w:p>
            <w:pPr>
              <w:spacing w:after="0" w:line="280" w:lineRule="exact"/>
              <w:jc w:val="left"/>
            </w:pPr>
            <w:r>
              <w:rPr>
                <w:b w:val="0"/>
                <w:color w:val="000000"/>
                <w:sz w:val="19"/>
              </w:rPr>
              <w:t>39项定向回归通过</w:t>
            </w:r>
          </w:p>
        </w:tc>
        <w:tc>
          <w:tcPr>
            <w:tcW w:type="dxa" w:w="5688"/>
            <w:vAlign w:val="center"/>
            <w:tcMar>
              <w:top w:w="80" w:type="dxa"/>
              <w:bottom w:w="80" w:type="dxa"/>
              <w:left w:w="100" w:type="dxa"/>
              <w:right w:w="100" w:type="dxa"/>
            </w:tcMar>
            <w:shd w:fill="FFFFFF"/>
          </w:tcPr>
          <w:p>
            <w:pPr>
              <w:spacing w:after="0" w:line="280" w:lineRule="exact"/>
              <w:jc w:val="left"/>
            </w:pPr>
            <w:r>
              <w:rPr>
                <w:b w:val="0"/>
                <w:color w:val="000000"/>
                <w:sz w:val="19"/>
              </w:rPr>
              <w:t>通用时长、真实前缀裁剪、FFmpeg小样和旧路径兼容</w:t>
            </w:r>
          </w:p>
        </w:tc>
      </w:tr>
      <w:tr>
        <w:trPr>
          <w:cantSplit/>
        </w:trPr>
        <w:tc>
          <w:tcPr>
            <w:tcW w:type="dxa" w:w="1944"/>
            <w:vAlign w:val="center"/>
            <w:tcMar>
              <w:top w:w="80" w:type="dxa"/>
              <w:bottom w:w="80" w:type="dxa"/>
              <w:left w:w="100" w:type="dxa"/>
              <w:right w:w="100" w:type="dxa"/>
            </w:tcMar>
            <w:shd w:fill="F1F5F8"/>
          </w:tcPr>
          <w:p>
            <w:pPr>
              <w:spacing w:after="0" w:line="280" w:lineRule="exact"/>
              <w:jc w:val="center"/>
            </w:pPr>
            <w:r>
              <w:rPr>
                <w:b w:val="0"/>
                <w:color w:val="000000"/>
                <w:sz w:val="19"/>
              </w:rPr>
              <w:t>真实本机HTTP联调</w:t>
            </w:r>
          </w:p>
        </w:tc>
        <w:tc>
          <w:tcPr>
            <w:tcW w:type="dxa" w:w="2448"/>
            <w:vAlign w:val="center"/>
            <w:tcMar>
              <w:top w:w="80" w:type="dxa"/>
              <w:bottom w:w="80" w:type="dxa"/>
              <w:left w:w="100" w:type="dxa"/>
              <w:right w:w="100" w:type="dxa"/>
            </w:tcMar>
            <w:shd w:fill="F1F5F8"/>
          </w:tcPr>
          <w:p>
            <w:pPr>
              <w:spacing w:after="0" w:line="280" w:lineRule="exact"/>
              <w:jc w:val="left"/>
            </w:pPr>
            <w:r>
              <w:rPr>
                <w:b w:val="0"/>
                <w:color w:val="000000"/>
                <w:sz w:val="19"/>
              </w:rPr>
              <w:t>通过</w:t>
            </w:r>
          </w:p>
        </w:tc>
        <w:tc>
          <w:tcPr>
            <w:tcW w:type="dxa" w:w="5688"/>
            <w:vAlign w:val="center"/>
            <w:tcMar>
              <w:top w:w="80" w:type="dxa"/>
              <w:bottom w:w="80" w:type="dxa"/>
              <w:left w:w="100" w:type="dxa"/>
              <w:right w:w="100" w:type="dxa"/>
            </w:tcMar>
            <w:shd w:fill="F1F5F8"/>
          </w:tcPr>
          <w:p>
            <w:pPr>
              <w:spacing w:after="0" w:line="280" w:lineRule="exact"/>
              <w:jc w:val="left"/>
            </w:pPr>
            <w:r>
              <w:rPr>
                <w:b w:val="0"/>
                <w:color w:val="000000"/>
                <w:sz w:val="19"/>
              </w:rPr>
              <w:t>真实socket提交、Worker处理、查询、签名下载、列表和排队取消；媒体由FFmpeg合成</w:t>
            </w:r>
          </w:p>
        </w:tc>
      </w:tr>
      <w:tr>
        <w:trPr>
          <w:cantSplit/>
        </w:trPr>
        <w:tc>
          <w:tcPr>
            <w:tcW w:type="dxa" w:w="1944"/>
            <w:vAlign w:val="center"/>
            <w:tcMar>
              <w:top w:w="80" w:type="dxa"/>
              <w:bottom w:w="80" w:type="dxa"/>
              <w:left w:w="100" w:type="dxa"/>
              <w:right w:w="100" w:type="dxa"/>
            </w:tcMar>
            <w:shd w:fill="FFFFFF"/>
          </w:tcPr>
          <w:p>
            <w:pPr>
              <w:spacing w:after="0" w:line="280" w:lineRule="exact"/>
              <w:jc w:val="center"/>
            </w:pPr>
            <w:r>
              <w:rPr>
                <w:b w:val="0"/>
                <w:color w:val="000000"/>
                <w:sz w:val="19"/>
              </w:rPr>
              <w:t>推理子进程桥接</w:t>
            </w:r>
          </w:p>
        </w:tc>
        <w:tc>
          <w:tcPr>
            <w:tcW w:type="dxa" w:w="2448"/>
            <w:vAlign w:val="center"/>
            <w:tcMar>
              <w:top w:w="80" w:type="dxa"/>
              <w:bottom w:w="80" w:type="dxa"/>
              <w:left w:w="100" w:type="dxa"/>
              <w:right w:w="100" w:type="dxa"/>
            </w:tcMar>
            <w:shd w:fill="FFFFFF"/>
          </w:tcPr>
          <w:p>
            <w:pPr>
              <w:spacing w:after="0" w:line="280" w:lineRule="exact"/>
              <w:jc w:val="left"/>
            </w:pPr>
            <w:r>
              <w:rPr>
                <w:b w:val="0"/>
                <w:color w:val="000000"/>
                <w:sz w:val="19"/>
              </w:rPr>
              <w:t>3项通过</w:t>
            </w:r>
          </w:p>
        </w:tc>
        <w:tc>
          <w:tcPr>
            <w:tcW w:type="dxa" w:w="5688"/>
            <w:vAlign w:val="center"/>
            <w:tcMar>
              <w:top w:w="80" w:type="dxa"/>
              <w:bottom w:w="80" w:type="dxa"/>
              <w:left w:w="100" w:type="dxa"/>
              <w:right w:w="100" w:type="dxa"/>
            </w:tcMar>
            <w:shd w:fill="FFFFFF"/>
          </w:tcPr>
          <w:p>
            <w:pPr>
              <w:spacing w:after="0" w:line="280" w:lineRule="exact"/>
              <w:jc w:val="left"/>
            </w:pPr>
            <w:r>
              <w:rPr>
                <w:b w:val="0"/>
                <w:color w:val="000000"/>
                <w:sz w:val="19"/>
              </w:rPr>
              <w:t>通过模拟runner进程验证提示词文件、密钥不传入子进程、错误报告拒绝发布及超时终止</w:t>
            </w:r>
          </w:p>
        </w:tc>
      </w:tr>
      <w:tr>
        <w:trPr>
          <w:cantSplit/>
        </w:trPr>
        <w:tc>
          <w:tcPr>
            <w:tcW w:type="dxa" w:w="1944"/>
            <w:vAlign w:val="center"/>
            <w:tcMar>
              <w:top w:w="80" w:type="dxa"/>
              <w:bottom w:w="80" w:type="dxa"/>
              <w:left w:w="100" w:type="dxa"/>
              <w:right w:w="100" w:type="dxa"/>
            </w:tcMar>
            <w:shd w:fill="F1F5F8"/>
          </w:tcPr>
          <w:p>
            <w:pPr>
              <w:spacing w:after="0" w:line="280" w:lineRule="exact"/>
              <w:jc w:val="center"/>
            </w:pPr>
            <w:r>
              <w:rPr>
                <w:b w:val="0"/>
                <w:color w:val="000000"/>
                <w:sz w:val="19"/>
              </w:rPr>
              <w:t>部署与解释器入口</w:t>
            </w:r>
          </w:p>
        </w:tc>
        <w:tc>
          <w:tcPr>
            <w:tcW w:type="dxa" w:w="2448"/>
            <w:vAlign w:val="center"/>
            <w:tcMar>
              <w:top w:w="80" w:type="dxa"/>
              <w:bottom w:w="80" w:type="dxa"/>
              <w:left w:w="100" w:type="dxa"/>
              <w:right w:w="100" w:type="dxa"/>
            </w:tcMar>
            <w:shd w:fill="F1F5F8"/>
          </w:tcPr>
          <w:p>
            <w:pPr>
              <w:spacing w:after="0" w:line="280" w:lineRule="exact"/>
              <w:jc w:val="left"/>
            </w:pPr>
            <w:r>
              <w:rPr>
                <w:b w:val="0"/>
                <w:color w:val="000000"/>
                <w:sz w:val="19"/>
              </w:rPr>
              <w:t>12项通过</w:t>
            </w:r>
          </w:p>
        </w:tc>
        <w:tc>
          <w:tcPr>
            <w:tcW w:type="dxa" w:w="5688"/>
            <w:vAlign w:val="center"/>
            <w:tcMar>
              <w:top w:w="80" w:type="dxa"/>
              <w:bottom w:w="80" w:type="dxa"/>
              <w:left w:w="100" w:type="dxa"/>
              <w:right w:w="100" w:type="dxa"/>
            </w:tcMar>
            <w:shd w:fill="F1F5F8"/>
          </w:tcPr>
          <w:p>
            <w:pPr>
              <w:spacing w:after="0" w:line="280" w:lineRule="exact"/>
              <w:jc w:val="left"/>
            </w:pPr>
            <w:r>
              <w:rPr>
                <w:b w:val="0"/>
                <w:color w:val="000000"/>
                <w:sz w:val="19"/>
              </w:rPr>
              <w:t>systemd配置生成及防注入；真实venv子进程保持自身依赖环境</w:t>
            </w:r>
          </w:p>
        </w:tc>
      </w:tr>
      <w:tr>
        <w:trPr>
          <w:cantSplit/>
        </w:trPr>
        <w:tc>
          <w:tcPr>
            <w:tcW w:type="dxa" w:w="1944"/>
            <w:vAlign w:val="center"/>
            <w:tcMar>
              <w:top w:w="80" w:type="dxa"/>
              <w:bottom w:w="80" w:type="dxa"/>
              <w:left w:w="100" w:type="dxa"/>
              <w:right w:w="100" w:type="dxa"/>
            </w:tcMar>
            <w:shd w:fill="FFFFFF"/>
          </w:tcPr>
          <w:p>
            <w:pPr>
              <w:spacing w:after="0" w:line="280" w:lineRule="exact"/>
              <w:jc w:val="center"/>
            </w:pPr>
            <w:r>
              <w:rPr>
                <w:b w:val="0"/>
                <w:color w:val="000000"/>
                <w:sz w:val="19"/>
              </w:rPr>
              <w:t>独立实现审查</w:t>
            </w:r>
          </w:p>
        </w:tc>
        <w:tc>
          <w:tcPr>
            <w:tcW w:type="dxa" w:w="2448"/>
            <w:vAlign w:val="center"/>
            <w:tcMar>
              <w:top w:w="80" w:type="dxa"/>
              <w:bottom w:w="80" w:type="dxa"/>
              <w:left w:w="100" w:type="dxa"/>
              <w:right w:w="100" w:type="dxa"/>
            </w:tcMar>
            <w:shd w:fill="FFFFFF"/>
          </w:tcPr>
          <w:p>
            <w:pPr>
              <w:spacing w:after="0" w:line="280" w:lineRule="exact"/>
              <w:jc w:val="left"/>
            </w:pPr>
            <w:r>
              <w:rPr>
                <w:b w:val="0"/>
                <w:color w:val="000000"/>
                <w:sz w:val="19"/>
              </w:rPr>
              <w:t>未发现阻断问题</w:t>
            </w:r>
          </w:p>
        </w:tc>
        <w:tc>
          <w:tcPr>
            <w:tcW w:type="dxa" w:w="5688"/>
            <w:vAlign w:val="center"/>
            <w:tcMar>
              <w:top w:w="80" w:type="dxa"/>
              <w:bottom w:w="80" w:type="dxa"/>
              <w:left w:w="100" w:type="dxa"/>
              <w:right w:w="100" w:type="dxa"/>
            </w:tcMar>
            <w:shd w:fill="FFFFFF"/>
          </w:tcPr>
          <w:p>
            <w:pPr>
              <w:spacing w:after="0" w:line="280" w:lineRule="exact"/>
              <w:jc w:val="left"/>
            </w:pPr>
            <w:r>
              <w:rPr>
                <w:b w:val="0"/>
                <w:color w:val="000000"/>
                <w:sz w:val="19"/>
              </w:rPr>
              <w:t>复核任务竞争、锁继承、SSRF、签名下载、文件路径和接口边界</w:t>
            </w:r>
          </w:p>
        </w:tc>
      </w:tr>
    </w:tbl>
    <w:p>
      <w:pPr>
        <w:spacing w:after="40" w:line="96" w:lineRule="auto"/>
        <w:snapToGrid w:val="0"/>
      </w:pPr>
      <w:r>
        <w:rPr>
          <w:b w:val="0"/>
        </w:rPr>
      </w:r>
      <w:r>
        <w:rPr>
          <w:sz w:val="4"/>
        </w:rPr>
      </w:r>
    </w:p>
    <w:p>
      <w:pPr>
        <w:pStyle w:val="Heading2"/>
        <w:snapToGrid w:val="0"/>
      </w:pPr>
      <w:r>
        <w:t>这次特意处理的几个边界</w:t>
      </w:r>
    </w:p>
    <w:p>
      <w:pPr>
        <w:snapToGrid w:val="0"/>
      </w:pPr>
      <w:r>
        <w:rPr>
          <w:b w:val="0"/>
        </w:rPr>
        <w:t>图片接入限制请求体、源文件字节、像素和格式；HTTPS下载固定到已核验的公网IP，并保留原Host、SNI和TLS证书校验，每次重定向重新验证。4秒请求在模型内部仍按原生最低帧数生成，再裁取真实前4秒；不会补帧或只改元数据。生成结果要同时满足退出状态、runner参数、参考图哈希和媒体格式检查。</w:t>
      </w:r>
    </w:p>
    <w:p>
      <w:pPr>
        <w:snapToGrid w:val="0"/>
      </w:pPr>
      <w:r>
        <w:rPr>
          <w:b w:val="0"/>
        </w:rPr>
        <w:t>接口采用异步任务方式：HTTP返回task_id后，客户端按任务ID查询状态并下载结果。CPU推理耗时取决于输入、时长和画布，任务查询与模型计算分别运行。</w:t>
      </w:r>
    </w:p>
    <w:p>
      <w:pPr>
        <w:pStyle w:val="Heading2"/>
        <w:snapToGrid w:val="0"/>
      </w:pPr>
      <w:r>
        <w:t>协议与代码入口</w:t>
      </w:r>
    </w:p>
    <w:p>
      <w:pPr>
        <w:snapToGrid w:val="0"/>
      </w:pPr>
      <w:r>
        <w:rPr>
          <w:b w:val="0"/>
        </w:rPr>
        <w:t>代码包中的README说明部署步骤和限制，requirements.lock记录验证过的Web依赖，tests与test-results保存可复查的本地验证。原始MP4仍完整嵌入本文档，接口测试没有替换这份视频。</w:t>
      </w:r>
    </w:p>
    <w:p>
      <w:pPr>
        <w:spacing w:after="60"/>
        <w:snapToGrid w:val="0"/>
      </w:pPr>
      <w:r>
        <w:rPr>
          <w:b w:val="0"/>
        </w:rPr>
      </w:r>
      <w:hyperlink r:id="rId15">
        <w:r>
          <w:rPr>
            <w:color w:val="17365D"/>
          </w:rPr>
          <w:t>官方创建任务</w:t>
        </w:r>
      </w:hyperlink>
    </w:p>
    <w:p>
      <w:pPr>
        <w:spacing w:after="60"/>
        <w:snapToGrid w:val="0"/>
      </w:pPr>
      <w:r>
        <w:rPr>
          <w:b w:val="0"/>
        </w:rPr>
      </w:r>
      <w:hyperlink r:id="rId16">
        <w:r>
          <w:rPr>
            <w:color w:val="17365D"/>
          </w:rPr>
          <w:t>官方查询任务</w:t>
        </w:r>
      </w:hyperlink>
    </w:p>
    <w:p>
      <w:pPr>
        <w:spacing w:after="60"/>
        <w:snapToGrid w:val="0"/>
      </w:pPr>
      <w:r>
        <w:rPr>
          <w:b w:val="0"/>
        </w:rPr>
      </w:r>
      <w:hyperlink r:id="rId17">
        <w:r>
          <w:rPr>
            <w:color w:val="17365D"/>
          </w:rPr>
          <w:t>官方任务列表</w:t>
        </w:r>
      </w:hyperlink>
    </w:p>
    <w:p>
      <w:pPr>
        <w:spacing w:after="60"/>
        <w:snapToGrid w:val="0"/>
      </w:pPr>
      <w:r>
        <w:rPr>
          <w:b w:val="0"/>
        </w:rPr>
      </w:r>
      <w:hyperlink r:id="rId18">
        <w:r>
          <w:rPr>
            <w:color w:val="17365D"/>
          </w:rPr>
          <w:t>官方删除任务</w:t>
        </w:r>
      </w:hyperlink>
    </w:p>
    <w:p>
      <w:bookmarkStart w:id="205" w:name="api_deployment"/>
      <w:pPr>
        <w:pStyle w:val="Heading1"/>
        <w:pageBreakBefore/>
        <w:snapToGrid w:val="0"/>
      </w:pPr>
      <w:r>
        <w:t>16 从脚本部署到系统服务</w:t>
      </w:r>
      <w:bookmarkEnd w:id="205"/>
    </w:p>
    <w:p>
      <w:pPr>
        <w:snapToGrid w:val="0"/>
      </w:pPr>
      <w:r>
        <w:rPr>
          <w:b w:val="0"/>
        </w:rPr>
        <w:t>我把API和worker作为两个systemd服务管理，使用独立的API虚拟环境，模型继续使用原来的Python环境和权重。部署文件生成器只输出配置与安装指引，实际安装和启动是独立步骤。密钥放在私有EnvironmentFile中，服务仅监听本机回环地址；需要从自己的电脑连接时，可以使用SSH隧道。</w:t>
      </w:r>
    </w:p>
    <w:p>
      <w:pPr>
        <w:pStyle w:val="Heading2"/>
        <w:snapToGrid w:val="0"/>
      </w:pPr>
      <w:r>
        <w:t>实机接入前发现的解释器问题</w:t>
      </w:r>
    </w:p>
    <w:p>
      <w:pPr>
        <w:snapToGrid w:val="0"/>
      </w:pPr>
      <w:r>
        <w:rPr>
          <w:b w:val="0"/>
        </w:rPr>
        <w:t>0.1.1修复了一个模拟测试没有覆盖的问题：虚拟环境里的Python通常是符号链接，若先解析成实际文件路径再运行，会跳到系统解释器，找不到模型环境的依赖。我改为保留虚拟环境入口的绝对路径，并真正创建venv启动子进程，核对sys.prefix及只存在于该环境中的测试模块。绝对与相对入口两种情况都通过了回归。</w:t>
      </w:r>
    </w:p>
    <w:p>
      <w:pPr>
        <w:snapToGrid w:val="0"/>
      </w:pPr>
      <w:r>
        <w:rPr>
          <w:b w:val="0"/>
        </w:rPr>
        <w:t>云端安装时，直连PyPI下载很慢，安装SSH会话也曾超时。我保持锁定版本不变，改为在本机从镜像源准备Linux wheel，通过SSH传输并校验安装包SHA256，再在实例离线安装。API的pip check、原模型依赖导入与微型CPU算子检查，以及Ubuntu上的systemd-analyze verify均通过。</w:t>
      </w:r>
    </w:p>
    <w:p>
      <w:pPr>
        <w:spacing w:after="20" w:line="250" w:lineRule="exact"/>
        <w:ind w:left="173"/>
        <w:snapToGrid w:val="0"/>
      </w:pPr>
      <w:r>
        <w:rPr>
          <w:b w:val="0"/>
        </w:rPr>
      </w:r>
      <w:r>
        <w:rPr>
          <w:rFonts w:ascii="Menlo" w:hAnsi="Menlo" w:eastAsia="Hiragino Sans GB"/>
          <w:sz w:val="18"/>
        </w:rPr>
        <w:t># 安装并审阅配置后，在ECS上手动启动</w:t>
      </w:r>
    </w:p>
    <w:p>
      <w:pPr>
        <w:spacing w:after="20" w:line="250" w:lineRule="exact"/>
        <w:ind w:left="173"/>
        <w:snapToGrid w:val="0"/>
      </w:pPr>
      <w:r>
        <w:rPr>
          <w:b w:val="0"/>
        </w:rPr>
      </w:r>
      <w:r>
        <w:rPr>
          <w:rFonts w:ascii="Menlo" w:hAnsi="Menlo" w:eastAsia="Hiragino Sans GB"/>
          <w:sz w:val="18"/>
        </w:rPr>
        <w:t>sudo systemctl start h3-api.service h3-worker.service</w:t>
      </w:r>
    </w:p>
    <w:p>
      <w:pPr>
        <w:spacing w:after="20" w:line="250" w:lineRule="exact"/>
        <w:ind w:left="173"/>
        <w:snapToGrid w:val="0"/>
      </w:pPr>
      <w:r>
        <w:rPr>
          <w:b w:val="0"/>
        </w:rPr>
      </w:r>
      <w:r>
        <w:rPr>
          <w:rFonts w:ascii="Menlo" w:hAnsi="Menlo" w:eastAsia="Hiragino Sans GB"/>
          <w:sz w:val="18"/>
        </w:rPr>
        <w:t># 自己的电脑按需建立SSH隧道，替换登录名与主机名</w:t>
      </w:r>
    </w:p>
    <w:p>
      <w:pPr>
        <w:spacing w:after="20" w:line="250" w:lineRule="exact"/>
        <w:ind w:left="173"/>
        <w:snapToGrid w:val="0"/>
      </w:pPr>
      <w:r>
        <w:rPr>
          <w:b w:val="0"/>
        </w:rPr>
      </w:r>
      <w:r>
        <w:rPr>
          <w:rFonts w:ascii="Menlo" w:hAnsi="Menlo" w:eastAsia="Hiragino Sans GB"/>
          <w:sz w:val="18"/>
        </w:rPr>
        <w:t>ssh -N -L 30010:localhost:30010 USER@ECS_HOST</w:t>
      </w:r>
    </w:p>
    <w:p>
      <w:pPr>
        <w:spacing w:after="40"/>
        <w:snapToGrid w:val="0"/>
      </w:pPr>
      <w:r>
        <w:rPr>
          <w:b w:val="0"/>
        </w:rPr>
      </w:r>
    </w:p>
    <w:p>
      <w:pPr>
        <w:snapToGrid w:val="0"/>
      </w:pPr>
      <w:r>
        <w:rPr>
          <w:b w:val="0"/>
        </w:rPr>
        <w:t>两个服务不设置开机自动生成，也不自动重启。worker停止时清理整个进程控制组，中断任务不自动重算。源码模板默认18小时作业上限，本次5秒验收改为3小时；在已部署实例调用15秒等长任务前，需要调整上限并复核预算。作业时限不停止云计费，仍须单独执行节省停机。</w:t>
      </w:r>
    </w:p>
    <w:p>
      <w:pPr>
        <w:pStyle w:val="Heading2"/>
        <w:snapToGrid w:val="0"/>
      </w:pPr>
      <w:r>
        <w:t>一个真实请求的验收结果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920"/>
      </w:tblGrid>
      <w:tr>
        <w:trPr>
          <w:cantSplit/>
          <w:tblHeader/>
        </w:trPr>
        <w:tc>
          <w:tcPr>
            <w:tcW w:type="dxa" w:w="2160"/>
            <w:vAlign w:val="center"/>
            <w:tcMar>
              <w:top w:w="80" w:type="dxa"/>
              <w:bottom w:w="80" w:type="dxa"/>
              <w:left w:w="100" w:type="dxa"/>
              <w:right w:w="100" w:type="dxa"/>
            </w:tcMar>
            <w:shd w:fill="18354B"/>
          </w:tcPr>
          <w:p>
            <w:pPr>
              <w:spacing w:after="0" w:line="280" w:lineRule="exact"/>
              <w:jc w:val="left"/>
            </w:pPr>
            <w:r>
              <w:rPr>
                <w:b/>
                <w:color w:val="FFFFFF"/>
                <w:sz w:val="19"/>
              </w:rPr>
              <w:t>验收项</w:t>
            </w:r>
          </w:p>
        </w:tc>
        <w:tc>
          <w:tcPr>
            <w:tcW w:type="dxa" w:w="7920"/>
            <w:vAlign w:val="center"/>
            <w:tcMar>
              <w:top w:w="80" w:type="dxa"/>
              <w:bottom w:w="80" w:type="dxa"/>
              <w:left w:w="100" w:type="dxa"/>
              <w:right w:w="100" w:type="dxa"/>
            </w:tcMar>
            <w:shd w:fill="18354B"/>
          </w:tcPr>
          <w:p>
            <w:pPr>
              <w:spacing w:after="0" w:line="280" w:lineRule="exact"/>
              <w:jc w:val="left"/>
            </w:pPr>
            <w:r>
              <w:rPr>
                <w:b/>
                <w:color w:val="FFFFFF"/>
                <w:sz w:val="19"/>
              </w:rPr>
              <w:t>结果</w:t>
            </w:r>
          </w:p>
        </w:tc>
      </w:tr>
      <w:tr>
        <w:trPr>
          <w:cantSplit/>
        </w:trPr>
        <w:tc>
          <w:tcPr>
            <w:tcW w:type="dxa" w:w="2160"/>
            <w:vAlign w:val="center"/>
            <w:tcMar>
              <w:top w:w="80" w:type="dxa"/>
              <w:bottom w:w="80" w:type="dxa"/>
              <w:left w:w="100" w:type="dxa"/>
              <w:right w:w="100" w:type="dxa"/>
            </w:tcMar>
            <w:shd w:fill="FFFFFF"/>
          </w:tcPr>
          <w:p>
            <w:pPr>
              <w:spacing w:after="0" w:line="280" w:lineRule="exact"/>
              <w:jc w:val="left"/>
            </w:pPr>
            <w:r>
              <w:rPr>
                <w:b w:val="0"/>
                <w:color w:val="000000"/>
                <w:sz w:val="19"/>
              </w:rPr>
              <w:t>调用链</w:t>
            </w:r>
          </w:p>
        </w:tc>
        <w:tc>
          <w:tcPr>
            <w:tcW w:type="dxa" w:w="7920"/>
            <w:vAlign w:val="center"/>
            <w:tcMar>
              <w:top w:w="80" w:type="dxa"/>
              <w:bottom w:w="80" w:type="dxa"/>
              <w:left w:w="100" w:type="dxa"/>
              <w:right w:w="100" w:type="dxa"/>
            </w:tcMar>
            <w:shd w:fill="FFFFFF"/>
          </w:tcPr>
          <w:p>
            <w:pPr>
              <w:spacing w:after="0" w:line="280" w:lineRule="exact"/>
              <w:jc w:val="left"/>
            </w:pPr>
            <w:r>
              <w:rPr>
                <w:b w:val="0"/>
                <w:color w:val="000000"/>
                <w:sz w:val="19"/>
              </w:rPr>
              <w:t>POST提交 → 查询运行状态 → 真实H3生成 → succeeded → 签名URL下载</w:t>
            </w:r>
          </w:p>
        </w:tc>
      </w:tr>
      <w:tr>
        <w:trPr>
          <w:cantSplit/>
        </w:trPr>
        <w:tc>
          <w:tcPr>
            <w:tcW w:type="dxa" w:w="2160"/>
            <w:vAlign w:val="center"/>
            <w:tcMar>
              <w:top w:w="80" w:type="dxa"/>
              <w:bottom w:w="80" w:type="dxa"/>
              <w:left w:w="100" w:type="dxa"/>
              <w:right w:w="100" w:type="dxa"/>
            </w:tcMar>
            <w:shd w:fill="F1F5F8"/>
          </w:tcPr>
          <w:p>
            <w:pPr>
              <w:spacing w:after="0" w:line="280" w:lineRule="exact"/>
              <w:jc w:val="left"/>
            </w:pPr>
            <w:r>
              <w:rPr>
                <w:b w:val="0"/>
                <w:color w:val="000000"/>
                <w:sz w:val="19"/>
              </w:rPr>
              <w:t>实际输出</w:t>
            </w:r>
          </w:p>
        </w:tc>
        <w:tc>
          <w:tcPr>
            <w:tcW w:type="dxa" w:w="7920"/>
            <w:vAlign w:val="center"/>
            <w:tcMar>
              <w:top w:w="80" w:type="dxa"/>
              <w:bottom w:w="80" w:type="dxa"/>
              <w:left w:w="100" w:type="dxa"/>
              <w:right w:w="100" w:type="dxa"/>
            </w:tcMar>
            <w:shd w:fill="F1F5F8"/>
          </w:tcPr>
          <w:p>
            <w:pPr>
              <w:spacing w:after="0" w:line="280" w:lineRule="exact"/>
              <w:jc w:val="left"/>
            </w:pPr>
            <w:r>
              <w:rPr>
                <w:b w:val="0"/>
                <w:color w:val="000000"/>
                <w:sz w:val="19"/>
              </w:rPr>
              <w:t>768×768；120帧；24fps；视频、音频和容器均5.000秒</w:t>
            </w:r>
          </w:p>
        </w:tc>
      </w:tr>
      <w:tr>
        <w:trPr>
          <w:cantSplit/>
        </w:trPr>
        <w:tc>
          <w:tcPr>
            <w:tcW w:type="dxa" w:w="2160"/>
            <w:vAlign w:val="center"/>
            <w:tcMar>
              <w:top w:w="80" w:type="dxa"/>
              <w:bottom w:w="80" w:type="dxa"/>
              <w:left w:w="100" w:type="dxa"/>
              <w:right w:w="100" w:type="dxa"/>
            </w:tcMar>
            <w:shd w:fill="FFFFFF"/>
          </w:tcPr>
          <w:p>
            <w:pPr>
              <w:spacing w:after="0" w:line="280" w:lineRule="exact"/>
              <w:jc w:val="left"/>
            </w:pPr>
            <w:r>
              <w:rPr>
                <w:b w:val="0"/>
                <w:color w:val="000000"/>
                <w:sz w:val="19"/>
              </w:rPr>
              <w:t>模型与音频</w:t>
            </w:r>
          </w:p>
        </w:tc>
        <w:tc>
          <w:tcPr>
            <w:tcW w:type="dxa" w:w="7920"/>
            <w:vAlign w:val="center"/>
            <w:tcMar>
              <w:top w:w="80" w:type="dxa"/>
              <w:bottom w:w="80" w:type="dxa"/>
              <w:left w:w="100" w:type="dxa"/>
              <w:right w:w="100" w:type="dxa"/>
            </w:tcMar>
            <w:shd w:fill="FFFFFF"/>
          </w:tcPr>
          <w:p>
            <w:pPr>
              <w:spacing w:after="0" w:line="280" w:lineRule="exact"/>
              <w:jc w:val="left"/>
            </w:pPr>
            <w:r>
              <w:rPr>
                <w:b w:val="0"/>
                <w:color w:val="000000"/>
                <w:sz w:val="19"/>
              </w:rPr>
              <w:t>Ref2VA，49次实际forward；32kHz双声道；完整解码通过</w:t>
            </w:r>
          </w:p>
        </w:tc>
      </w:tr>
      <w:tr>
        <w:trPr>
          <w:cantSplit/>
        </w:trPr>
        <w:tc>
          <w:tcPr>
            <w:tcW w:type="dxa" w:w="2160"/>
            <w:vAlign w:val="center"/>
            <w:tcMar>
              <w:top w:w="80" w:type="dxa"/>
              <w:bottom w:w="80" w:type="dxa"/>
              <w:left w:w="100" w:type="dxa"/>
              <w:right w:w="100" w:type="dxa"/>
            </w:tcMar>
            <w:shd w:fill="F1F5F8"/>
          </w:tcPr>
          <w:p>
            <w:pPr>
              <w:spacing w:after="0" w:line="280" w:lineRule="exact"/>
              <w:jc w:val="left"/>
            </w:pPr>
            <w:r>
              <w:rPr>
                <w:b w:val="0"/>
                <w:color w:val="000000"/>
                <w:sz w:val="19"/>
              </w:rPr>
              <w:t>推理耗时</w:t>
            </w:r>
          </w:p>
        </w:tc>
        <w:tc>
          <w:tcPr>
            <w:tcW w:type="dxa" w:w="7920"/>
            <w:vAlign w:val="center"/>
            <w:tcMar>
              <w:top w:w="80" w:type="dxa"/>
              <w:bottom w:w="80" w:type="dxa"/>
              <w:left w:w="100" w:type="dxa"/>
              <w:right w:w="100" w:type="dxa"/>
            </w:tcMar>
            <w:shd w:fill="F1F5F8"/>
          </w:tcPr>
          <w:p>
            <w:pPr>
              <w:spacing w:after="0" w:line="280" w:lineRule="exact"/>
              <w:jc w:val="left"/>
            </w:pPr>
            <w:r>
              <w:rPr>
                <w:b w:val="0"/>
                <w:color w:val="000000"/>
                <w:sz w:val="19"/>
              </w:rPr>
              <w:t>110.9分钟；该数字不包含安装与实例准备时间</w:t>
            </w:r>
          </w:p>
        </w:tc>
      </w:tr>
      <w:tr>
        <w:trPr>
          <w:cantSplit/>
        </w:trPr>
        <w:tc>
          <w:tcPr>
            <w:tcW w:type="dxa" w:w="2160"/>
            <w:vAlign w:val="center"/>
            <w:tcMar>
              <w:top w:w="80" w:type="dxa"/>
              <w:bottom w:w="80" w:type="dxa"/>
              <w:left w:w="100" w:type="dxa"/>
              <w:right w:w="100" w:type="dxa"/>
            </w:tcMar>
            <w:shd w:fill="FFFFFF"/>
          </w:tcPr>
          <w:p>
            <w:pPr>
              <w:spacing w:after="0" w:line="280" w:lineRule="exact"/>
              <w:jc w:val="left"/>
            </w:pPr>
            <w:r>
              <w:rPr>
                <w:b w:val="0"/>
                <w:color w:val="000000"/>
                <w:sz w:val="19"/>
              </w:rPr>
              <w:t>文件一致性</w:t>
            </w:r>
          </w:p>
        </w:tc>
        <w:tc>
          <w:tcPr>
            <w:tcW w:type="dxa" w:w="7920"/>
            <w:vAlign w:val="center"/>
            <w:tcMar>
              <w:top w:w="80" w:type="dxa"/>
              <w:bottom w:w="80" w:type="dxa"/>
              <w:left w:w="100" w:type="dxa"/>
              <w:right w:w="100" w:type="dxa"/>
            </w:tcMar>
            <w:shd w:fill="FFFFFF"/>
          </w:tcPr>
          <w:p>
            <w:pPr>
              <w:spacing w:after="0" w:line="280" w:lineRule="exact"/>
              <w:jc w:val="left"/>
            </w:pPr>
            <w:r>
              <w:rPr>
                <w:b w:val="0"/>
                <w:color w:val="000000"/>
                <w:sz w:val="19"/>
              </w:rPr>
              <w:t>API下载文件与服务器已验证输出的大小和SHA256一致</w:t>
            </w:r>
          </w:p>
        </w:tc>
      </w:tr>
      <w:tr>
        <w:trPr>
          <w:cantSplit/>
        </w:trPr>
        <w:tc>
          <w:tcPr>
            <w:tcW w:type="dxa" w:w="2160"/>
            <w:vAlign w:val="center"/>
            <w:tcMar>
              <w:top w:w="80" w:type="dxa"/>
              <w:bottom w:w="80" w:type="dxa"/>
              <w:left w:w="100" w:type="dxa"/>
              <w:right w:w="100" w:type="dxa"/>
            </w:tcMar>
            <w:shd w:fill="F1F5F8"/>
          </w:tcPr>
          <w:p>
            <w:pPr>
              <w:spacing w:after="0" w:line="280" w:lineRule="exact"/>
              <w:jc w:val="left"/>
            </w:pPr>
            <w:r>
              <w:rPr>
                <w:b w:val="0"/>
                <w:color w:val="000000"/>
                <w:sz w:val="19"/>
              </w:rPr>
              <w:t>断线与重启</w:t>
            </w:r>
          </w:p>
        </w:tc>
        <w:tc>
          <w:tcPr>
            <w:tcW w:type="dxa" w:w="7920"/>
            <w:vAlign w:val="center"/>
            <w:tcMar>
              <w:top w:w="80" w:type="dxa"/>
              <w:bottom w:w="80" w:type="dxa"/>
              <w:left w:w="100" w:type="dxa"/>
              <w:right w:w="100" w:type="dxa"/>
            </w:tcMar>
            <w:shd w:fill="F1F5F8"/>
          </w:tcPr>
          <w:p>
            <w:pPr>
              <w:spacing w:after="0" w:line="280" w:lineRule="exact"/>
              <w:jc w:val="left"/>
            </w:pPr>
            <w:r>
              <w:rPr>
                <w:b w:val="0"/>
                <w:color w:val="000000"/>
                <w:sz w:val="19"/>
              </w:rPr>
              <w:t>客户端断线后按原任务ID恢复；API重启后仍可查询与下载；实际只生成一个任务</w:t>
            </w:r>
          </w:p>
        </w:tc>
      </w:tr>
      <w:tr>
        <w:trPr>
          <w:cantSplit/>
        </w:trPr>
        <w:tc>
          <w:tcPr>
            <w:tcW w:type="dxa" w:w="2160"/>
            <w:vAlign w:val="center"/>
            <w:tcMar>
              <w:top w:w="80" w:type="dxa"/>
              <w:bottom w:w="80" w:type="dxa"/>
              <w:left w:w="100" w:type="dxa"/>
              <w:right w:w="100" w:type="dxa"/>
            </w:tcMar>
            <w:shd w:fill="FFFFFF"/>
          </w:tcPr>
          <w:p>
            <w:pPr>
              <w:spacing w:after="0" w:line="280" w:lineRule="exact"/>
              <w:jc w:val="left"/>
            </w:pPr>
            <w:r>
              <w:rPr>
                <w:b w:val="0"/>
                <w:color w:val="000000"/>
                <w:sz w:val="19"/>
              </w:rPr>
              <w:t>云资源收尾</w:t>
            </w:r>
          </w:p>
        </w:tc>
        <w:tc>
          <w:tcPr>
            <w:tcW w:type="dxa" w:w="7920"/>
            <w:vAlign w:val="center"/>
            <w:tcMar>
              <w:top w:w="80" w:type="dxa"/>
              <w:bottom w:w="80" w:type="dxa"/>
              <w:left w:w="100" w:type="dxa"/>
              <w:right w:w="100" w:type="dxa"/>
            </w:tcMar>
            <w:shd w:fill="FFFFFF"/>
          </w:tcPr>
          <w:p>
            <w:pPr>
              <w:spacing w:after="0" w:line="280" w:lineRule="exact"/>
              <w:jc w:val="left"/>
            </w:pPr>
            <w:r>
              <w:rPr>
                <w:b w:val="0"/>
                <w:color w:val="000000"/>
                <w:sz w:val="19"/>
              </w:rPr>
              <w:t>已取回结果，停止两个服务，并确认实例处于节省停机模式</w:t>
            </w:r>
          </w:p>
        </w:tc>
      </w:tr>
    </w:tbl>
    <w:p>
      <w:pPr>
        <w:spacing w:after="40" w:line="96" w:lineRule="auto"/>
        <w:snapToGrid w:val="0"/>
      </w:pPr>
      <w:r>
        <w:rPr>
          <w:b w:val="0"/>
        </w:rPr>
      </w:r>
      <w:r>
        <w:rPr>
          <w:sz w:val="4"/>
        </w:rPr>
      </w:r>
    </w:p>
    <w:p>
      <w:pPr>
        <w:snapToGrid w:val="0"/>
      </w:pPr>
      <w:r>
        <w:rPr>
          <w:b w:val="0"/>
        </w:rPr>
        <w:t>本轮实例运行窗口约2.26小时。沿用前文公开CPU与580GiB云盘单价，参考费用约92.63元，另加公网等费用；这仍是公开价预算重估，不是结算账单。新片仅用于5秒方形请求的技术验收，不替换本文开头的15秒原始电影片。</w:t>
      </w:r>
    </w:p>
    <w:p>
      <w:bookmarkStart w:id="219" w:name="sources"/>
      <w:pPr>
        <w:pStyle w:val="Heading1"/>
        <w:pageBreakBefore/>
        <w:snapToGrid w:val="0"/>
      </w:pPr>
      <w:r>
        <w:t>公开资料与复现版本</w:t>
      </w:r>
      <w:bookmarkEnd w:id="219"/>
    </w:p>
    <w:p>
      <w:pPr>
        <w:keepNext/>
        <w:spacing w:after="60"/>
        <w:snapToGrid w:val="0"/>
      </w:pPr>
      <w:r>
        <w:rPr>
          <w:b w:val="0"/>
        </w:rPr>
      </w:r>
      <w:hyperlink r:id="rId19">
        <w:r>
          <w:rPr>
            <w:color w:val="17365D"/>
          </w:rPr>
          <w:t>1 火山引擎ECS官网定价详情</w:t>
        </w:r>
      </w:hyperlink>
    </w:p>
    <w:p>
      <w:pPr>
        <w:spacing w:after="80" w:line="270" w:lineRule="exact"/>
        <w:snapToGrid w:val="0"/>
      </w:pPr>
      <w:r>
        <w:rPr>
          <w:b w:val="0"/>
          <w:sz w:val="19"/>
        </w:rPr>
        <w:t>2026年10月20日；官网刊例价；华北2北京。定价仅供参考，以下单结果为准。</w:t>
      </w:r>
    </w:p>
    <w:p>
      <w:pPr>
        <w:keepNext/>
        <w:spacing w:after="60"/>
        <w:snapToGrid w:val="0"/>
      </w:pPr>
      <w:r>
        <w:rPr>
          <w:b w:val="0"/>
        </w:rPr>
      </w:r>
      <w:hyperlink r:id="rId20">
        <w:r>
          <w:rPr>
            <w:color w:val="17365D"/>
          </w:rPr>
          <w:t>2 实例规格计费</w:t>
        </w:r>
      </w:hyperlink>
    </w:p>
    <w:p>
      <w:pPr>
        <w:spacing w:after="80" w:line="270" w:lineRule="exact"/>
        <w:snapToGrid w:val="0"/>
      </w:pPr>
      <w:r>
        <w:rPr>
          <w:b w:val="0"/>
          <w:sz w:val="19"/>
        </w:rPr>
        <w:t>计算资源包含vCPU、GPU和内存；其他资源另按各自规则计费。</w:t>
      </w:r>
    </w:p>
    <w:p>
      <w:pPr>
        <w:keepNext/>
        <w:spacing w:after="60"/>
        <w:snapToGrid w:val="0"/>
      </w:pPr>
      <w:r>
        <w:rPr>
          <w:b w:val="0"/>
        </w:rPr>
      </w:r>
      <w:hyperlink r:id="rId21">
        <w:r>
          <w:rPr>
            <w:color w:val="17365D"/>
          </w:rPr>
          <w:t>3 SGLang H3固定版本部署配方</w:t>
        </w:r>
      </w:hyperlink>
    </w:p>
    <w:p>
      <w:pPr>
        <w:spacing w:after="80" w:line="270" w:lineRule="exact"/>
        <w:snapToGrid w:val="0"/>
      </w:pPr>
      <w:r>
        <w:rPr>
          <w:b w:val="0"/>
          <w:sz w:val="19"/>
        </w:rPr>
        <w:t>GPU硬件配置与并行部署条件的参考。</w:t>
      </w:r>
    </w:p>
    <w:p>
      <w:pPr>
        <w:keepNext/>
        <w:spacing w:after="60"/>
        <w:snapToGrid w:val="0"/>
      </w:pPr>
      <w:r>
        <w:rPr>
          <w:b w:val="0"/>
        </w:rPr>
      </w:r>
      <w:hyperlink r:id="rId22">
        <w:r>
          <w:rPr>
            <w:color w:val="17365D"/>
          </w:rPr>
          <w:t>4 购买高性能计算GPU型实例</w:t>
        </w:r>
      </w:hyperlink>
    </w:p>
    <w:p>
      <w:pPr>
        <w:spacing w:after="80" w:line="270" w:lineRule="exact"/>
        <w:snapToGrid w:val="0"/>
      </w:pPr>
      <w:r>
        <w:rPr>
          <w:b w:val="0"/>
          <w:sz w:val="19"/>
        </w:rPr>
        <w:t>企业认证等购买条件适用于该类型，不扩大为所有GPU。</w:t>
      </w:r>
    </w:p>
    <w:p>
      <w:pPr>
        <w:keepNext/>
        <w:spacing w:after="60"/>
        <w:snapToGrid w:val="0"/>
      </w:pPr>
      <w:r>
        <w:rPr>
          <w:b w:val="0"/>
        </w:rPr>
      </w:r>
      <w:hyperlink r:id="rId23">
        <w:r>
          <w:rPr>
            <w:color w:val="17365D"/>
          </w:rPr>
          <w:t>5 实例资源配额管理</w:t>
        </w:r>
      </w:hyperlink>
    </w:p>
    <w:p>
      <w:pPr>
        <w:spacing w:after="80" w:line="270" w:lineRule="exact"/>
        <w:snapToGrid w:val="0"/>
      </w:pPr>
      <w:r>
        <w:rPr>
          <w:b w:val="0"/>
          <w:sz w:val="19"/>
        </w:rPr>
        <w:t>配额与库存分开判断。</w:t>
      </w:r>
    </w:p>
    <w:p>
      <w:pPr>
        <w:keepNext/>
        <w:spacing w:after="60"/>
        <w:snapToGrid w:val="0"/>
      </w:pPr>
      <w:r>
        <w:rPr>
          <w:b w:val="0"/>
        </w:rPr>
      </w:r>
      <w:hyperlink r:id="rId24">
        <w:r>
          <w:rPr>
            <w:color w:val="17365D"/>
          </w:rPr>
          <w:t>6 查看实例可购买地域</w:t>
        </w:r>
      </w:hyperlink>
    </w:p>
    <w:p>
      <w:pPr>
        <w:spacing w:after="80" w:line="270" w:lineRule="exact"/>
        <w:snapToGrid w:val="0"/>
      </w:pPr>
      <w:r>
        <w:rPr>
          <w:b w:val="0"/>
          <w:sz w:val="19"/>
        </w:rPr>
        <w:t>不同地域和可用区可售规格可能不同。</w:t>
      </w:r>
    </w:p>
    <w:p>
      <w:pPr>
        <w:keepNext/>
        <w:spacing w:after="60"/>
        <w:snapToGrid w:val="0"/>
      </w:pPr>
      <w:r>
        <w:rPr>
          <w:b w:val="0"/>
        </w:rPr>
      </w:r>
      <w:hyperlink r:id="rId25">
        <w:r>
          <w:rPr>
            <w:color w:val="17365D"/>
          </w:rPr>
          <w:t>7 实例常见问题</w:t>
        </w:r>
      </w:hyperlink>
    </w:p>
    <w:p>
      <w:pPr>
        <w:spacing w:after="80" w:line="270" w:lineRule="exact"/>
        <w:snapToGrid w:val="0"/>
      </w:pPr>
      <w:r>
        <w:rPr>
          <w:b w:val="0"/>
          <w:sz w:val="19"/>
        </w:rPr>
        <w:t>包括已售罄场景的处理建议。</w:t>
      </w:r>
    </w:p>
    <w:p>
      <w:pPr>
        <w:keepNext/>
        <w:spacing w:after="60"/>
        <w:snapToGrid w:val="0"/>
      </w:pPr>
      <w:r>
        <w:rPr>
          <w:b w:val="0"/>
        </w:rPr>
      </w:r>
      <w:hyperlink r:id="rId26">
        <w:r>
          <w:rPr>
            <w:color w:val="17365D"/>
          </w:rPr>
          <w:t>8 云服务器按量计费</w:t>
        </w:r>
      </w:hyperlink>
    </w:p>
    <w:p>
      <w:pPr>
        <w:spacing w:after="80" w:line="270" w:lineRule="exact"/>
        <w:snapToGrid w:val="0"/>
      </w:pPr>
      <w:r>
        <w:rPr>
          <w:b w:val="0"/>
          <w:sz w:val="19"/>
        </w:rPr>
        <w:t>节省停机后计算费与保留资源费用的边界。</w:t>
      </w:r>
    </w:p>
    <w:p>
      <w:pPr>
        <w:keepNext/>
        <w:spacing w:after="60"/>
        <w:snapToGrid w:val="0"/>
      </w:pPr>
      <w:r>
        <w:rPr>
          <w:b w:val="0"/>
        </w:rPr>
      </w:r>
      <w:hyperlink r:id="rId27">
        <w:r>
          <w:rPr>
            <w:color w:val="17365D"/>
          </w:rPr>
          <w:t>9 MiniMax H3公开权重</w:t>
        </w:r>
      </w:hyperlink>
    </w:p>
    <w:p>
      <w:pPr>
        <w:spacing w:after="80" w:line="270" w:lineRule="exact"/>
        <w:snapToGrid w:val="0"/>
      </w:pPr>
      <w:r>
        <w:rPr>
          <w:b w:val="0"/>
          <w:sz w:val="19"/>
        </w:rPr>
        <w:t>使用条件以仓库LICENSE为准。</w:t>
      </w:r>
    </w:p>
    <w:p>
      <w:pPr>
        <w:keepNext/>
        <w:spacing w:after="60"/>
        <w:snapToGrid w:val="0"/>
      </w:pPr>
      <w:r>
        <w:rPr>
          <w:b w:val="0"/>
        </w:rPr>
      </w:r>
      <w:hyperlink r:id="rId28">
        <w:r>
          <w:rPr>
            <w:color w:val="17365D"/>
          </w:rPr>
          <w:t>10 Word插入对象说明</w:t>
        </w:r>
      </w:hyperlink>
    </w:p>
    <w:p>
      <w:pPr>
        <w:spacing w:after="80" w:line="270" w:lineRule="exact"/>
        <w:snapToGrid w:val="0"/>
      </w:pPr>
      <w:r>
        <w:rPr>
          <w:b w:val="0"/>
          <w:sz w:val="19"/>
        </w:rPr>
        <w:t>嵌入对象和双击打开方式；不等于跨平台本地视频内联播放。</w:t>
      </w:r>
    </w:p>
    <w:p>
      <w:pPr>
        <w:keepNext/>
        <w:spacing w:after="60"/>
        <w:snapToGrid w:val="0"/>
      </w:pPr>
      <w:r>
        <w:rPr>
          <w:b w:val="0"/>
        </w:rPr>
      </w:r>
      <w:hyperlink r:id="rId29">
        <w:r>
          <w:rPr>
            <w:color w:val="17365D"/>
          </w:rPr>
          <w:t>11 Diffusers H3固定版本文档</w:t>
        </w:r>
      </w:hyperlink>
    </w:p>
    <w:p>
      <w:pPr>
        <w:spacing w:after="80" w:line="270" w:lineRule="exact"/>
        <w:snapToGrid w:val="0"/>
      </w:pPr>
      <w:r>
        <w:rPr>
          <w:b w:val="0"/>
          <w:sz w:val="19"/>
        </w:rPr>
        <w:t>CPU设备、模型组件和低显存部署方案的参考。</w:t>
      </w:r>
    </w:p>
    <w:p>
      <w:pPr>
        <w:keepNext/>
        <w:spacing w:after="60"/>
        <w:snapToGrid w:val="0"/>
      </w:pPr>
      <w:r>
        <w:rPr>
          <w:b w:val="0"/>
        </w:rPr>
      </w:r>
      <w:hyperlink r:id="rId30">
        <w:r>
          <w:rPr>
            <w:color w:val="17365D"/>
          </w:rPr>
          <w:t>12 Word桌面版与网页版差异</w:t>
        </w:r>
      </w:hyperlink>
    </w:p>
    <w:p>
      <w:pPr>
        <w:spacing w:after="80" w:line="270" w:lineRule="exact"/>
        <w:snapToGrid w:val="0"/>
      </w:pPr>
      <w:r>
        <w:rPr>
          <w:b w:val="0"/>
          <w:sz w:val="19"/>
        </w:rPr>
        <w:t>网页版对嵌入对象的支持不同，应同时保留独立MP4。</w:t>
      </w:r>
    </w:p>
    <w:p>
      <w:pPr>
        <w:keepNext/>
        <w:spacing w:after="60"/>
        <w:snapToGrid w:val="0"/>
      </w:pPr>
      <w:r>
        <w:rPr>
          <w:b w:val="0"/>
        </w:rPr>
      </w:r>
      <w:hyperlink r:id="rId33">
        <w:r>
          <w:rPr>
            <w:color w:val="17365D"/>
          </w:rPr>
          <w:t>13 NVIDIA GeForce RTX 5060 Ti 官方规格</w:t>
        </w:r>
      </w:hyperlink>
    </w:p>
    <w:p>
      <w:pPr>
        <w:snapToGrid w:val="0"/>
      </w:pPr>
      <w:r>
        <w:t>标准显存配置为 16GB 或 8GB GDDR7；本文按自有显卡的 16GB 版评估。</w:t>
      </w:r>
    </w:p>
    <w:p>
      <w:pPr>
        <w:pStyle w:val="Heading2"/>
        <w:pageBreakBefore/>
        <w:snapToGrid w:val="0"/>
      </w:pPr>
      <w:r>
        <w:t>GPU 型号资料</w:t>
      </w:r>
    </w:p>
    <w:p>
      <w:pPr>
        <w:pStyle w:val="Heading3"/>
        <w:snapToGrid w:val="0"/>
      </w:pPr>
      <w:hyperlink r:id="rId34">
        <w:r>
          <w:t>14 NVIDIA 数据中心 GPU 规格</w:t>
        </w:r>
      </w:hyperlink>
    </w:p>
    <w:p>
      <w:pPr>
        <w:snapToGrid w:val="0"/>
      </w:pPr>
      <w:r>
        <w:t>H200 的141GB与4.8TB/s规格，结合下列H100、A100和L40S官方资料比较。</w:t>
      </w:r>
    </w:p>
    <w:p>
      <w:pPr>
        <w:pStyle w:val="Heading3"/>
        <w:snapToGrid w:val="0"/>
      </w:pPr>
      <w:hyperlink r:id="rId35">
        <w:r>
          <w:t>H100 SXM 与 NVL</w:t>
        </w:r>
      </w:hyperlink>
    </w:p>
    <w:p>
      <w:pPr>
        <w:pStyle w:val="Heading3"/>
        <w:snapToGrid w:val="0"/>
      </w:pPr>
      <w:hyperlink r:id="rId36">
        <w:r>
          <w:t>H100 PCIe 产品资料</w:t>
        </w:r>
      </w:hyperlink>
    </w:p>
    <w:p>
      <w:pPr>
        <w:pStyle w:val="Heading3"/>
        <w:snapToGrid w:val="0"/>
      </w:pPr>
      <w:hyperlink r:id="rId37">
        <w:r>
          <w:t>A100 40GB 与 80GB</w:t>
        </w:r>
      </w:hyperlink>
    </w:p>
    <w:p>
      <w:pPr>
        <w:pStyle w:val="Heading3"/>
        <w:snapToGrid w:val="0"/>
      </w:pPr>
      <w:hyperlink r:id="rId38">
        <w:r>
          <w:t>L40S 48GB</w:t>
        </w:r>
      </w:hyperlink>
    </w:p>
    <w:p>
      <w:pPr>
        <w:pStyle w:val="Heading3"/>
        <w:snapToGrid w:val="0"/>
      </w:pPr>
      <w:hyperlink r:id="rId39">
        <w:r>
          <w:t>15 NVIDIA RTX Blackwell 架构白皮书</w:t>
        </w:r>
      </w:hyperlink>
    </w:p>
    <w:p>
      <w:pPr>
        <w:snapToGrid w:val="0"/>
      </w:pPr>
      <w:r>
        <w:t>用于核对RTX5090的显存带宽与Blackwell原生精度；RTX5060Ti的448GB/s使用下列产品规格表，RTX4090使用Ada架构资料。</w:t>
      </w:r>
    </w:p>
    <w:p>
      <w:pPr>
        <w:pStyle w:val="Heading3"/>
        <w:snapToGrid w:val="0"/>
      </w:pPr>
      <w:hyperlink r:id="rId40">
        <w:r>
          <w:t>RTX 5060 Ti 显存与带宽规格</w:t>
        </w:r>
      </w:hyperlink>
    </w:p>
    <w:p>
      <w:pPr>
        <w:pStyle w:val="Heading3"/>
        <w:snapToGrid w:val="0"/>
      </w:pPr>
      <w:hyperlink r:id="rId41">
        <w:r>
          <w:t>Ada GPU 架构白皮书</w:t>
        </w:r>
      </w:hyperlink>
    </w:p>
    <w:p>
      <w:pPr>
        <w:pStyle w:val="Heading3"/>
        <w:snapToGrid w:val="0"/>
      </w:pPr>
      <w:hyperlink r:id="rId42">
        <w:r>
          <w:t>16 NVIDIA V100 资料</w:t>
        </w:r>
      </w:hyperlink>
    </w:p>
    <w:p>
      <w:pPr>
        <w:pStyle w:val="Heading3"/>
        <w:snapToGrid w:val="0"/>
      </w:pPr>
      <w:hyperlink r:id="rId43">
        <w:r>
          <w:t>T4 Tensor Core GPU 资料</w:t>
        </w:r>
      </w:hyperlink>
    </w:p>
    <w:p>
      <w:pPr>
        <w:snapToGrid w:val="0"/>
      </w:pPr>
      <w:r>
        <w:t>旧代GPU的显存、带宽、精度和封装互联需逐项对应；T4带宽按该产品资料约300GB/s记。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488"/>
      </w:tblGrid>
      <w:tr>
        <w:trPr>
          <w:cantSplit/>
          <w:tblHeader/>
        </w:trPr>
        <w:tc>
          <w:tcPr>
            <w:tcW w:type="dxa" w:w="2592"/>
            <w:vAlign w:val="center"/>
            <w:tcMar>
              <w:top w:w="80" w:type="dxa"/>
              <w:bottom w:w="80" w:type="dxa"/>
              <w:left w:w="100" w:type="dxa"/>
              <w:right w:w="100" w:type="dxa"/>
            </w:tcMar>
            <w:shd w:fill="18354B"/>
          </w:tcPr>
          <w:p>
            <w:pPr>
              <w:spacing w:after="0" w:line="280" w:lineRule="exact"/>
              <w:jc w:val="left"/>
            </w:pPr>
            <w:r>
              <w:rPr>
                <w:b/>
                <w:color w:val="FFFFFF"/>
                <w:sz w:val="19"/>
              </w:rPr>
              <w:t>固定来源</w:t>
            </w:r>
          </w:p>
        </w:tc>
        <w:tc>
          <w:tcPr>
            <w:tcW w:type="dxa" w:w="7488"/>
            <w:vAlign w:val="center"/>
            <w:tcMar>
              <w:top w:w="80" w:type="dxa"/>
              <w:bottom w:w="80" w:type="dxa"/>
              <w:left w:w="100" w:type="dxa"/>
              <w:right w:w="100" w:type="dxa"/>
            </w:tcMar>
            <w:shd w:fill="18354B"/>
          </w:tcPr>
          <w:p>
            <w:pPr>
              <w:spacing w:after="0" w:line="280" w:lineRule="exact"/>
              <w:jc w:val="left"/>
            </w:pPr>
            <w:r>
              <w:rPr>
                <w:b/>
                <w:color w:val="FFFFFF"/>
                <w:sz w:val="19"/>
              </w:rPr>
              <w:t>提交或快照</w:t>
            </w:r>
          </w:p>
        </w:tc>
      </w:tr>
      <w:tr>
        <w:trPr>
          <w:cantSplit/>
        </w:trPr>
        <w:tc>
          <w:tcPr>
            <w:tcW w:type="dxa" w:w="2592"/>
            <w:vAlign w:val="center"/>
            <w:tcMar>
              <w:top w:w="80" w:type="dxa"/>
              <w:bottom w:w="80" w:type="dxa"/>
              <w:left w:w="100" w:type="dxa"/>
              <w:right w:w="100" w:type="dxa"/>
            </w:tcMar>
            <w:shd w:fill="FFFFFF"/>
          </w:tcPr>
          <w:p>
            <w:pPr>
              <w:spacing w:after="0" w:line="280" w:lineRule="exact"/>
              <w:jc w:val="left"/>
            </w:pPr>
            <w:r>
              <w:rPr>
                <w:b w:val="0"/>
                <w:color w:val="000000"/>
                <w:sz w:val="19"/>
              </w:rPr>
              <w:t>Diffusers</w:t>
            </w:r>
          </w:p>
        </w:tc>
        <w:tc>
          <w:tcPr>
            <w:tcW w:type="dxa" w:w="7488"/>
            <w:vAlign w:val="center"/>
            <w:tcMar>
              <w:top w:w="80" w:type="dxa"/>
              <w:bottom w:w="80" w:type="dxa"/>
              <w:left w:w="100" w:type="dxa"/>
              <w:right w:w="100" w:type="dxa"/>
            </w:tcMar>
            <w:shd w:fill="FFFFFF"/>
          </w:tcPr>
          <w:p>
            <w:pPr>
              <w:spacing w:after="0" w:line="280" w:lineRule="exact"/>
              <w:jc w:val="left"/>
            </w:pPr>
            <w:r>
              <w:rPr>
                <w:b w:val="0"/>
                <w:color w:val="000000"/>
                <w:sz w:val="19"/>
              </w:rPr>
              <w:t>b800f828f3951c4d206e154411bcbfa693cd322e</w:t>
            </w:r>
          </w:p>
        </w:tc>
      </w:tr>
      <w:tr>
        <w:trPr>
          <w:cantSplit/>
        </w:trPr>
        <w:tc>
          <w:tcPr>
            <w:tcW w:type="dxa" w:w="2592"/>
            <w:vAlign w:val="center"/>
            <w:tcMar>
              <w:top w:w="80" w:type="dxa"/>
              <w:bottom w:w="80" w:type="dxa"/>
              <w:left w:w="100" w:type="dxa"/>
              <w:right w:w="100" w:type="dxa"/>
            </w:tcMar>
            <w:shd w:fill="F1F5F8"/>
          </w:tcPr>
          <w:p>
            <w:pPr>
              <w:spacing w:after="0" w:line="280" w:lineRule="exact"/>
              <w:jc w:val="left"/>
            </w:pPr>
            <w:r>
              <w:rPr>
                <w:b w:val="0"/>
                <w:color w:val="000000"/>
                <w:sz w:val="19"/>
              </w:rPr>
              <w:t>Transformers</w:t>
            </w:r>
          </w:p>
        </w:tc>
        <w:tc>
          <w:tcPr>
            <w:tcW w:type="dxa" w:w="7488"/>
            <w:vAlign w:val="center"/>
            <w:tcMar>
              <w:top w:w="80" w:type="dxa"/>
              <w:bottom w:w="80" w:type="dxa"/>
              <w:left w:w="100" w:type="dxa"/>
              <w:right w:w="100" w:type="dxa"/>
            </w:tcMar>
            <w:shd w:fill="F1F5F8"/>
          </w:tcPr>
          <w:p>
            <w:pPr>
              <w:spacing w:after="0" w:line="280" w:lineRule="exact"/>
              <w:jc w:val="left"/>
            </w:pPr>
            <w:r>
              <w:rPr>
                <w:b w:val="0"/>
                <w:color w:val="000000"/>
                <w:sz w:val="19"/>
              </w:rPr>
              <w:t>d4804f9d76b8c071b993d813e9e87067b780cbee</w:t>
            </w:r>
          </w:p>
        </w:tc>
      </w:tr>
      <w:tr>
        <w:trPr>
          <w:cantSplit/>
        </w:trPr>
        <w:tc>
          <w:tcPr>
            <w:tcW w:type="dxa" w:w="2592"/>
            <w:vAlign w:val="center"/>
            <w:tcMar>
              <w:top w:w="80" w:type="dxa"/>
              <w:bottom w:w="80" w:type="dxa"/>
              <w:left w:w="100" w:type="dxa"/>
              <w:right w:w="100" w:type="dxa"/>
            </w:tcMar>
            <w:shd w:fill="FFFFFF"/>
          </w:tcPr>
          <w:p>
            <w:pPr>
              <w:spacing w:after="0" w:line="280" w:lineRule="exact"/>
              <w:jc w:val="left"/>
            </w:pPr>
            <w:r>
              <w:rPr>
                <w:b w:val="0"/>
                <w:color w:val="000000"/>
                <w:sz w:val="19"/>
              </w:rPr>
              <w:t>Hugging Face模型</w:t>
            </w:r>
          </w:p>
        </w:tc>
        <w:tc>
          <w:tcPr>
            <w:tcW w:type="dxa" w:w="7488"/>
            <w:vAlign w:val="center"/>
            <w:tcMar>
              <w:top w:w="80" w:type="dxa"/>
              <w:bottom w:w="80" w:type="dxa"/>
              <w:left w:w="100" w:type="dxa"/>
              <w:right w:w="100" w:type="dxa"/>
            </w:tcMar>
            <w:shd w:fill="FFFFFF"/>
          </w:tcPr>
          <w:p>
            <w:pPr>
              <w:spacing w:after="0" w:line="280" w:lineRule="exact"/>
              <w:jc w:val="left"/>
            </w:pPr>
            <w:r>
              <w:rPr>
                <w:b w:val="0"/>
                <w:color w:val="000000"/>
                <w:sz w:val="19"/>
              </w:rPr>
              <w:t>42ed227ee7df40d41602854ae760620d6eb651fe</w:t>
            </w:r>
          </w:p>
        </w:tc>
      </w:tr>
      <w:tr>
        <w:trPr>
          <w:cantSplit/>
        </w:trPr>
        <w:tc>
          <w:tcPr>
            <w:tcW w:type="dxa" w:w="2592"/>
            <w:vAlign w:val="center"/>
            <w:tcMar>
              <w:top w:w="80" w:type="dxa"/>
              <w:bottom w:w="80" w:type="dxa"/>
              <w:left w:w="100" w:type="dxa"/>
              <w:right w:w="100" w:type="dxa"/>
            </w:tcMar>
            <w:shd w:fill="F1F5F8"/>
          </w:tcPr>
          <w:p>
            <w:pPr>
              <w:spacing w:after="0" w:line="280" w:lineRule="exact"/>
              <w:jc w:val="left"/>
            </w:pPr>
            <w:r>
              <w:rPr>
                <w:b w:val="0"/>
                <w:color w:val="000000"/>
                <w:sz w:val="19"/>
              </w:rPr>
              <w:t>ModelScope模型</w:t>
            </w:r>
          </w:p>
        </w:tc>
        <w:tc>
          <w:tcPr>
            <w:tcW w:type="dxa" w:w="7488"/>
            <w:vAlign w:val="center"/>
            <w:tcMar>
              <w:top w:w="80" w:type="dxa"/>
              <w:bottom w:w="80" w:type="dxa"/>
              <w:left w:w="100" w:type="dxa"/>
              <w:right w:w="100" w:type="dxa"/>
            </w:tcMar>
            <w:shd w:fill="F1F5F8"/>
          </w:tcPr>
          <w:p>
            <w:pPr>
              <w:spacing w:after="0" w:line="280" w:lineRule="exact"/>
              <w:jc w:val="left"/>
            </w:pPr>
            <w:r>
              <w:rPr>
                <w:b w:val="0"/>
                <w:color w:val="000000"/>
                <w:sz w:val="19"/>
              </w:rPr>
              <w:t>57559a6720ddaa2eaee52b09ec2ef011127997b2</w:t>
            </w:r>
          </w:p>
        </w:tc>
      </w:tr>
    </w:tbl>
    <w:p>
      <w:pPr>
        <w:spacing w:after="40" w:line="96" w:lineRule="auto"/>
        <w:snapToGrid w:val="0"/>
      </w:pPr>
      <w:r>
        <w:rPr>
          <w:b w:val="0"/>
        </w:rPr>
      </w:r>
      <w:r>
        <w:rPr>
          <w:sz w:val="4"/>
        </w:rPr>
      </w:r>
    </w:p>
    <w:p>
      <w:pPr>
        <w:snapToGrid w:val="0"/>
      </w:pPr>
      <w:r>
        <w:rPr>
          <w:b w:val="0"/>
        </w:rPr>
        <w:t>人物参考照片：Lu Yu，Asian young woman，CC BY 2.0；本次做了裁剪并用于生成虚构表演。</w:t>
      </w:r>
    </w:p>
    <w:p>
      <w:pPr>
        <w:snapToGrid w:val="0"/>
      </w:pPr>
      <w:r>
        <w:rPr>
          <w:b w:val="0"/>
        </w:rPr>
      </w:r>
      <w:hyperlink r:id="rId31">
        <w:r>
          <w:rPr>
            <w:color w:val="17365D"/>
          </w:rPr>
          <w:t>照片来源</w:t>
        </w:r>
      </w:hyperlink>
      <w:r>
        <w:t xml:space="preserve">  </w:t>
      </w:r>
      <w:hyperlink r:id="rId32">
        <w:r>
          <w:rPr>
            <w:color w:val="17365D"/>
          </w:rPr>
          <w:t>CC BY 2.0许可</w:t>
        </w:r>
      </w:hyperlink>
    </w:p>
    <w:sectPr w:rsidR="00FC693F" w:rsidRPr="0006063C" w:rsidSect="00034616">
      <w:footerReference w:type="default" r:id="rId9"/>
      <w:pgSz w:w="12240" w:h="15840"/>
      <w:pgMar w:top="1037" w:right="1080" w:bottom="965" w:left="1080"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r>
        <w:t>1</w:t>
      </w:r>
    </w:fldSimple>
    <w:r>
      <w:rPr>
        <w:sz w:val="18"/>
      </w:rPr>
      <w:t xml:space="preserve"> / </w:t>
    </w:r>
    <w:fldSimple w:instr="NUMPAGES">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0" w:lineRule="exact" w:after="120"/>
    </w:pPr>
    <w:rPr>
      <w:rFonts w:ascii="Arial" w:hAnsi="Arial" w:eastAsia="Hiragino Sans GB"/>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40" w:line="520" w:lineRule="exact"/>
      <w:outlineLvl w:val="0"/>
    </w:pPr>
    <w:rPr>
      <w:rFonts w:ascii="Arial" w:hAnsi="Arial" w:eastAsia="Hiragino Sans GB"/>
      <w:b/>
      <w:bCs/>
      <w:i w:val="0"/>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380" w:lineRule="exact"/>
      <w:outlineLvl w:val="1"/>
    </w:pPr>
    <w:rPr>
      <w:rFonts w:ascii="Arial" w:hAnsi="Arial" w:eastAsia="Hiragino Sans GB"/>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340" w:lineRule="exact"/>
      <w:outlineLvl w:val="2"/>
    </w:pPr>
    <w:rPr>
      <w:rFonts w:ascii="Arial" w:hAnsi="Arial" w:eastAsia="Hiragino Sans GB"/>
      <w:b/>
      <w:bCs/>
      <w:i w:val="0"/>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40" w:line="640" w:lineRule="exact" w:before="0"/>
      <w:contextualSpacing/>
    </w:pPr>
    <w:rPr>
      <w:rFonts w:ascii="Arial" w:hAnsi="Arial" w:eastAsia="Hiragino Sans GB"/>
      <w:b w:val="0"/>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spacing w:before="0" w:after="160" w:line="420" w:lineRule="exact"/>
    </w:pPr>
    <w:rPr>
      <w:rFonts w:ascii="Arial" w:hAnsi="Arial" w:eastAsia="Hiragino Sans GB"/>
      <w:b w:val="0"/>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widowControl/>
      <w:spacing w:line="250" w:lineRule="exact" w:before="60" w:after="160"/>
    </w:pPr>
    <w:rPr>
      <w:rFonts w:ascii="Arial" w:hAnsi="Arial" w:eastAsia="Hiragino Sans GB"/>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oleObject" Target="embeddings/oleObject1.bin"/><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platform.minimaxi.com/docs/api-reference/video-generation-v2-create" TargetMode="External"/><Relationship Id="rId16" Type="http://schemas.openxmlformats.org/officeDocument/2006/relationships/hyperlink" Target="https://platform.minimaxi.com/docs/api-reference/video-generation-v2-query" TargetMode="External"/><Relationship Id="rId17" Type="http://schemas.openxmlformats.org/officeDocument/2006/relationships/hyperlink" Target="https://platform.minimax.io/docs/api-reference/video-generation-v2-list.md" TargetMode="External"/><Relationship Id="rId18" Type="http://schemas.openxmlformats.org/officeDocument/2006/relationships/hyperlink" Target="https://platform.minimax.io/docs/api-reference/video-generation-v2-delete.md" TargetMode="External"/><Relationship Id="rId19" Type="http://schemas.openxmlformats.org/officeDocument/2006/relationships/hyperlink" Target="https://www.volcengine.com/pricing?product=ECS&amp;tab=1" TargetMode="External"/><Relationship Id="rId20" Type="http://schemas.openxmlformats.org/officeDocument/2006/relationships/hyperlink" Target="https://www.volcengine.com/docs/6396/68421?lang=zh" TargetMode="External"/><Relationship Id="rId21" Type="http://schemas.openxmlformats.org/officeDocument/2006/relationships/hyperlink" Target="https://github.com/sgl-project/sglang/blob/d4e3c163c95afe5f549116c9c73a6f0e6a4830a7/docs/cookbook/diffusion/MiniMax/MiniMax-H3.mdx" TargetMode="External"/><Relationship Id="rId22" Type="http://schemas.openxmlformats.org/officeDocument/2006/relationships/hyperlink" Target="https://www.volcengine.com/docs/6419/69806?lang=zh" TargetMode="External"/><Relationship Id="rId23" Type="http://schemas.openxmlformats.org/officeDocument/2006/relationships/hyperlink" Target="https://www.volcengine.com/docs/6396/1328784?lang=zh" TargetMode="External"/><Relationship Id="rId24" Type="http://schemas.openxmlformats.org/officeDocument/2006/relationships/hyperlink" Target="https://www.volcengine.com/docs/6396/1515377" TargetMode="External"/><Relationship Id="rId25" Type="http://schemas.openxmlformats.org/officeDocument/2006/relationships/hyperlink" Target="https://www.volcengine.com/docs/6396/67770?lang=zh" TargetMode="External"/><Relationship Id="rId26" Type="http://schemas.openxmlformats.org/officeDocument/2006/relationships/hyperlink" Target="https://www.volcengine.com/docs/6396/68548?lang=zh" TargetMode="External"/><Relationship Id="rId27" Type="http://schemas.openxmlformats.org/officeDocument/2006/relationships/hyperlink" Target="https://huggingface.co/MiniMaxAI/MiniMax-H3/blob/42ed227ee7df40d41602854ae760620d6eb651fe/README.md" TargetMode="External"/><Relationship Id="rId28" Type="http://schemas.openxmlformats.org/officeDocument/2006/relationships/hyperlink" Target="https://support.microsoft.com/en-us/office/insert-an-object-in-word-or-outlook-8fc1ea53-0e01-4603-a4cf-98c49b6ea3f5" TargetMode="External"/><Relationship Id="rId29" Type="http://schemas.openxmlformats.org/officeDocument/2006/relationships/hyperlink" Target="https://github.com/huggingface/diffusers/blob/b800f828f3951c4d206e154411bcbfa693cd322e/docs/source/en/api/pipelines/minimax_h3.md" TargetMode="External"/><Relationship Id="rId30" Type="http://schemas.openxmlformats.org/officeDocument/2006/relationships/hyperlink" Target="https://support.microsoft.com/en-us/office/differences-between-using-a-document-in-the-browser-and-in-word-3e863ce3-e82c-4211-8f97-5b33c36c55f8" TargetMode="External"/><Relationship Id="rId31" Type="http://schemas.openxmlformats.org/officeDocument/2006/relationships/hyperlink" Target="https://commons.wikimedia.org/wiki/File:Asian_young_woman.jpg" TargetMode="External"/><Relationship Id="rId32" Type="http://schemas.openxmlformats.org/officeDocument/2006/relationships/hyperlink" Target="https://creativecommons.org/licenses/by/2.0/" TargetMode="External"/><Relationship Id="rId33" Type="http://schemas.openxmlformats.org/officeDocument/2006/relationships/hyperlink" TargetMode="External" Target="https://www.nvidia.com/en-eu/geforce/graphics-cards/50-series/rtx-5060-family/"/><Relationship Id="rId34" Type="http://schemas.openxmlformats.org/officeDocument/2006/relationships/hyperlink" TargetMode="External" Target="https://www.nvidia.com/en-us/data-center/h200/"/><Relationship Id="rId35" Type="http://schemas.openxmlformats.org/officeDocument/2006/relationships/hyperlink" TargetMode="External" Target="https://www.nvidia.com/en-us/data-center/h100/"/><Relationship Id="rId36" Type="http://schemas.openxmlformats.org/officeDocument/2006/relationships/hyperlink" TargetMode="External" Target="https://www.nvidia.com/content/dam/en-zz/Solutions/gtcs22/data-center/h100/PB-11133-001_v01.pdf"/><Relationship Id="rId37" Type="http://schemas.openxmlformats.org/officeDocument/2006/relationships/hyperlink" TargetMode="External" Target="https://www.nvidia.com/en-us/data-center/a100/"/><Relationship Id="rId38" Type="http://schemas.openxmlformats.org/officeDocument/2006/relationships/hyperlink" TargetMode="External" Target="https://www.nvidia.com/en-us/data-center/l40s/"/><Relationship Id="rId39" Type="http://schemas.openxmlformats.org/officeDocument/2006/relationships/hyperlink" TargetMode="External" Target="https://images.nvidia.com/aem-dam/Solutions/geforce/blackwell/nvidia-rtx-blackwell-gpu-architecture.pdf"/><Relationship Id="rId40" Type="http://schemas.openxmlformats.org/officeDocument/2006/relationships/hyperlink" TargetMode="External" Target="https://www.nvidia.com/es-la/geforce/graphics-cards/50-series/rtx-5060-family/"/><Relationship Id="rId41" Type="http://schemas.openxmlformats.org/officeDocument/2006/relationships/hyperlink" TargetMode="External" Target="https://images.nvidia.com/aem-dam/Solutions/Data-Center/l4/nvidia-ada-gpu-architecture-whitepaper-V2.02.pdf"/><Relationship Id="rId42" Type="http://schemas.openxmlformats.org/officeDocument/2006/relationships/hyperlink" TargetMode="External" Target="https://images.nvidia.com/content/technologies/volta/pdf/volta-v100-datasheet-update-us-1165301-r5.pdf"/><Relationship Id="rId43" Type="http://schemas.openxmlformats.org/officeDocument/2006/relationships/hyperlink" TargetMode="External" Target="https://www.nvidia.com/content/dam/en-zz/Solutions/Data-Center/tesla-t4/t4-tensor-core-datasheet.pd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Minimax H3部署方案</dc:title>
  <dc:subject>火山引擎普通用户的 CPU 部署实践</dc:subject>
  <dc:creator>个人实验记录</dc:creator>
  <cp:keywords>MiniMax H3, CPU, Ref2VA, 火山引擎</cp:keywords>
  <dc:description/>
  <cp:lastModifiedBy/>
  <cp:revision>1</cp:revision>
  <dcterms:created xsi:type="dcterms:W3CDTF">2013-12-23T23:15:00Z</dcterms:created>
  <dcterms:modified xsi:type="dcterms:W3CDTF">2013-12-23T23:15:00Z</dcterms:modified>
  <cp:category/>
</cp:coreProperties>
</file>