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PIDNet Drivable 道路分割优化报告</w:t>
      </w:r>
    </w:p>
    <w:p>
      <w:r>
        <w:t>本报告对比 team 3 sub SegFormer 道路分割基线，验证重训 PIDNet-small 2 类 drivable 专用模型在道路 mask IoU 与边界 F1 上的提升。</w:t>
      </w:r>
    </w:p>
    <w:p>
      <w:pPr>
        <w:pStyle w:val="Heading1"/>
      </w:pPr>
      <w:r>
        <w:t>1. 结论</w:t>
      </w:r>
    </w:p>
    <w:p>
      <w:r>
        <w:t>方案 D 在同 100 张 val_pilot 样本上，道路 IoU 由基线 0.7176 提升至 0.8226（+0.105），边界 F1 由 0.1730 提升至 0.3389（+0.166），显著超越基线。</w:t>
      </w:r>
    </w:p>
    <w:p>
      <w:pPr>
        <w:pStyle w:val="Heading1"/>
      </w:pPr>
      <w:r>
        <w:t>2. 与 SegFormer 基线对比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SegFormer</w:t>
            </w:r>
          </w:p>
        </w:tc>
        <w:tc>
          <w:tcPr>
            <w:tcW w:type="dxa" w:w="2160"/>
          </w:tcPr>
          <w:p>
            <w:r>
              <w:t>PIDNet drivable</w:t>
            </w:r>
          </w:p>
        </w:tc>
        <w:tc>
          <w:tcPr>
            <w:tcW w:type="dxa" w:w="2160"/>
          </w:tcPr>
          <w:p>
            <w:r>
              <w:t>提升</w:t>
            </w:r>
          </w:p>
        </w:tc>
      </w:tr>
      <w:tr>
        <w:tc>
          <w:tcPr>
            <w:tcW w:type="dxa" w:w="2160"/>
          </w:tcPr>
          <w:p>
            <w:r>
              <w:t>road IoU</w:t>
            </w:r>
          </w:p>
        </w:tc>
        <w:tc>
          <w:tcPr>
            <w:tcW w:type="dxa" w:w="2160"/>
          </w:tcPr>
          <w:p>
            <w:r>
              <w:t>0.7176</w:t>
            </w:r>
          </w:p>
        </w:tc>
        <w:tc>
          <w:tcPr>
            <w:tcW w:type="dxa" w:w="2160"/>
          </w:tcPr>
          <w:p>
            <w:r>
              <w:t>0.8226</w:t>
            </w:r>
          </w:p>
        </w:tc>
        <w:tc>
          <w:tcPr>
            <w:tcW w:type="dxa" w:w="2160"/>
          </w:tcPr>
          <w:p>
            <w:r>
              <w:t>+0.105</w:t>
            </w:r>
          </w:p>
        </w:tc>
      </w:tr>
      <w:tr>
        <w:tc>
          <w:tcPr>
            <w:tcW w:type="dxa" w:w="2160"/>
          </w:tcPr>
          <w:p>
            <w:r>
              <w:t>road precision</w:t>
            </w:r>
          </w:p>
        </w:tc>
        <w:tc>
          <w:tcPr>
            <w:tcW w:type="dxa" w:w="2160"/>
          </w:tcPr>
          <w:p>
            <w:r>
              <w:t>0.8340</w:t>
            </w:r>
          </w:p>
        </w:tc>
        <w:tc>
          <w:tcPr>
            <w:tcW w:type="dxa" w:w="2160"/>
          </w:tcPr>
          <w:p>
            <w:r>
              <w:t>0.8853</w:t>
            </w:r>
          </w:p>
        </w:tc>
        <w:tc>
          <w:tcPr>
            <w:tcW w:type="dxa" w:w="2160"/>
          </w:tcPr>
          <w:p>
            <w:r>
              <w:t>+0.051</w:t>
            </w:r>
          </w:p>
        </w:tc>
      </w:tr>
      <w:tr>
        <w:tc>
          <w:tcPr>
            <w:tcW w:type="dxa" w:w="2160"/>
          </w:tcPr>
          <w:p>
            <w:r>
              <w:t>road recall</w:t>
            </w:r>
          </w:p>
        </w:tc>
        <w:tc>
          <w:tcPr>
            <w:tcW w:type="dxa" w:w="2160"/>
          </w:tcPr>
          <w:p>
            <w:r>
              <w:t>0.8371</w:t>
            </w:r>
          </w:p>
        </w:tc>
        <w:tc>
          <w:tcPr>
            <w:tcW w:type="dxa" w:w="2160"/>
          </w:tcPr>
          <w:p>
            <w:r>
              <w:t>0.9207</w:t>
            </w:r>
          </w:p>
        </w:tc>
        <w:tc>
          <w:tcPr>
            <w:tcW w:type="dxa" w:w="2160"/>
          </w:tcPr>
          <w:p>
            <w:r>
              <w:t>+0.084</w:t>
            </w:r>
          </w:p>
        </w:tc>
      </w:tr>
      <w:tr>
        <w:tc>
          <w:tcPr>
            <w:tcW w:type="dxa" w:w="2160"/>
          </w:tcPr>
          <w:p>
            <w:r>
              <w:t>boundary F1</w:t>
            </w:r>
          </w:p>
        </w:tc>
        <w:tc>
          <w:tcPr>
            <w:tcW w:type="dxa" w:w="2160"/>
          </w:tcPr>
          <w:p>
            <w:r>
              <w:t>0.1730</w:t>
            </w:r>
          </w:p>
        </w:tc>
        <w:tc>
          <w:tcPr>
            <w:tcW w:type="dxa" w:w="2160"/>
          </w:tcPr>
          <w:p>
            <w:r>
              <w:t>0.3389</w:t>
            </w:r>
          </w:p>
        </w:tc>
        <w:tc>
          <w:tcPr>
            <w:tcW w:type="dxa" w:w="2160"/>
          </w:tcPr>
          <w:p>
            <w:r>
              <w:t>+0.166</w:t>
            </w:r>
          </w:p>
        </w:tc>
      </w:tr>
      <w:tr>
        <w:tc>
          <w:tcPr>
            <w:tcW w:type="dxa" w:w="2160"/>
          </w:tcPr>
          <w:p>
            <w:r>
              <w:t>boundary IoU</w:t>
            </w:r>
          </w:p>
        </w:tc>
        <w:tc>
          <w:tcPr>
            <w:tcW w:type="dxa" w:w="2160"/>
          </w:tcPr>
          <w:p>
            <w:r>
              <w:t>0.0975</w:t>
            </w:r>
          </w:p>
        </w:tc>
        <w:tc>
          <w:tcPr>
            <w:tcW w:type="dxa" w:w="2160"/>
          </w:tcPr>
          <w:p>
            <w:r>
              <w:t>0.2133</w:t>
            </w:r>
          </w:p>
        </w:tc>
        <w:tc>
          <w:tcPr>
            <w:tcW w:type="dxa" w:w="2160"/>
          </w:tcPr>
          <w:p>
            <w:r>
              <w:t>+0.116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训练配置与收敛</w:t>
      </w:r>
    </w:p>
    <w:p>
      <w:r>
        <w:t>模型 pidnet_small（num_outputs=2），类别数 2。训练数据 list/bdd100k_drivable/train_pilot.lst，验证数据 list/bdd100k_drivable/val_pilot.lst。训练尺寸 [640, 384]，batch 8，100 epoch，学习率 0.01（poly 衰减）。Warm start 自 D:/pidnet_semantic_retrain/train/bdd_semantic/pidnet_small_bdd_semantic_retrain/best.pt。</w:t>
      </w:r>
    </w:p>
    <w:p>
      <w:r>
        <w:drawing>
          <wp:inline xmlns:a="http://schemas.openxmlformats.org/drawingml/2006/main" xmlns:pic="http://schemas.openxmlformats.org/drawingml/2006/picture">
            <wp:extent cx="5852160" cy="1588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后处理变体影响</w:t>
      </w:r>
    </w:p>
    <w:p>
      <w:r>
        <w:t>refined / crf / lane_trim 对 road IoU 影响几乎为 0（约 -0.0015），说明重训模型 raw 输出已足够精准；snake / all 反而降低 road IoU（约 -0.054），不采用。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process_varia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逐样本分布</w:t>
      </w:r>
    </w:p>
    <w:p>
      <w:r>
        <w:drawing>
          <wp:inline xmlns:a="http://schemas.openxmlformats.org/drawingml/2006/main" xmlns:pic="http://schemas.openxmlformats.org/drawingml/2006/picture">
            <wp:extent cx="5120640" cy="277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sample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分割结果样例</w:t>
      </w:r>
    </w:p>
    <w:p>
      <w:r>
        <w:t>下列样例按三组组织：最差、最好、最平均。每张图展示原图、模型预测、GT 以及误差叠加图（绿色 TP，红色 FP，蓝色 FN）。</w:t>
      </w:r>
    </w:p>
    <w:p>
      <w:r>
        <w:t>最差样例 | b2194b15-1825056a | raw road IoU=0.0000 | raw boundary F1=0.0000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2194b15-1825056a_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最差样例 | b21bfb83-ea32f716 | raw road IoU=0.0000 | raw boundary F1=0.0000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21bfb83-ea32f716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最好样例 | b39fe3cd-12217985 | raw road IoU=0.9785 | raw boundary F1=0.3187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39fe3cd-12217985_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最好样例 | b39fe3cd-d5fb9508 | raw road IoU=0.9706 | raw boundary F1=0.3748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39fe3cd-d5fb9508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最平均样例 | b3a238e3-de6b8b86 | raw road IoU=0.7669 | raw boundary F1=0.2842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3a238e3-de6b8b86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最平均样例 | b3709948-6e8ef33d | raw road IoU=0.7906 | raw boundary F1=0.0205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3709948-6e8ef33d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交付物</w:t>
      </w:r>
    </w:p>
    <w:p>
      <w:r>
        <w:t>训练配置：C:\Users\wangjianing\Documents\trae_projects\csi_intern\driver-vision-risk-warning-system\external\PIDNet\configs\bdd100k\pidnet_small_bdd_drivable_pilot_v2.yaml</w:t>
      </w:r>
    </w:p>
    <w:p>
      <w:r>
        <w:t>权重：D:\pidnet_drivable_retrain\train\bdd_drivable\pidnet_small_bdd_drivable_pilot_v2\best.pt</w:t>
      </w:r>
    </w:p>
    <w:p>
      <w:r>
        <w:t>评估产物：C:\Users\wangjianing\Documents\trae_projects\csi_intern\driver-vision-risk-warning-system\outputs\drivable_pidnet_v2_eval\summary.json、C:\Users\wangjianing\Documents\trae_projects\csi_intern\driver-vision-risk-warning-system\outputs\drivable_pidnet_v2_eval\per_sample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