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072C1">
      <w:pPr>
        <w:pStyle w:val="174"/>
        <w:pageBreakBefore/>
        <w:widowControl/>
        <w:rPr>
          <w:rFonts w:hint="eastAsia" w:ascii="微软雅黑" w:hAnsi="微软雅黑" w:eastAsia="微软雅黑" w:cs="微软雅黑"/>
          <w:highlight w:val="none"/>
        </w:rPr>
      </w:pPr>
      <w:r>
        <w:rPr>
          <w:rFonts w:hint="eastAsia" w:ascii="微软雅黑" w:hAnsi="微软雅黑" w:eastAsia="微软雅黑" w:cs="微软雅黑"/>
          <w:highlight w:val="none"/>
        </w:rPr>
        <w:t>目</w:t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    </w:t>
      </w:r>
      <w:r>
        <w:rPr>
          <w:rFonts w:hint="eastAsia" w:ascii="微软雅黑" w:hAnsi="微软雅黑" w:eastAsia="微软雅黑" w:cs="微软雅黑"/>
          <w:highlight w:val="none"/>
        </w:rPr>
        <w:t>录</w:t>
      </w:r>
    </w:p>
    <w:p w14:paraId="07CFF8A9">
      <w:pPr>
        <w:pStyle w:val="27"/>
        <w:tabs>
          <w:tab w:val="right" w:leader="dot" w:pos="8312"/>
        </w:tabs>
      </w:pPr>
      <w:bookmarkStart w:id="58" w:name="_GoBack"/>
      <w:bookmarkEnd w:id="58"/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TOC \o "1-3" \h \u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_Toc26559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</w:rPr>
        <w:t>任务一：ESG价值显现周期与客户短期回报关注的矛盾分析</w:t>
      </w:r>
      <w:r>
        <w:tab/>
      </w:r>
      <w:r>
        <w:fldChar w:fldCharType="begin"/>
      </w:r>
      <w:r>
        <w:instrText xml:space="preserve"> PAGEREF _Toc26559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6814AC4D">
      <w:pPr>
        <w:pStyle w:val="30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_Toc18676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>一、</w:t>
      </w:r>
      <w:r>
        <w:rPr>
          <w:rFonts w:hint="eastAsia" w:ascii="微软雅黑" w:hAnsi="微软雅黑" w:eastAsia="微软雅黑" w:cs="微软雅黑"/>
          <w:highlight w:val="none"/>
        </w:rPr>
        <w:t>矛盾产生的根本原因</w:t>
      </w:r>
      <w:r>
        <w:tab/>
      </w:r>
      <w:r>
        <w:fldChar w:fldCharType="begin"/>
      </w:r>
      <w:r>
        <w:instrText xml:space="preserve"> PAGEREF _Toc18676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4A30C475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_Toc11518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价值创造与价值评估的时间错配</w:t>
      </w:r>
      <w:r>
        <w:tab/>
      </w:r>
      <w:r>
        <w:fldChar w:fldCharType="begin"/>
      </w:r>
      <w:r>
        <w:instrText xml:space="preserve"> PAGEREF _Toc11518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53F906BD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_Toc11923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商业逻辑与财务核算的制度性冲突</w:t>
      </w:r>
      <w:r>
        <w:tab/>
      </w:r>
      <w:r>
        <w:fldChar w:fldCharType="begin"/>
      </w:r>
      <w:r>
        <w:instrText xml:space="preserve"> PAGEREF _Toc11923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19AEF3C8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_Toc4775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. </w:t>
      </w:r>
      <w:r>
        <w:rPr>
          <w:rFonts w:hint="eastAsia" w:ascii="微软雅黑" w:hAnsi="微软雅黑" w:eastAsia="微软雅黑" w:cs="微软雅黑"/>
          <w:highlight w:val="none"/>
        </w:rPr>
        <w:t>市场成熟度不足</w:t>
      </w:r>
      <w:r>
        <w:tab/>
      </w:r>
      <w:r>
        <w:fldChar w:fldCharType="begin"/>
      </w:r>
      <w:r>
        <w:instrText xml:space="preserve"> PAGEREF _Toc4775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53554C5F">
      <w:pPr>
        <w:pStyle w:val="30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_Toc5662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>二、</w:t>
      </w:r>
      <w:r>
        <w:rPr>
          <w:rFonts w:hint="eastAsia" w:ascii="微软雅黑" w:hAnsi="微软雅黑" w:eastAsia="微软雅黑" w:cs="微软雅黑"/>
          <w:highlight w:val="none"/>
        </w:rPr>
        <w:t>矛盾对绿碳智汇的影响</w:t>
      </w:r>
      <w:r>
        <w:tab/>
      </w:r>
      <w:r>
        <w:fldChar w:fldCharType="begin"/>
      </w:r>
      <w:r>
        <w:instrText xml:space="preserve"> PAGEREF _Toc5662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6599A8FA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_Toc32277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销售周期延长</w:t>
      </w:r>
      <w:r>
        <w:tab/>
      </w:r>
      <w:r>
        <w:fldChar w:fldCharType="begin"/>
      </w:r>
      <w:r>
        <w:instrText xml:space="preserve"> PAGEREF _Toc32277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0F44F4EC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_Toc10958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客户筛选困境</w:t>
      </w:r>
      <w:r>
        <w:tab/>
      </w:r>
      <w:r>
        <w:fldChar w:fldCharType="begin"/>
      </w:r>
      <w:r>
        <w:instrText xml:space="preserve"> PAGEREF _Toc10958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0C45168E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_Toc952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3. </w:t>
      </w:r>
      <w:r>
        <w:rPr>
          <w:rFonts w:hint="eastAsia" w:ascii="微软雅黑" w:hAnsi="微软雅黑" w:eastAsia="微软雅黑" w:cs="微软雅黑"/>
          <w:highlight w:val="none"/>
        </w:rPr>
        <w:t>商业模式压力</w:t>
      </w:r>
      <w:r>
        <w:tab/>
      </w:r>
      <w:r>
        <w:fldChar w:fldCharType="begin"/>
      </w:r>
      <w:r>
        <w:instrText xml:space="preserve"> PAGEREF _Toc952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7B2CEBA5">
      <w:pPr>
        <w:pStyle w:val="30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_Toc29932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>三、</w:t>
      </w:r>
      <w:r>
        <w:rPr>
          <w:rFonts w:hint="eastAsia" w:ascii="微软雅黑" w:hAnsi="微软雅黑" w:eastAsia="微软雅黑" w:cs="微软雅黑"/>
          <w:highlight w:val="none"/>
        </w:rPr>
        <w:t>矛盾对客户决策过程的影响</w:t>
      </w:r>
      <w:r>
        <w:tab/>
      </w:r>
      <w:r>
        <w:fldChar w:fldCharType="begin"/>
      </w:r>
      <w:r>
        <w:instrText xml:space="preserve"> PAGEREF _Toc29932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006F4105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_Toc8682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决策延迟或搁置</w:t>
      </w:r>
      <w:r>
        <w:tab/>
      </w:r>
      <w:r>
        <w:fldChar w:fldCharType="begin"/>
      </w:r>
      <w:r>
        <w:instrText xml:space="preserve"> PAGEREF _Toc8682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04722A3B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_Toc31701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采购标准偏差</w:t>
      </w:r>
      <w:r>
        <w:tab/>
      </w:r>
      <w:r>
        <w:fldChar w:fldCharType="begin"/>
      </w:r>
      <w:r>
        <w:instrText xml:space="preserve"> PAGEREF _Toc31701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29A60DF5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_Toc25428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3. </w:t>
      </w:r>
      <w:r>
        <w:rPr>
          <w:rFonts w:hint="eastAsia" w:ascii="微软雅黑" w:hAnsi="微软雅黑" w:eastAsia="微软雅黑" w:cs="微软雅黑"/>
          <w:highlight w:val="none"/>
        </w:rPr>
        <w:t>价值归因困难</w:t>
      </w:r>
      <w:r>
        <w:tab/>
      </w:r>
      <w:r>
        <w:fldChar w:fldCharType="begin"/>
      </w:r>
      <w:r>
        <w:instrText xml:space="preserve"> PAGEREF _Toc25428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1B2B342A">
      <w:pPr>
        <w:pStyle w:val="30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_Toc17732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四、 </w:t>
      </w:r>
      <w:r>
        <w:rPr>
          <w:rFonts w:hint="eastAsia" w:ascii="微软雅黑" w:hAnsi="微软雅黑" w:eastAsia="微软雅黑" w:cs="微软雅黑"/>
          <w:highlight w:val="none"/>
        </w:rPr>
        <w:t>矛盾化解策略建议</w:t>
      </w:r>
      <w:r>
        <w:tab/>
      </w:r>
      <w:r>
        <w:fldChar w:fldCharType="begin"/>
      </w:r>
      <w:r>
        <w:instrText xml:space="preserve"> PAGEREF _Toc17732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1D8F5CE1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_Toc11671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. </w:t>
      </w:r>
      <w:r>
        <w:rPr>
          <w:rFonts w:hint="eastAsia" w:ascii="微软雅黑" w:hAnsi="微软雅黑" w:eastAsia="微软雅黑" w:cs="微软雅黑"/>
          <w:highlight w:val="none"/>
        </w:rPr>
        <w:t>开发"可量化的ESG价值核算工具"</w:t>
      </w:r>
      <w:r>
        <w:tab/>
      </w:r>
      <w:r>
        <w:fldChar w:fldCharType="begin"/>
      </w:r>
      <w:r>
        <w:instrText xml:space="preserve"> PAGEREF _Toc11671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06EC4E19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_Toc999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. 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采用里程碑，EMC，订阅制等收费方式</w:t>
      </w:r>
      <w:r>
        <w:tab/>
      </w:r>
      <w:r>
        <w:fldChar w:fldCharType="begin"/>
      </w:r>
      <w:r>
        <w:instrText xml:space="preserve"> PAGEREF _Toc999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1B6EB696">
      <w:pPr>
        <w:pStyle w:val="27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_Toc26128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</w:rPr>
        <w:t>任务二：500万项目财务分析</w:t>
      </w:r>
      <w:r>
        <w:tab/>
      </w:r>
      <w:r>
        <w:fldChar w:fldCharType="begin"/>
      </w:r>
      <w:r>
        <w:instrText xml:space="preserve"> PAGEREF _Toc26128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71E9D383">
      <w:pPr>
        <w:pStyle w:val="30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_Toc6011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</w:rPr>
        <w:t>项目背景</w:t>
      </w:r>
      <w:r>
        <w:tab/>
      </w:r>
      <w:r>
        <w:fldChar w:fldCharType="begin"/>
      </w:r>
      <w:r>
        <w:instrText xml:space="preserve"> PAGEREF _Toc6011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1F30A5A8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_Toc9715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>一、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里程碑模式</w:t>
      </w:r>
      <w:r>
        <w:tab/>
      </w:r>
      <w:r>
        <w:fldChar w:fldCharType="begin"/>
      </w:r>
      <w:r>
        <w:instrText xml:space="preserve"> PAGEREF _Toc9715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7FFA3E96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_Toc21264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>、</w:t>
      </w:r>
      <w:r>
        <w:rPr>
          <w:rFonts w:hint="eastAsia" w:ascii="微软雅黑" w:hAnsi="微软雅黑" w:eastAsia="微软雅黑" w:cs="微软雅黑"/>
          <w:highlight w:val="none"/>
        </w:rPr>
        <w:t>EMC模式</w:t>
      </w:r>
      <w:r>
        <w:tab/>
      </w:r>
      <w:r>
        <w:fldChar w:fldCharType="begin"/>
      </w:r>
      <w:r>
        <w:instrText xml:space="preserve"> PAGEREF _Toc21264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280CE913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_Toc16405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/>
          <w:lang w:val="en-US" w:eastAsia="zh-CN"/>
        </w:rPr>
        <w:t>三、两种模式对比</w:t>
      </w:r>
      <w:r>
        <w:tab/>
      </w:r>
      <w:r>
        <w:fldChar w:fldCharType="begin"/>
      </w:r>
      <w:r>
        <w:instrText xml:space="preserve"> PAGEREF _Toc16405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406B8D46">
      <w:pPr>
        <w:pStyle w:val="27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_Toc25123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/>
          <w:highlight w:val="none"/>
        </w:rPr>
        <w:t>任务三：差异化竞争力分析</w:t>
      </w:r>
      <w:r>
        <w:tab/>
      </w:r>
      <w:r>
        <w:fldChar w:fldCharType="begin"/>
      </w:r>
      <w:r>
        <w:instrText xml:space="preserve"> PAGEREF _Toc25123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07E1A912">
      <w:pPr>
        <w:pStyle w:val="30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_Toc11797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>一、</w:t>
      </w:r>
      <w:r>
        <w:rPr>
          <w:rFonts w:hint="eastAsia" w:ascii="微软雅黑" w:hAnsi="微软雅黑" w:eastAsia="微软雅黑" w:cs="微软雅黑"/>
          <w:highlight w:val="none"/>
        </w:rPr>
        <w:t>外部环境分析（PESTEL框架）</w:t>
      </w:r>
      <w:r>
        <w:tab/>
      </w:r>
      <w:r>
        <w:fldChar w:fldCharType="begin"/>
      </w:r>
      <w:r>
        <w:instrText xml:space="preserve"> PAGEREF _Toc11797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5C3BF0F1">
      <w:pPr>
        <w:pStyle w:val="30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_Toc11169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>二、</w:t>
      </w:r>
      <w:r>
        <w:rPr>
          <w:rFonts w:hint="eastAsia" w:ascii="微软雅黑" w:hAnsi="微软雅黑" w:eastAsia="微软雅黑" w:cs="微软雅黑"/>
          <w:highlight w:val="none"/>
        </w:rPr>
        <w:t>行业竞争格局分析</w:t>
      </w:r>
      <w:r>
        <w:tab/>
      </w:r>
      <w:r>
        <w:fldChar w:fldCharType="begin"/>
      </w:r>
      <w:r>
        <w:instrText xml:space="preserve"> PAGEREF _Toc11169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28B534C6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_Toc26567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四类主要竞争对手</w:t>
      </w:r>
      <w:r>
        <w:tab/>
      </w:r>
      <w:r>
        <w:fldChar w:fldCharType="begin"/>
      </w:r>
      <w:r>
        <w:instrText xml:space="preserve"> PAGEREF _Toc26567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7BA858CB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_Toc18980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竞争格局特征</w:t>
      </w:r>
      <w:r>
        <w:tab/>
      </w:r>
      <w:r>
        <w:fldChar w:fldCharType="begin"/>
      </w:r>
      <w:r>
        <w:instrText xml:space="preserve"> PAGEREF _Toc18980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6B22CE04">
      <w:pPr>
        <w:pStyle w:val="30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_Toc32531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>三、</w:t>
      </w:r>
      <w:r>
        <w:rPr>
          <w:rFonts w:hint="eastAsia" w:ascii="微软雅黑" w:hAnsi="微软雅黑" w:eastAsia="微软雅黑" w:cs="微软雅黑"/>
          <w:highlight w:val="none"/>
        </w:rPr>
        <w:t>绿碳智汇内部能力分析</w:t>
      </w:r>
      <w:r>
        <w:tab/>
      </w:r>
      <w:r>
        <w:fldChar w:fldCharType="begin"/>
      </w:r>
      <w:r>
        <w:instrText xml:space="preserve"> PAGEREF _Toc32531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2E4B6FAA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_Toc10975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核心能力识别</w:t>
      </w:r>
      <w:r>
        <w:tab/>
      </w:r>
      <w:r>
        <w:fldChar w:fldCharType="begin"/>
      </w:r>
      <w:r>
        <w:instrText xml:space="preserve"> PAGEREF _Toc10975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2E5DE391">
      <w:pPr>
        <w:pStyle w:val="30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_Toc27556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>四、</w:t>
      </w:r>
      <w:r>
        <w:rPr>
          <w:rFonts w:hint="eastAsia" w:ascii="微软雅黑" w:hAnsi="微软雅黑" w:eastAsia="微软雅黑" w:cs="微软雅黑"/>
          <w:highlight w:val="none"/>
        </w:rPr>
        <w:t>差异化竞争力定位</w:t>
      </w:r>
      <w:r>
        <w:tab/>
      </w:r>
      <w:r>
        <w:fldChar w:fldCharType="begin"/>
      </w:r>
      <w:r>
        <w:instrText xml:space="preserve"> PAGEREF _Toc27556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06505278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_Toc12559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价值主张</w:t>
      </w:r>
      <w:r>
        <w:tab/>
      </w:r>
      <w:r>
        <w:fldChar w:fldCharType="begin"/>
      </w:r>
      <w:r>
        <w:instrText xml:space="preserve"> PAGEREF _Toc12559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34F66A32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_Toc3343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竞争力矩阵</w:t>
      </w:r>
      <w:r>
        <w:tab/>
      </w:r>
      <w:r>
        <w:fldChar w:fldCharType="begin"/>
      </w:r>
      <w:r>
        <w:instrText xml:space="preserve"> PAGEREF _Toc3343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3845A5E1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_Toc27128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3.绿碳智汇SWOT分析矩阵</w:t>
      </w:r>
      <w:r>
        <w:tab/>
      </w:r>
      <w:r>
        <w:fldChar w:fldCharType="begin"/>
      </w:r>
      <w:r>
        <w:instrText xml:space="preserve"> PAGEREF _Toc27128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0D648251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_Toc24430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. </w:t>
      </w:r>
      <w:r>
        <w:rPr>
          <w:rFonts w:hint="eastAsia" w:ascii="微软雅黑" w:hAnsi="微软雅黑" w:eastAsia="微软雅黑" w:cs="微软雅黑"/>
          <w:highlight w:val="none"/>
        </w:rPr>
        <w:t>目标客户聚焦</w:t>
      </w:r>
      <w:r>
        <w:tab/>
      </w:r>
      <w:r>
        <w:fldChar w:fldCharType="begin"/>
      </w:r>
      <w:r>
        <w:instrText xml:space="preserve"> PAGEREF _Toc24430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6A1A2F52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_Toc32174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highlight w:val="none"/>
        </w:rPr>
        <w:t>竞争策略</w:t>
      </w:r>
      <w:r>
        <w:tab/>
      </w:r>
      <w:r>
        <w:fldChar w:fldCharType="begin"/>
      </w:r>
      <w:r>
        <w:instrText xml:space="preserve"> PAGEREF _Toc32174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4448CB59">
      <w:pPr>
        <w:pStyle w:val="27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_Toc32117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</w:rPr>
        <w:t>任务四：5年业务发展规划（2026-2030）</w:t>
      </w:r>
      <w:r>
        <w:tab/>
      </w:r>
      <w:r>
        <w:fldChar w:fldCharType="begin"/>
      </w:r>
      <w:r>
        <w:instrText xml:space="preserve"> PAGEREF _Toc32117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3F6253D0">
      <w:pPr>
        <w:pStyle w:val="30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_Toc11067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>一、</w:t>
      </w:r>
      <w:r>
        <w:rPr>
          <w:rFonts w:hint="eastAsia" w:ascii="微软雅黑" w:hAnsi="微软雅黑" w:eastAsia="微软雅黑" w:cs="微软雅黑"/>
          <w:highlight w:val="none"/>
        </w:rPr>
        <w:t>战略愿景与目标</w:t>
      </w:r>
      <w:r>
        <w:tab/>
      </w:r>
      <w:r>
        <w:fldChar w:fldCharType="begin"/>
      </w:r>
      <w:r>
        <w:instrText xml:space="preserve"> PAGEREF _Toc11067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5746CB99">
      <w:pPr>
        <w:pStyle w:val="30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_Toc9356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>二、</w:t>
      </w:r>
      <w:r>
        <w:rPr>
          <w:rFonts w:hint="eastAsia" w:ascii="微软雅黑" w:hAnsi="微软雅黑" w:eastAsia="微软雅黑" w:cs="微软雅黑"/>
          <w:highlight w:val="none"/>
        </w:rPr>
        <w:t>市场选择与进入策略</w:t>
      </w:r>
      <w:r>
        <w:tab/>
      </w:r>
      <w:r>
        <w:fldChar w:fldCharType="begin"/>
      </w:r>
      <w:r>
        <w:instrText xml:space="preserve"> PAGEREF _Toc9356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7C60C3A9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_Toc21216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市场选择</w:t>
      </w:r>
      <w:r>
        <w:tab/>
      </w:r>
      <w:r>
        <w:fldChar w:fldCharType="begin"/>
      </w:r>
      <w:r>
        <w:instrText xml:space="preserve"> PAGEREF _Toc21216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061D6F69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_Toc21118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客户选择标准</w:t>
      </w:r>
      <w:r>
        <w:tab/>
      </w:r>
      <w:r>
        <w:fldChar w:fldCharType="begin"/>
      </w:r>
      <w:r>
        <w:instrText xml:space="preserve"> PAGEREF _Toc21118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013361BF">
      <w:pPr>
        <w:pStyle w:val="30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_Toc26503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>三、</w:t>
      </w:r>
      <w:r>
        <w:rPr>
          <w:rFonts w:hint="eastAsia" w:ascii="微软雅黑" w:hAnsi="微软雅黑" w:eastAsia="微软雅黑" w:cs="微软雅黑"/>
          <w:highlight w:val="none"/>
        </w:rPr>
        <w:t>品牌定位策略</w:t>
      </w:r>
      <w:r>
        <w:tab/>
      </w:r>
      <w:r>
        <w:fldChar w:fldCharType="begin"/>
      </w:r>
      <w:r>
        <w:instrText xml:space="preserve"> PAGEREF _Toc26503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1E1494FF">
      <w:pPr>
        <w:pStyle w:val="30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_Toc4526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>四、</w:t>
      </w:r>
      <w:r>
        <w:rPr>
          <w:rFonts w:hint="eastAsia" w:ascii="微软雅黑" w:hAnsi="微软雅黑" w:eastAsia="微软雅黑" w:cs="微软雅黑"/>
          <w:highlight w:val="none"/>
        </w:rPr>
        <w:t>业务模式设计</w:t>
      </w:r>
      <w:r>
        <w:tab/>
      </w:r>
      <w:r>
        <w:fldChar w:fldCharType="begin"/>
      </w:r>
      <w:r>
        <w:instrText xml:space="preserve"> PAGEREF _Toc4526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6BF01E90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_Toc10403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收入结构演进规划</w:t>
      </w:r>
      <w:r>
        <w:tab/>
      </w:r>
      <w:r>
        <w:fldChar w:fldCharType="begin"/>
      </w:r>
      <w:r>
        <w:instrText xml:space="preserve"> PAGEREF _Toc10403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3019FB08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_Toc28665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产品化路径</w:t>
      </w:r>
      <w:r>
        <w:tab/>
      </w:r>
      <w:r>
        <w:fldChar w:fldCharType="begin"/>
      </w:r>
      <w:r>
        <w:instrText xml:space="preserve"> PAGEREF _Toc28665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673C8842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_Toc20484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3. </w:t>
      </w:r>
      <w:r>
        <w:rPr>
          <w:rFonts w:hint="eastAsia" w:ascii="微软雅黑" w:hAnsi="微软雅黑" w:eastAsia="微软雅黑" w:cs="微软雅黑"/>
          <w:highlight w:val="none"/>
        </w:rPr>
        <w:t>定价策略</w:t>
      </w:r>
      <w:r>
        <w:tab/>
      </w:r>
      <w:r>
        <w:fldChar w:fldCharType="begin"/>
      </w:r>
      <w:r>
        <w:instrText xml:space="preserve"> PAGEREF _Toc20484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45C50789">
      <w:pPr>
        <w:pStyle w:val="30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_Toc15792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>五、</w:t>
      </w:r>
      <w:r>
        <w:rPr>
          <w:rFonts w:hint="eastAsia" w:ascii="微软雅黑" w:hAnsi="微软雅黑" w:eastAsia="微软雅黑" w:cs="微软雅黑"/>
          <w:highlight w:val="none"/>
        </w:rPr>
        <w:t>业务组合策略</w:t>
      </w:r>
      <w:r>
        <w:tab/>
      </w:r>
      <w:r>
        <w:fldChar w:fldCharType="begin"/>
      </w:r>
      <w:r>
        <w:instrText xml:space="preserve"> PAGEREF _Toc15792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6689BE5A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_Toc31603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产品组合</w:t>
      </w:r>
      <w:r>
        <w:tab/>
      </w:r>
      <w:r>
        <w:fldChar w:fldCharType="begin"/>
      </w:r>
      <w:r>
        <w:instrText xml:space="preserve"> PAGEREF _Toc31603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2C6DBD01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_Toc23882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客户组合</w:t>
      </w:r>
      <w:r>
        <w:tab/>
      </w:r>
      <w:r>
        <w:fldChar w:fldCharType="begin"/>
      </w:r>
      <w:r>
        <w:instrText xml:space="preserve"> PAGEREF _Toc23882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62EC0044">
      <w:pPr>
        <w:pStyle w:val="30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_Toc6162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>六、</w:t>
      </w:r>
      <w:r>
        <w:rPr>
          <w:rFonts w:hint="eastAsia" w:ascii="微软雅黑" w:hAnsi="微软雅黑" w:eastAsia="微软雅黑" w:cs="微软雅黑"/>
          <w:highlight w:val="none"/>
        </w:rPr>
        <w:t>定量业务发展规划</w:t>
      </w:r>
      <w:r>
        <w:tab/>
      </w:r>
      <w:r>
        <w:fldChar w:fldCharType="begin"/>
      </w:r>
      <w:r>
        <w:instrText xml:space="preserve"> PAGEREF _Toc6162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4F29AD77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_Toc29121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营收目标分解</w:t>
      </w:r>
      <w:r>
        <w:tab/>
      </w:r>
      <w:r>
        <w:fldChar w:fldCharType="begin"/>
      </w:r>
      <w:r>
        <w:instrText xml:space="preserve"> PAGEREF _Toc29121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0D67DFC6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_Toc1491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收入结构演变</w:t>
      </w:r>
      <w:r>
        <w:tab/>
      </w:r>
      <w:r>
        <w:fldChar w:fldCharType="begin"/>
      </w:r>
      <w:r>
        <w:instrText xml:space="preserve"> PAGEREF _Toc1491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1EC36765">
      <w:pPr>
        <w:pStyle w:val="30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_Toc26803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>七、</w:t>
      </w:r>
      <w:r>
        <w:rPr>
          <w:rFonts w:hint="eastAsia" w:ascii="微软雅黑" w:hAnsi="微软雅黑" w:eastAsia="微软雅黑" w:cs="微软雅黑"/>
          <w:highlight w:val="none"/>
        </w:rPr>
        <w:t>运营及管理能力提升建议</w:t>
      </w:r>
      <w:r>
        <w:tab/>
      </w:r>
      <w:r>
        <w:fldChar w:fldCharType="begin"/>
      </w:r>
      <w:r>
        <w:instrText xml:space="preserve"> PAGEREF _Toc26803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72B065A6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_Toc7039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能力提升框架</w:t>
      </w:r>
      <w:r>
        <w:tab/>
      </w:r>
      <w:r>
        <w:fldChar w:fldCharType="begin"/>
      </w:r>
      <w:r>
        <w:instrText xml:space="preserve"> PAGEREF _Toc7039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5D1FC7F3">
      <w:pPr>
        <w:pStyle w:val="24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_Toc1732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重点能力提升计划</w:t>
      </w:r>
      <w:r>
        <w:tab/>
      </w:r>
      <w:r>
        <w:fldChar w:fldCharType="begin"/>
      </w:r>
      <w:r>
        <w:instrText xml:space="preserve"> PAGEREF _Toc1732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33CC87D4">
      <w:pPr>
        <w:pStyle w:val="27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_Toc14377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</w:rPr>
        <w:t>关键成功因素与风险提示</w:t>
      </w:r>
      <w:r>
        <w:tab/>
      </w:r>
      <w:r>
        <w:fldChar w:fldCharType="begin"/>
      </w:r>
      <w:r>
        <w:instrText xml:space="preserve"> PAGEREF _Toc14377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5ABA1126">
      <w:pPr>
        <w:pStyle w:val="30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_Toc4050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highlight w:val="none"/>
        </w:rPr>
        <w:t>关键成功因素</w:t>
      </w:r>
      <w:r>
        <w:tab/>
      </w:r>
      <w:r>
        <w:fldChar w:fldCharType="begin"/>
      </w:r>
      <w:r>
        <w:instrText xml:space="preserve"> PAGEREF _Toc4050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14DBDC5C">
      <w:pPr>
        <w:pStyle w:val="30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_Toc13565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highlight w:val="none"/>
        </w:rPr>
        <w:t>主要风险与应对</w:t>
      </w:r>
      <w:r>
        <w:tab/>
      </w:r>
      <w:r>
        <w:fldChar w:fldCharType="begin"/>
      </w:r>
      <w:r>
        <w:instrText xml:space="preserve"> PAGEREF _Toc13565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45D488CA">
      <w:pPr>
        <w:pStyle w:val="27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_Toc12790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</w:rPr>
        <w:t>结</w:t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    </w:t>
      </w:r>
      <w:r>
        <w:rPr>
          <w:rFonts w:hint="eastAsia" w:ascii="微软雅黑" w:hAnsi="微软雅黑" w:eastAsia="微软雅黑" w:cs="微软雅黑"/>
          <w:highlight w:val="none"/>
        </w:rPr>
        <w:t>论</w:t>
      </w:r>
      <w:r>
        <w:tab/>
      </w:r>
      <w:r>
        <w:fldChar w:fldCharType="begin"/>
      </w:r>
      <w:r>
        <w:instrText xml:space="preserve"> PAGEREF _Toc12790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6A81774E">
      <w:pPr>
        <w:pStyle w:val="27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_Toc25294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/>
          <w:highlight w:val="none"/>
          <w:lang w:val="en-US" w:eastAsia="zh-CN"/>
        </w:rPr>
        <w:t>假设和相关依据</w:t>
      </w:r>
      <w:r>
        <w:tab/>
      </w:r>
      <w:r>
        <w:fldChar w:fldCharType="begin"/>
      </w:r>
      <w:r>
        <w:instrText xml:space="preserve"> PAGEREF _Toc25294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1B3D9DD4">
      <w:pPr>
        <w:rPr>
          <w:rFonts w:hint="eastAsia" w:ascii="微软雅黑" w:hAnsi="微软雅黑" w:eastAsia="微软雅黑" w:cs="微软雅黑"/>
          <w:highlight w:val="none"/>
        </w:rPr>
      </w:pP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78A59A00">
      <w:pPr>
        <w:rPr>
          <w:rFonts w:hint="eastAsia" w:ascii="微软雅黑" w:hAnsi="微软雅黑" w:eastAsia="微软雅黑" w:cs="微软雅黑"/>
          <w:highlight w:val="none"/>
        </w:rPr>
      </w:pPr>
      <w:r>
        <w:rPr>
          <w:rFonts w:hint="eastAsia" w:ascii="微软雅黑" w:hAnsi="微软雅黑" w:eastAsia="微软雅黑" w:cs="微软雅黑"/>
          <w:highlight w:val="none"/>
        </w:rPr>
        <w:br w:type="page"/>
      </w:r>
    </w:p>
    <w:p w14:paraId="082C44A2">
      <w:pPr>
        <w:pStyle w:val="34"/>
        <w:rPr>
          <w:rFonts w:hint="eastAsia" w:ascii="微软雅黑" w:hAnsi="微软雅黑" w:eastAsia="微软雅黑" w:cs="微软雅黑"/>
          <w:highlight w:val="none"/>
        </w:rPr>
      </w:pPr>
      <w:r>
        <w:rPr>
          <w:rFonts w:hint="eastAsia" w:ascii="微软雅黑" w:hAnsi="微软雅黑" w:eastAsia="微软雅黑" w:cs="微软雅黑"/>
          <w:highlight w:val="none"/>
        </w:rPr>
        <w:t>绿碳智汇战略规划报告</w:t>
      </w:r>
    </w:p>
    <w:p w14:paraId="1522491F">
      <w:pPr>
        <w:pStyle w:val="3"/>
        <w:keepNext/>
        <w:widowControl/>
        <w:rPr>
          <w:rFonts w:hint="eastAsia" w:ascii="微软雅黑" w:hAnsi="微软雅黑" w:eastAsia="微软雅黑" w:cs="微软雅黑"/>
          <w:highlight w:val="none"/>
        </w:rPr>
      </w:pPr>
      <w:bookmarkStart w:id="0" w:name="_Toc26559"/>
      <w:r>
        <w:rPr>
          <w:rFonts w:hint="eastAsia" w:ascii="微软雅黑" w:hAnsi="微软雅黑" w:eastAsia="微软雅黑" w:cs="微软雅黑"/>
          <w:highlight w:val="none"/>
        </w:rPr>
        <w:t>任务一：ESG价值显现周期与客户短期回报关注的矛盾分析</w:t>
      </w:r>
      <w:bookmarkEnd w:id="0"/>
    </w:p>
    <w:p w14:paraId="73667FBB">
      <w:pPr>
        <w:pStyle w:val="4"/>
        <w:keepNext/>
        <w:widowControl/>
        <w:numPr>
          <w:ilvl w:val="0"/>
          <w:numId w:val="0"/>
        </w:numPr>
        <w:topLinePunct w:val="0"/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1" w:name="_Toc18676"/>
      <w:r>
        <w:rPr>
          <w:rFonts w:hint="eastAsia" w:ascii="微软雅黑" w:hAnsi="微软雅黑" w:eastAsia="微软雅黑" w:cs="微软雅黑"/>
          <w:highlight w:val="none"/>
          <w:lang w:eastAsia="zh-CN"/>
        </w:rPr>
        <w:t>一、</w:t>
      </w:r>
      <w:r>
        <w:rPr>
          <w:rFonts w:hint="eastAsia" w:ascii="微软雅黑" w:hAnsi="微软雅黑" w:eastAsia="微软雅黑" w:cs="微软雅黑"/>
          <w:highlight w:val="none"/>
        </w:rPr>
        <w:t>矛盾产生的根本原因</w:t>
      </w:r>
      <w:bookmarkEnd w:id="1"/>
    </w:p>
    <w:p w14:paraId="087FA10C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2" w:name="_Toc11518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价值创造与价值评估的时间错配</w:t>
      </w:r>
      <w:bookmarkEnd w:id="2"/>
    </w:p>
    <w:p w14:paraId="2B2FB76A">
      <w:pPr>
        <w:pStyle w:val="19"/>
        <w:widowControl/>
        <w:rPr>
          <w:rFonts w:hint="eastAsia" w:ascii="微软雅黑" w:hAnsi="微软雅黑" w:eastAsia="微软雅黑" w:cs="微软雅黑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AI驱动的能效优化和ESG价值创造存在天然的"滞后效应"：</w:t>
      </w:r>
    </w:p>
    <w:p w14:paraId="5F1C6461">
      <w:pPr>
        <w:pStyle w:val="19"/>
        <w:widowControl/>
        <w:numPr>
          <w:ilvl w:val="0"/>
          <w:numId w:val="7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AI模型需要持续运行3-12个月才能积累足够的行为数据，完成模型优化与效果验证；</w:t>
      </w:r>
    </w:p>
    <w:p w14:paraId="0514DCA3">
      <w:pPr>
        <w:pStyle w:val="19"/>
        <w:widowControl/>
        <w:numPr>
          <w:ilvl w:val="0"/>
          <w:numId w:val="7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系统调优、预测性维护、负荷优化等多层价值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  <w:lang w:val="en-US" w:eastAsia="zh-CN"/>
        </w:rPr>
        <w:t>要随时间推移才能显现</w:t>
      </w:r>
    </w:p>
    <w:p w14:paraId="78DD27DB">
      <w:pPr>
        <w:pStyle w:val="19"/>
        <w:widowControl/>
        <w:numPr>
          <w:ilvl w:val="0"/>
          <w:numId w:val="7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客户期望在签约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  <w:lang w:val="en-US" w:eastAsia="zh-CN"/>
        </w:rPr>
        <w:t>希望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看到明确的财务回报（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  <w:lang w:val="en-US" w:eastAsia="zh-CN"/>
        </w:rPr>
        <w:t>如：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电费账单下降）</w:t>
      </w:r>
    </w:p>
    <w:p w14:paraId="50DE3A58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3" w:name="_Toc11923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商业逻辑与财务核算的制度性冲突</w:t>
      </w:r>
      <w:bookmarkEnd w:id="3"/>
    </w:p>
    <w:p w14:paraId="71D6BF34">
      <w:pPr>
        <w:pStyle w:val="19"/>
        <w:widowControl/>
        <w:numPr>
          <w:ilvl w:val="0"/>
          <w:numId w:val="8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ESG效益（如碳减排、合规提升、品牌溢价）在财务报表中难以量化，无法与传统财务指标直接对比；</w:t>
      </w:r>
    </w:p>
    <w:p w14:paraId="2A2646D0">
      <w:pPr>
        <w:pStyle w:val="19"/>
        <w:widowControl/>
        <w:numPr>
          <w:ilvl w:val="0"/>
          <w:numId w:val="8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能效项目的收益归属"设备部门"或"行政部门"，而节能投资需"财务部门"审批，部门利益不一致导致决策链条延长。</w:t>
      </w:r>
    </w:p>
    <w:p w14:paraId="41D6E779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4" w:name="_Toc4775"/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. </w:t>
      </w:r>
      <w:r>
        <w:rPr>
          <w:rFonts w:hint="eastAsia" w:ascii="微软雅黑" w:hAnsi="微软雅黑" w:eastAsia="微软雅黑" w:cs="微软雅黑"/>
          <w:highlight w:val="none"/>
        </w:rPr>
        <w:t>市场成熟度不足</w:t>
      </w:r>
      <w:bookmarkEnd w:id="4"/>
    </w:p>
    <w:p w14:paraId="75CA9990">
      <w:pPr>
        <w:pStyle w:val="19"/>
        <w:widowControl/>
        <w:rPr>
          <w:rFonts w:hint="eastAsia" w:ascii="微软雅黑" w:hAnsi="微软雅黑" w:eastAsia="微软雅黑" w:cs="微软雅黑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当前国内企业ESG决策机制尚未普遍建立，大多数企业缺乏将ESG价值纳入投资决策的系统方法论，导致ESG投资仍被视为"合规成本"而非"价值投资"。</w:t>
      </w:r>
    </w:p>
    <w:p w14:paraId="571B00BB">
      <w:pPr>
        <w:pStyle w:val="4"/>
        <w:keepNext/>
        <w:widowControl/>
        <w:numPr>
          <w:ilvl w:val="0"/>
          <w:numId w:val="0"/>
        </w:numPr>
        <w:topLinePunct w:val="0"/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5" w:name="_Toc5662"/>
      <w:r>
        <w:rPr>
          <w:rFonts w:hint="eastAsia" w:ascii="微软雅黑" w:hAnsi="微软雅黑" w:eastAsia="微软雅黑" w:cs="微软雅黑"/>
          <w:highlight w:val="none"/>
          <w:lang w:eastAsia="zh-CN"/>
        </w:rPr>
        <w:t>二、</w:t>
      </w:r>
      <w:r>
        <w:rPr>
          <w:rFonts w:hint="eastAsia" w:ascii="微软雅黑" w:hAnsi="微软雅黑" w:eastAsia="微软雅黑" w:cs="微软雅黑"/>
          <w:highlight w:val="none"/>
        </w:rPr>
        <w:t>矛盾对绿碳智汇的影响</w:t>
      </w:r>
      <w:bookmarkEnd w:id="5"/>
    </w:p>
    <w:p w14:paraId="4AFD48BF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6" w:name="_Toc32277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销售周期延长</w:t>
      </w:r>
      <w:bookmarkEnd w:id="6"/>
    </w:p>
    <w:p w14:paraId="251D401D">
      <w:pPr>
        <w:pStyle w:val="19"/>
        <w:widowControl/>
        <w:numPr>
          <w:ilvl w:val="0"/>
          <w:numId w:val="9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需要经历"技术验证→小范围试点→财务测算→正式采购"等多个阶段；</w:t>
      </w:r>
    </w:p>
    <w:p w14:paraId="676AEB37">
      <w:pPr>
        <w:pStyle w:val="19"/>
        <w:widowControl/>
        <w:numPr>
          <w:ilvl w:val="0"/>
          <w:numId w:val="9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销售成本（时间成本、人力成本）显著上升。</w:t>
      </w:r>
    </w:p>
    <w:p w14:paraId="63A56FFC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7" w:name="_Toc10958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客户筛选困境</w:t>
      </w:r>
      <w:bookmarkEnd w:id="7"/>
    </w:p>
    <w:p w14:paraId="5228E718">
      <w:pPr>
        <w:pStyle w:val="19"/>
        <w:widowControl/>
        <w:numPr>
          <w:ilvl w:val="0"/>
          <w:numId w:val="10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难以识别"真正认可长期价值"的客户vs"追求短期噱头"的客户；</w:t>
      </w:r>
    </w:p>
    <w:p w14:paraId="38831946">
      <w:pPr>
        <w:pStyle w:val="19"/>
        <w:widowControl/>
        <w:numPr>
          <w:ilvl w:val="0"/>
          <w:numId w:val="10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可能导致签约后客户满意度下降、项目回款困难。</w:t>
      </w:r>
    </w:p>
    <w:p w14:paraId="2BC50FD0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8" w:name="_Toc952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3. </w:t>
      </w:r>
      <w:r>
        <w:rPr>
          <w:rFonts w:hint="eastAsia" w:ascii="微软雅黑" w:hAnsi="微软雅黑" w:eastAsia="微软雅黑" w:cs="微软雅黑"/>
          <w:highlight w:val="none"/>
        </w:rPr>
        <w:t>商业模式压力</w:t>
      </w:r>
      <w:bookmarkEnd w:id="8"/>
    </w:p>
    <w:p w14:paraId="298464FE">
      <w:pPr>
        <w:pStyle w:val="19"/>
        <w:widowControl/>
        <w:numPr>
          <w:ilvl w:val="0"/>
          <w:numId w:val="11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难以向客户收取与长期价值相匹配的服务费用；</w:t>
      </w:r>
    </w:p>
    <w:p w14:paraId="1A677CA4">
      <w:pPr>
        <w:pStyle w:val="19"/>
        <w:widowControl/>
        <w:numPr>
          <w:ilvl w:val="0"/>
          <w:numId w:val="11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面临"低价竞争"风险，被迫与传统工程商进行同质化价格竞争。</w:t>
      </w:r>
    </w:p>
    <w:p w14:paraId="7FC1BB51">
      <w:pPr>
        <w:pStyle w:val="4"/>
        <w:keepNext/>
        <w:widowControl/>
        <w:numPr>
          <w:ilvl w:val="0"/>
          <w:numId w:val="0"/>
        </w:numPr>
        <w:topLinePunct w:val="0"/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9" w:name="_Toc29932"/>
      <w:r>
        <w:rPr>
          <w:rFonts w:hint="eastAsia" w:ascii="微软雅黑" w:hAnsi="微软雅黑" w:eastAsia="微软雅黑" w:cs="微软雅黑"/>
          <w:highlight w:val="none"/>
          <w:lang w:eastAsia="zh-CN"/>
        </w:rPr>
        <w:t>三、</w:t>
      </w:r>
      <w:r>
        <w:rPr>
          <w:rFonts w:hint="eastAsia" w:ascii="微软雅黑" w:hAnsi="微软雅黑" w:eastAsia="微软雅黑" w:cs="微软雅黑"/>
          <w:highlight w:val="none"/>
        </w:rPr>
        <w:t>矛盾对客户决策过程的影响</w:t>
      </w:r>
      <w:bookmarkEnd w:id="9"/>
    </w:p>
    <w:p w14:paraId="3327FA28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10" w:name="_Toc8682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决策延迟或搁置</w:t>
      </w:r>
      <w:bookmarkEnd w:id="10"/>
    </w:p>
    <w:p w14:paraId="46939700">
      <w:pPr>
        <w:pStyle w:val="19"/>
        <w:widowControl/>
        <w:numPr>
          <w:ilvl w:val="0"/>
          <w:numId w:val="12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能效改造项目在"待审批"状态停留时间延长；</w:t>
      </w:r>
    </w:p>
    <w:p w14:paraId="6EFEA54B">
      <w:pPr>
        <w:pStyle w:val="19"/>
        <w:widowControl/>
        <w:numPr>
          <w:ilvl w:val="0"/>
          <w:numId w:val="12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错过最佳改造时机（设备更换周期、碳市场窗口期）。</w:t>
      </w:r>
    </w:p>
    <w:p w14:paraId="40B5851D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11" w:name="_Toc31701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采购标准偏差</w:t>
      </w:r>
      <w:bookmarkEnd w:id="11"/>
    </w:p>
    <w:p w14:paraId="6A30A82A">
      <w:pPr>
        <w:pStyle w:val="19"/>
        <w:widowControl/>
        <w:numPr>
          <w:ilvl w:val="0"/>
          <w:numId w:val="13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客户过度关注"硬件配置"、"品牌知名度"等可见指标；</w:t>
      </w:r>
    </w:p>
    <w:p w14:paraId="6905D299">
      <w:pPr>
        <w:pStyle w:val="19"/>
        <w:widowControl/>
        <w:numPr>
          <w:ilvl w:val="0"/>
          <w:numId w:val="13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忽视"算法能力"、"数据积累"、"持续优化服务"等核心价值。</w:t>
      </w:r>
    </w:p>
    <w:p w14:paraId="061B7583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12" w:name="_Toc25428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3. </w:t>
      </w:r>
      <w:r>
        <w:rPr>
          <w:rFonts w:hint="eastAsia" w:ascii="微软雅黑" w:hAnsi="微软雅黑" w:eastAsia="微软雅黑" w:cs="微软雅黑"/>
          <w:highlight w:val="none"/>
        </w:rPr>
        <w:t>价值归因困难</w:t>
      </w:r>
      <w:bookmarkEnd w:id="12"/>
    </w:p>
    <w:p w14:paraId="6C2DDFFF">
      <w:pPr>
        <w:pStyle w:val="19"/>
        <w:widowControl/>
        <w:numPr>
          <w:ilvl w:val="0"/>
          <w:numId w:val="14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项目成功后，难以清晰区分"绿碳智汇的技术贡献"与"客户自身的管理改进"；</w:t>
      </w:r>
    </w:p>
    <w:p w14:paraId="222EBB49">
      <w:pPr>
        <w:pStyle w:val="19"/>
        <w:widowControl/>
        <w:numPr>
          <w:ilvl w:val="0"/>
          <w:numId w:val="14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影响后续续约率及口碑传播。</w:t>
      </w:r>
    </w:p>
    <w:p w14:paraId="73089DCB">
      <w:pPr>
        <w:pStyle w:val="4"/>
        <w:keepNext/>
        <w:widowControl/>
        <w:numPr>
          <w:ilvl w:val="0"/>
          <w:numId w:val="15"/>
        </w:numPr>
        <w:topLinePunct w:val="0"/>
        <w:ind w:leftChars="0"/>
        <w:rPr>
          <w:rFonts w:hint="eastAsia" w:ascii="微软雅黑" w:hAnsi="微软雅黑" w:eastAsia="微软雅黑" w:cs="微软雅黑"/>
          <w:highlight w:val="none"/>
        </w:rPr>
      </w:pPr>
      <w:bookmarkStart w:id="13" w:name="_Toc17732"/>
      <w:r>
        <w:rPr>
          <w:rFonts w:hint="eastAsia" w:ascii="微软雅黑" w:hAnsi="微软雅黑" w:eastAsia="微软雅黑" w:cs="微软雅黑"/>
          <w:highlight w:val="none"/>
        </w:rPr>
        <w:t>矛盾化解策略建议</w:t>
      </w:r>
      <w:bookmarkEnd w:id="13"/>
    </w:p>
    <w:p w14:paraId="3A0F70A9">
      <w:pPr>
        <w:pStyle w:val="5"/>
        <w:bidi w:val="0"/>
        <w:rPr>
          <w:rFonts w:hint="eastAsia" w:ascii="微软雅黑" w:hAnsi="微软雅黑" w:eastAsia="微软雅黑" w:cs="微软雅黑"/>
          <w:b/>
          <w:highlight w:val="none"/>
        </w:rPr>
      </w:pPr>
      <w:bookmarkStart w:id="14" w:name="_Toc11671"/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. </w:t>
      </w:r>
      <w:r>
        <w:rPr>
          <w:rFonts w:hint="eastAsia" w:ascii="微软雅黑" w:hAnsi="微软雅黑" w:eastAsia="微软雅黑" w:cs="微软雅黑"/>
          <w:highlight w:val="none"/>
        </w:rPr>
        <w:t>开发"可量化的ESG价值核算工具"</w:t>
      </w:r>
      <w:bookmarkEnd w:id="14"/>
    </w:p>
    <w:p w14:paraId="2FA15DDD">
      <w:pPr>
        <w:pStyle w:val="19"/>
        <w:widowControl/>
        <w:numPr>
          <w:ilvl w:val="0"/>
          <w:numId w:val="16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将碳减排量折算为碳资产价值；</w:t>
      </w:r>
    </w:p>
    <w:p w14:paraId="5F2189B3">
      <w:pPr>
        <w:pStyle w:val="19"/>
        <w:widowControl/>
        <w:numPr>
          <w:ilvl w:val="0"/>
          <w:numId w:val="16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将合规改善折算为规避的监管风险成本；</w:t>
      </w:r>
    </w:p>
    <w:p w14:paraId="1AB276AB">
      <w:pPr>
        <w:pStyle w:val="19"/>
        <w:widowControl/>
        <w:numPr>
          <w:ilvl w:val="0"/>
          <w:numId w:val="16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将品牌提升折算为潜在商业机会价值；</w:t>
      </w:r>
    </w:p>
    <w:p w14:paraId="294F6A09">
      <w:pPr>
        <w:pStyle w:val="19"/>
        <w:widowControl/>
        <w:numPr>
          <w:ilvl w:val="0"/>
          <w:numId w:val="16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形成"ESG投资回报全景图"，帮助客户在财务框架内理解AI能效投资价值。</w:t>
      </w:r>
    </w:p>
    <w:p w14:paraId="315B04B8">
      <w:pPr>
        <w:pStyle w:val="5"/>
        <w:bidi w:val="0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bookmarkStart w:id="15" w:name="_Toc999"/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. 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采用里程碑，EMC，订阅制等收费方式</w:t>
      </w:r>
      <w:bookmarkEnd w:id="15"/>
    </w:p>
    <w:p w14:paraId="51696972">
      <w:pPr>
        <w:pStyle w:val="19"/>
        <w:widowControl/>
        <w:numPr>
          <w:ilvl w:val="0"/>
          <w:numId w:val="17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  <w:lang w:val="en-US" w:eastAsia="zh-CN"/>
        </w:rPr>
        <w:t>分阶段收费减轻客户压力，让客户为成果买单</w:t>
      </w:r>
    </w:p>
    <w:p w14:paraId="183BDB51">
      <w:pPr>
        <w:pStyle w:val="19"/>
        <w:widowControl/>
        <w:numPr>
          <w:ilvl w:val="0"/>
          <w:numId w:val="17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降低客户感知风险，增强绿碳智汇的服务可信度。</w:t>
      </w:r>
    </w:p>
    <w:p w14:paraId="7C6F0FAE">
      <w:pPr>
        <w:pStyle w:val="3"/>
        <w:keepNext/>
        <w:widowControl/>
        <w:rPr>
          <w:rFonts w:hint="eastAsia" w:ascii="微软雅黑" w:hAnsi="微软雅黑" w:eastAsia="微软雅黑" w:cs="微软雅黑"/>
          <w:highlight w:val="none"/>
        </w:rPr>
      </w:pPr>
      <w:bookmarkStart w:id="16" w:name="_Toc26128"/>
      <w:r>
        <w:rPr>
          <w:rFonts w:hint="eastAsia" w:ascii="微软雅黑" w:hAnsi="微软雅黑" w:eastAsia="微软雅黑" w:cs="微软雅黑"/>
          <w:highlight w:val="none"/>
        </w:rPr>
        <w:t>任务二：500万项目财务分析</w:t>
      </w:r>
      <w:bookmarkEnd w:id="16"/>
    </w:p>
    <w:p w14:paraId="1D4FBAC9">
      <w:pPr>
        <w:pStyle w:val="4"/>
        <w:keepNext/>
        <w:widowControl/>
        <w:rPr>
          <w:rFonts w:hint="eastAsia" w:ascii="微软雅黑" w:hAnsi="微软雅黑" w:eastAsia="微软雅黑" w:cs="微软雅黑"/>
          <w:highlight w:val="none"/>
        </w:rPr>
      </w:pPr>
      <w:bookmarkStart w:id="17" w:name="_Toc6011"/>
      <w:r>
        <w:rPr>
          <w:rFonts w:hint="eastAsia" w:ascii="微软雅黑" w:hAnsi="微软雅黑" w:eastAsia="微软雅黑" w:cs="微软雅黑"/>
          <w:highlight w:val="none"/>
        </w:rPr>
        <w:t>项目背景</w:t>
      </w:r>
      <w:bookmarkEnd w:id="17"/>
    </w:p>
    <w:p w14:paraId="7B5AEFB3">
      <w:pPr>
        <w:pStyle w:val="19"/>
        <w:widowControl/>
        <w:rPr>
          <w:rFonts w:hint="eastAsia" w:ascii="微软雅黑" w:hAnsi="微软雅黑" w:eastAsia="微软雅黑" w:cs="微软雅黑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绿碳智汇于2026年初中标某工业园区综合能源优化项目，合同金额500万元，项目周期8个月。</w:t>
      </w:r>
    </w:p>
    <w:p w14:paraId="7AA8BCF6">
      <w:pPr>
        <w:pStyle w:val="5"/>
        <w:keepNext/>
        <w:numPr>
          <w:ilvl w:val="0"/>
          <w:numId w:val="0"/>
        </w:numPr>
        <w:topLinePunct w:val="0"/>
        <w:ind w:leftChars="0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bookmarkStart w:id="18" w:name="_Toc9715"/>
      <w:r>
        <w:rPr>
          <w:rFonts w:hint="eastAsia" w:ascii="微软雅黑" w:hAnsi="微软雅黑" w:eastAsia="微软雅黑" w:cs="微软雅黑"/>
          <w:highlight w:val="none"/>
          <w:lang w:eastAsia="zh-CN"/>
        </w:rPr>
        <w:t>一、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里程碑模式</w:t>
      </w:r>
      <w:bookmarkEnd w:id="18"/>
    </w:p>
    <w:p w14:paraId="5BEF6895">
      <w:pPr>
        <w:pStyle w:val="6"/>
        <w:bidi w:val="0"/>
        <w:ind w:left="0" w:leftChars="0" w:firstLine="0" w:firstLineChars="0"/>
        <w:rPr>
          <w:rFonts w:hint="eastAsia" w:ascii="微软雅黑" w:hAnsi="微软雅黑" w:eastAsia="微软雅黑" w:cs="微软雅黑"/>
          <w:lang w:val="en-US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1.成本明细 </w:t>
      </w:r>
    </w:p>
    <w:p w14:paraId="0140679E">
      <w:pPr>
        <w:pStyle w:val="6"/>
        <w:keepNext/>
        <w:widowControl/>
        <w:numPr>
          <w:ilvl w:val="0"/>
          <w:numId w:val="0"/>
        </w:numPr>
        <w:outlineLvl w:val="9"/>
        <w:rPr>
          <w:rFonts w:hint="eastAsia" w:ascii="微软雅黑" w:hAnsi="微软雅黑" w:eastAsia="微软雅黑" w:cs="微软雅黑"/>
          <w:b/>
          <w:highlight w:val="none"/>
        </w:rPr>
      </w:pPr>
      <w:r>
        <w:rPr>
          <w:rFonts w:hint="eastAsia" w:ascii="微软雅黑" w:hAnsi="微软雅黑" w:eastAsia="微软雅黑" w:cs="微软雅黑"/>
          <w:highlight w:val="none"/>
        </w:rPr>
        <w:t>直接成本明细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2AA4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28BC427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成本项目</w:t>
            </w:r>
          </w:p>
        </w:tc>
        <w:tc>
          <w:tcPr>
            <w:tcW w:w="2078" w:type="dxa"/>
            <w:shd w:val="clear" w:color="auto" w:fill="F2F2F2"/>
          </w:tcPr>
          <w:p w14:paraId="27B2F0A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金额（万元）</w:t>
            </w:r>
          </w:p>
        </w:tc>
        <w:tc>
          <w:tcPr>
            <w:tcW w:w="2078" w:type="dxa"/>
            <w:shd w:val="clear" w:color="auto" w:fill="F2F2F2"/>
          </w:tcPr>
          <w:p w14:paraId="522E19D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占收入比</w:t>
            </w:r>
          </w:p>
        </w:tc>
        <w:tc>
          <w:tcPr>
            <w:tcW w:w="2078" w:type="dxa"/>
            <w:shd w:val="clear" w:color="auto" w:fill="F2F2F2"/>
            <w:vAlign w:val="top"/>
          </w:tcPr>
          <w:p w14:paraId="1DEF517E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none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计算公式</w:t>
            </w:r>
          </w:p>
        </w:tc>
      </w:tr>
      <w:tr w14:paraId="3D145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398655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项目团队人力成本</w:t>
            </w:r>
          </w:p>
        </w:tc>
        <w:tc>
          <w:tcPr>
            <w:tcW w:w="2078" w:type="dxa"/>
          </w:tcPr>
          <w:p w14:paraId="4A4133B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200</w:t>
            </w:r>
          </w:p>
        </w:tc>
        <w:tc>
          <w:tcPr>
            <w:tcW w:w="2078" w:type="dxa"/>
          </w:tcPr>
          <w:p w14:paraId="3EFAF65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40%</w:t>
            </w:r>
          </w:p>
        </w:tc>
        <w:tc>
          <w:tcPr>
            <w:tcW w:w="2078" w:type="dxa"/>
            <w:shd w:val="clear" w:color="auto" w:fill="auto"/>
            <w:vAlign w:val="top"/>
          </w:tcPr>
          <w:p w14:paraId="24218570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none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500万 × 40%</w:t>
            </w:r>
          </w:p>
        </w:tc>
      </w:tr>
      <w:tr w14:paraId="7F193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A6B1A7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专用算法开发与数据采集</w:t>
            </w:r>
          </w:p>
        </w:tc>
        <w:tc>
          <w:tcPr>
            <w:tcW w:w="2078" w:type="dxa"/>
          </w:tcPr>
          <w:p w14:paraId="7BB436A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60</w:t>
            </w:r>
          </w:p>
        </w:tc>
        <w:tc>
          <w:tcPr>
            <w:tcW w:w="2078" w:type="dxa"/>
          </w:tcPr>
          <w:p w14:paraId="53DFCFE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12%</w:t>
            </w:r>
          </w:p>
        </w:tc>
        <w:tc>
          <w:tcPr>
            <w:tcW w:w="2078" w:type="dxa"/>
            <w:shd w:val="clear" w:color="auto" w:fill="auto"/>
            <w:vAlign w:val="top"/>
          </w:tcPr>
          <w:p w14:paraId="32C57A5E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none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500万 × 12%</w:t>
            </w:r>
          </w:p>
        </w:tc>
      </w:tr>
      <w:tr w14:paraId="1B293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93B5D1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差旅、现场实施等</w:t>
            </w:r>
          </w:p>
        </w:tc>
        <w:tc>
          <w:tcPr>
            <w:tcW w:w="2078" w:type="dxa"/>
          </w:tcPr>
          <w:p w14:paraId="306C1E5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40</w:t>
            </w:r>
          </w:p>
        </w:tc>
        <w:tc>
          <w:tcPr>
            <w:tcW w:w="2078" w:type="dxa"/>
          </w:tcPr>
          <w:p w14:paraId="35392A3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8%</w:t>
            </w:r>
          </w:p>
        </w:tc>
        <w:tc>
          <w:tcPr>
            <w:tcW w:w="2078" w:type="dxa"/>
            <w:shd w:val="clear" w:color="auto" w:fill="auto"/>
            <w:vAlign w:val="top"/>
          </w:tcPr>
          <w:p w14:paraId="279E8394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none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500万 × 8%</w:t>
            </w:r>
          </w:p>
        </w:tc>
      </w:tr>
      <w:tr w14:paraId="0A0E2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E6C1DA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直接成本合计</w:t>
            </w:r>
          </w:p>
        </w:tc>
        <w:tc>
          <w:tcPr>
            <w:tcW w:w="2078" w:type="dxa"/>
          </w:tcPr>
          <w:p w14:paraId="2A160F3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300</w:t>
            </w:r>
          </w:p>
        </w:tc>
        <w:tc>
          <w:tcPr>
            <w:tcW w:w="2078" w:type="dxa"/>
          </w:tcPr>
          <w:p w14:paraId="3FCA628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60%</w:t>
            </w:r>
          </w:p>
        </w:tc>
        <w:tc>
          <w:tcPr>
            <w:tcW w:w="2078" w:type="dxa"/>
            <w:shd w:val="clear" w:color="auto" w:fill="auto"/>
            <w:vAlign w:val="top"/>
          </w:tcPr>
          <w:p w14:paraId="378F4CB2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none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-</w:t>
            </w:r>
          </w:p>
        </w:tc>
      </w:tr>
    </w:tbl>
    <w:p w14:paraId="2623199F">
      <w:pPr>
        <w:pStyle w:val="6"/>
        <w:keepNext/>
        <w:widowControl/>
        <w:numPr>
          <w:ilvl w:val="0"/>
          <w:numId w:val="0"/>
        </w:numPr>
        <w:outlineLvl w:val="9"/>
        <w:rPr>
          <w:rFonts w:hint="eastAsia" w:ascii="微软雅黑" w:hAnsi="微软雅黑" w:eastAsia="微软雅黑" w:cs="微软雅黑"/>
          <w:b/>
          <w:highlight w:val="none"/>
        </w:rPr>
      </w:pP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highlight w:val="none"/>
        </w:rPr>
        <w:t>间接费用分摊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ADFC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2078" w:type="dxa"/>
            <w:shd w:val="clear" w:color="auto" w:fill="F2F2F2"/>
          </w:tcPr>
          <w:p w14:paraId="5692F06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费用项目</w:t>
            </w:r>
          </w:p>
        </w:tc>
        <w:tc>
          <w:tcPr>
            <w:tcW w:w="2078" w:type="dxa"/>
            <w:shd w:val="clear" w:color="auto" w:fill="F2F2F2"/>
          </w:tcPr>
          <w:p w14:paraId="79688A4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金额（万元）</w:t>
            </w:r>
          </w:p>
        </w:tc>
        <w:tc>
          <w:tcPr>
            <w:tcW w:w="2078" w:type="dxa"/>
            <w:shd w:val="clear" w:color="auto" w:fill="F2F2F2"/>
          </w:tcPr>
          <w:p w14:paraId="54C5AA2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占收入比</w:t>
            </w:r>
          </w:p>
        </w:tc>
        <w:tc>
          <w:tcPr>
            <w:tcW w:w="2078" w:type="dxa"/>
            <w:shd w:val="clear" w:color="auto" w:fill="F2F2F2"/>
            <w:vAlign w:val="top"/>
          </w:tcPr>
          <w:p w14:paraId="1C796832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none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计算公式</w:t>
            </w:r>
          </w:p>
        </w:tc>
      </w:tr>
      <w:tr w14:paraId="7E920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0E89DE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公司管理费用</w:t>
            </w:r>
          </w:p>
        </w:tc>
        <w:tc>
          <w:tcPr>
            <w:tcW w:w="2078" w:type="dxa"/>
          </w:tcPr>
          <w:p w14:paraId="7BAF4E8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50</w:t>
            </w:r>
          </w:p>
        </w:tc>
        <w:tc>
          <w:tcPr>
            <w:tcW w:w="2078" w:type="dxa"/>
          </w:tcPr>
          <w:p w14:paraId="383E0B8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10%</w:t>
            </w:r>
          </w:p>
        </w:tc>
        <w:tc>
          <w:tcPr>
            <w:tcW w:w="2078" w:type="dxa"/>
            <w:shd w:val="clear" w:color="auto" w:fill="auto"/>
            <w:vAlign w:val="top"/>
          </w:tcPr>
          <w:p w14:paraId="076BAAAE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none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500万 × 10%</w:t>
            </w:r>
          </w:p>
        </w:tc>
      </w:tr>
      <w:tr w14:paraId="5E4B5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BA98FB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销售费用（获客成本）</w:t>
            </w:r>
          </w:p>
        </w:tc>
        <w:tc>
          <w:tcPr>
            <w:tcW w:w="2078" w:type="dxa"/>
          </w:tcPr>
          <w:p w14:paraId="1F86C08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40</w:t>
            </w:r>
          </w:p>
        </w:tc>
        <w:tc>
          <w:tcPr>
            <w:tcW w:w="2078" w:type="dxa"/>
          </w:tcPr>
          <w:p w14:paraId="41274BC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8%</w:t>
            </w:r>
          </w:p>
        </w:tc>
        <w:tc>
          <w:tcPr>
            <w:tcW w:w="2078" w:type="dxa"/>
            <w:shd w:val="clear" w:color="auto" w:fill="auto"/>
            <w:vAlign w:val="top"/>
          </w:tcPr>
          <w:p w14:paraId="188908DF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none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500万 × 8%</w:t>
            </w:r>
          </w:p>
        </w:tc>
      </w:tr>
      <w:tr w14:paraId="45D42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1707E3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间接费用合计</w:t>
            </w:r>
          </w:p>
        </w:tc>
        <w:tc>
          <w:tcPr>
            <w:tcW w:w="2078" w:type="dxa"/>
          </w:tcPr>
          <w:p w14:paraId="6F7E8C4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90</w:t>
            </w:r>
          </w:p>
        </w:tc>
        <w:tc>
          <w:tcPr>
            <w:tcW w:w="2078" w:type="dxa"/>
          </w:tcPr>
          <w:p w14:paraId="7F1559F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18%</w:t>
            </w:r>
          </w:p>
        </w:tc>
        <w:tc>
          <w:tcPr>
            <w:tcW w:w="2078" w:type="dxa"/>
            <w:shd w:val="clear" w:color="auto" w:fill="auto"/>
            <w:vAlign w:val="top"/>
          </w:tcPr>
          <w:p w14:paraId="1B46694C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none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-</w:t>
            </w:r>
          </w:p>
        </w:tc>
      </w:tr>
    </w:tbl>
    <w:p w14:paraId="09D8DB25">
      <w:pPr>
        <w:pStyle w:val="6"/>
        <w:keepNext/>
        <w:widowControl/>
        <w:numPr>
          <w:ilvl w:val="0"/>
          <w:numId w:val="0"/>
        </w:numPr>
        <w:outlineLvl w:val="9"/>
        <w:rPr>
          <w:rFonts w:hint="eastAsia" w:ascii="微软雅黑" w:hAnsi="微软雅黑" w:eastAsia="微软雅黑" w:cs="微软雅黑"/>
          <w:b/>
          <w:highlight w:val="none"/>
        </w:rPr>
      </w:pP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highlight w:val="none"/>
        </w:rPr>
        <w:t>利润计算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BA5A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67D6872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2FA227D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金额（万元）</w:t>
            </w:r>
          </w:p>
        </w:tc>
      </w:tr>
      <w:tr w14:paraId="6658E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0AFEA7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营业收入</w:t>
            </w:r>
          </w:p>
        </w:tc>
        <w:tc>
          <w:tcPr>
            <w:tcW w:w="4156" w:type="dxa"/>
          </w:tcPr>
          <w:p w14:paraId="5E9C722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500</w:t>
            </w:r>
          </w:p>
        </w:tc>
      </w:tr>
      <w:tr w14:paraId="089CE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8D03C6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直接成本</w:t>
            </w:r>
          </w:p>
        </w:tc>
        <w:tc>
          <w:tcPr>
            <w:tcW w:w="4156" w:type="dxa"/>
          </w:tcPr>
          <w:p w14:paraId="6F07CB4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300</w:t>
            </w:r>
          </w:p>
        </w:tc>
      </w:tr>
      <w:tr w14:paraId="494B8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42C99D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间接费用</w:t>
            </w:r>
          </w:p>
        </w:tc>
        <w:tc>
          <w:tcPr>
            <w:tcW w:w="4156" w:type="dxa"/>
          </w:tcPr>
          <w:p w14:paraId="329C4D5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90</w:t>
            </w:r>
          </w:p>
        </w:tc>
      </w:tr>
      <w:tr w14:paraId="27630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41D27A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总成本</w:t>
            </w:r>
          </w:p>
        </w:tc>
        <w:tc>
          <w:tcPr>
            <w:tcW w:w="4156" w:type="dxa"/>
          </w:tcPr>
          <w:p w14:paraId="5BC7159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390</w:t>
            </w:r>
          </w:p>
        </w:tc>
      </w:tr>
      <w:tr w14:paraId="0D55B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8233B3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毛利率</w:t>
            </w:r>
          </w:p>
        </w:tc>
        <w:tc>
          <w:tcPr>
            <w:tcW w:w="4156" w:type="dxa"/>
          </w:tcPr>
          <w:p w14:paraId="5A1FAB1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22%</w:t>
            </w:r>
          </w:p>
        </w:tc>
      </w:tr>
      <w:tr w14:paraId="3A6C7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829FD0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税前利润</w:t>
            </w:r>
          </w:p>
        </w:tc>
        <w:tc>
          <w:tcPr>
            <w:tcW w:w="4156" w:type="dxa"/>
          </w:tcPr>
          <w:p w14:paraId="11F68B0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110</w:t>
            </w:r>
          </w:p>
        </w:tc>
      </w:tr>
      <w:tr w14:paraId="5C190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4C15F8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所得税（25%）</w:t>
            </w:r>
          </w:p>
        </w:tc>
        <w:tc>
          <w:tcPr>
            <w:tcW w:w="4156" w:type="dxa"/>
          </w:tcPr>
          <w:p w14:paraId="26D4FB0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27.5</w:t>
            </w:r>
          </w:p>
        </w:tc>
      </w:tr>
      <w:tr w14:paraId="14D1E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151CCF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税后净利润</w:t>
            </w:r>
          </w:p>
        </w:tc>
        <w:tc>
          <w:tcPr>
            <w:tcW w:w="4156" w:type="dxa"/>
          </w:tcPr>
          <w:p w14:paraId="18DF39D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82.5</w:t>
            </w:r>
          </w:p>
        </w:tc>
      </w:tr>
    </w:tbl>
    <w:p w14:paraId="33973B44">
      <w:pPr>
        <w:pStyle w:val="19"/>
        <w:widowControl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结论：该500万项目的税后净利润为82.5万元，净利润率为16.5%。</w:t>
      </w:r>
    </w:p>
    <w:p w14:paraId="1CC32278">
      <w:pPr>
        <w:pStyle w:val="6"/>
        <w:bidi w:val="0"/>
        <w:ind w:left="0" w:leftChars="0" w:firstLine="0" w:firstLineChars="0"/>
        <w:rPr>
          <w:rFonts w:hint="eastAsia" w:ascii="微软雅黑" w:hAnsi="微软雅黑" w:eastAsia="微软雅黑" w:cs="微软雅黑"/>
          <w:b/>
          <w:highlight w:val="none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highlight w:val="none"/>
        </w:rPr>
        <w:t>季度现金流分析（40%-30%-30%里程碑付款）</w:t>
      </w:r>
    </w:p>
    <w:p w14:paraId="482DE78D">
      <w:pPr>
        <w:pStyle w:val="6"/>
        <w:keepNext/>
        <w:widowControl/>
        <w:numPr>
          <w:ilvl w:val="0"/>
          <w:numId w:val="0"/>
        </w:numPr>
        <w:outlineLvl w:val="9"/>
        <w:rPr>
          <w:rFonts w:hint="eastAsia" w:ascii="微软雅黑" w:hAnsi="微软雅黑" w:eastAsia="微软雅黑" w:cs="微软雅黑"/>
          <w:b/>
          <w:highlight w:val="none"/>
        </w:rPr>
      </w:pPr>
      <w:r>
        <w:rPr>
          <w:rFonts w:hint="eastAsia" w:ascii="微软雅黑" w:hAnsi="微软雅黑" w:eastAsia="微软雅黑" w:cs="微软雅黑"/>
          <w:highlight w:val="none"/>
        </w:rPr>
        <w:t>现金流时间线假设</w:t>
      </w:r>
    </w:p>
    <w:p w14:paraId="6C2F4549">
      <w:pPr>
        <w:pStyle w:val="19"/>
        <w:widowControl/>
        <w:numPr>
          <w:numId w:val="0"/>
        </w:numPr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项目周期8个月，均匀发生成本；</w:t>
      </w:r>
    </w:p>
    <w:p w14:paraId="1E2789B8">
      <w:pPr>
        <w:pStyle w:val="19"/>
        <w:widowControl/>
        <w:numPr>
          <w:numId w:val="0"/>
        </w:numPr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 xml:space="preserve">月均成本 = 390万 ÷ 8 = </w:t>
      </w: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48.75万元/月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；</w:t>
      </w:r>
    </w:p>
    <w:p w14:paraId="43BFD164">
      <w:pPr>
        <w:pStyle w:val="19"/>
        <w:widowControl/>
        <w:numPr>
          <w:numId w:val="0"/>
        </w:numPr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里程碑付款节点：签约40%、中期30%、验收30%。</w:t>
      </w:r>
    </w:p>
    <w:p w14:paraId="03DFE873">
      <w:pPr>
        <w:pStyle w:val="6"/>
        <w:keepNext/>
        <w:widowControl/>
        <w:numPr>
          <w:ilvl w:val="0"/>
          <w:numId w:val="0"/>
        </w:numPr>
        <w:outlineLvl w:val="9"/>
        <w:rPr>
          <w:rFonts w:hint="eastAsia" w:ascii="微软雅黑" w:hAnsi="微软雅黑" w:eastAsia="微软雅黑" w:cs="微软雅黑"/>
          <w:b/>
          <w:highlight w:val="none"/>
        </w:rPr>
      </w:pPr>
      <w:r>
        <w:rPr>
          <w:rFonts w:hint="eastAsia" w:ascii="微软雅黑" w:hAnsi="微软雅黑" w:eastAsia="微软雅黑" w:cs="微软雅黑"/>
          <w:highlight w:val="none"/>
        </w:rPr>
        <w:t>季度现金流测算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518"/>
        <w:gridCol w:w="1385"/>
        <w:gridCol w:w="1385"/>
      </w:tblGrid>
      <w:tr w14:paraId="792BB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85" w:type="dxa"/>
            <w:shd w:val="clear" w:color="auto" w:fill="F2F2F2"/>
          </w:tcPr>
          <w:p w14:paraId="6E92B04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期间</w:t>
            </w:r>
          </w:p>
        </w:tc>
        <w:tc>
          <w:tcPr>
            <w:tcW w:w="1385" w:type="dxa"/>
            <w:shd w:val="clear" w:color="auto" w:fill="F2F2F2"/>
          </w:tcPr>
          <w:p w14:paraId="0FE07D0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时间范围</w:t>
            </w:r>
          </w:p>
        </w:tc>
        <w:tc>
          <w:tcPr>
            <w:tcW w:w="1385" w:type="dxa"/>
            <w:shd w:val="clear" w:color="auto" w:fill="F2F2F2"/>
          </w:tcPr>
          <w:p w14:paraId="7B4E229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收入（万元）</w:t>
            </w:r>
          </w:p>
        </w:tc>
        <w:tc>
          <w:tcPr>
            <w:tcW w:w="1385" w:type="dxa"/>
            <w:shd w:val="clear" w:color="auto" w:fill="F2F2F2"/>
          </w:tcPr>
          <w:p w14:paraId="64ED2EF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成本（万元）</w:t>
            </w:r>
          </w:p>
        </w:tc>
        <w:tc>
          <w:tcPr>
            <w:tcW w:w="1385" w:type="dxa"/>
            <w:shd w:val="clear" w:color="auto" w:fill="F2F2F2"/>
          </w:tcPr>
          <w:p w14:paraId="7FC3906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净现金流（万元）</w:t>
            </w:r>
          </w:p>
        </w:tc>
        <w:tc>
          <w:tcPr>
            <w:tcW w:w="1385" w:type="dxa"/>
            <w:shd w:val="clear" w:color="auto" w:fill="F2F2F2"/>
          </w:tcPr>
          <w:p w14:paraId="5548222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累计现金流（万元）</w:t>
            </w:r>
          </w:p>
        </w:tc>
      </w:tr>
      <w:tr w14:paraId="71F1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101D620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Q1</w:t>
            </w:r>
          </w:p>
        </w:tc>
        <w:tc>
          <w:tcPr>
            <w:tcW w:w="1385" w:type="dxa"/>
          </w:tcPr>
          <w:p w14:paraId="2F14247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第1-2月</w:t>
            </w:r>
          </w:p>
        </w:tc>
        <w:tc>
          <w:tcPr>
            <w:tcW w:w="1385" w:type="dxa"/>
          </w:tcPr>
          <w:p w14:paraId="4AE2EE1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200（签约款）</w:t>
            </w:r>
          </w:p>
        </w:tc>
        <w:tc>
          <w:tcPr>
            <w:tcW w:w="1385" w:type="dxa"/>
          </w:tcPr>
          <w:p w14:paraId="7349044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97.5（48.75×2）</w:t>
            </w:r>
          </w:p>
        </w:tc>
        <w:tc>
          <w:tcPr>
            <w:tcW w:w="1385" w:type="dxa"/>
          </w:tcPr>
          <w:p w14:paraId="0F8188D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+102.5</w:t>
            </w:r>
          </w:p>
        </w:tc>
        <w:tc>
          <w:tcPr>
            <w:tcW w:w="1385" w:type="dxa"/>
          </w:tcPr>
          <w:p w14:paraId="6AA7FD4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+102.5</w:t>
            </w:r>
          </w:p>
        </w:tc>
      </w:tr>
      <w:tr w14:paraId="6485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6EB36BC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Q2</w:t>
            </w:r>
          </w:p>
        </w:tc>
        <w:tc>
          <w:tcPr>
            <w:tcW w:w="1385" w:type="dxa"/>
          </w:tcPr>
          <w:p w14:paraId="0FB9DE8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第3-4月</w:t>
            </w:r>
          </w:p>
        </w:tc>
        <w:tc>
          <w:tcPr>
            <w:tcW w:w="1385" w:type="dxa"/>
          </w:tcPr>
          <w:p w14:paraId="6F65D49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150（中期款）</w:t>
            </w:r>
          </w:p>
        </w:tc>
        <w:tc>
          <w:tcPr>
            <w:tcW w:w="1385" w:type="dxa"/>
          </w:tcPr>
          <w:p w14:paraId="4A87B31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97.5（48.75×2）</w:t>
            </w:r>
          </w:p>
        </w:tc>
        <w:tc>
          <w:tcPr>
            <w:tcW w:w="1385" w:type="dxa"/>
          </w:tcPr>
          <w:p w14:paraId="516607A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+52.5</w:t>
            </w:r>
          </w:p>
        </w:tc>
        <w:tc>
          <w:tcPr>
            <w:tcW w:w="1385" w:type="dxa"/>
          </w:tcPr>
          <w:p w14:paraId="10BC9AC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+155.0</w:t>
            </w:r>
          </w:p>
        </w:tc>
      </w:tr>
      <w:tr w14:paraId="1D86D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24C4547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Q3</w:t>
            </w:r>
          </w:p>
        </w:tc>
        <w:tc>
          <w:tcPr>
            <w:tcW w:w="1385" w:type="dxa"/>
          </w:tcPr>
          <w:p w14:paraId="137D1FD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第5-8月</w:t>
            </w:r>
          </w:p>
        </w:tc>
        <w:tc>
          <w:tcPr>
            <w:tcW w:w="1385" w:type="dxa"/>
          </w:tcPr>
          <w:p w14:paraId="6BEB0AC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150（验收款）</w:t>
            </w:r>
          </w:p>
        </w:tc>
        <w:tc>
          <w:tcPr>
            <w:tcW w:w="1385" w:type="dxa"/>
          </w:tcPr>
          <w:p w14:paraId="6A9F744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195.0（48.75×4）</w:t>
            </w:r>
          </w:p>
        </w:tc>
        <w:tc>
          <w:tcPr>
            <w:tcW w:w="1385" w:type="dxa"/>
          </w:tcPr>
          <w:p w14:paraId="72BB832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-45.0</w:t>
            </w:r>
          </w:p>
        </w:tc>
        <w:tc>
          <w:tcPr>
            <w:tcW w:w="1385" w:type="dxa"/>
          </w:tcPr>
          <w:p w14:paraId="007DC94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+110.0</w:t>
            </w:r>
          </w:p>
        </w:tc>
      </w:tr>
      <w:tr w14:paraId="7489C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053AD0D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合计</w:t>
            </w:r>
          </w:p>
        </w:tc>
        <w:tc>
          <w:tcPr>
            <w:tcW w:w="1385" w:type="dxa"/>
          </w:tcPr>
          <w:p w14:paraId="2637EE7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-</w:t>
            </w:r>
          </w:p>
        </w:tc>
        <w:tc>
          <w:tcPr>
            <w:tcW w:w="1385" w:type="dxa"/>
          </w:tcPr>
          <w:p w14:paraId="0504A5A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500</w:t>
            </w:r>
          </w:p>
        </w:tc>
        <w:tc>
          <w:tcPr>
            <w:tcW w:w="1385" w:type="dxa"/>
          </w:tcPr>
          <w:p w14:paraId="3A8051B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390</w:t>
            </w:r>
          </w:p>
        </w:tc>
        <w:tc>
          <w:tcPr>
            <w:tcW w:w="1385" w:type="dxa"/>
          </w:tcPr>
          <w:p w14:paraId="514716E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+110</w:t>
            </w:r>
          </w:p>
        </w:tc>
        <w:tc>
          <w:tcPr>
            <w:tcW w:w="1385" w:type="dxa"/>
          </w:tcPr>
          <w:p w14:paraId="1D134BD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-</w:t>
            </w:r>
          </w:p>
        </w:tc>
      </w:tr>
    </w:tbl>
    <w:p w14:paraId="239EC3D6">
      <w:pPr>
        <w:pStyle w:val="19"/>
        <w:widowControl/>
        <w:rPr>
          <w:rFonts w:hint="eastAsia" w:ascii="微软雅黑" w:hAnsi="微软雅黑" w:eastAsia="微软雅黑" w:cs="微软雅黑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注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：税前利润110万 = 累计净现金流110万（因成本与收入时间匹配）。</w:t>
      </w:r>
    </w:p>
    <w:p w14:paraId="19A03CDE">
      <w:pPr>
        <w:pStyle w:val="6"/>
        <w:keepNext/>
        <w:widowControl/>
        <w:numPr>
          <w:ilvl w:val="0"/>
          <w:numId w:val="0"/>
        </w:numPr>
        <w:outlineLvl w:val="9"/>
        <w:rPr>
          <w:rFonts w:hint="eastAsia" w:ascii="微软雅黑" w:hAnsi="微软雅黑" w:eastAsia="微软雅黑" w:cs="微软雅黑"/>
          <w:b/>
          <w:highlight w:val="none"/>
        </w:rPr>
      </w:pPr>
      <w:r>
        <w:rPr>
          <w:rFonts w:hint="eastAsia" w:ascii="微软雅黑" w:hAnsi="微软雅黑" w:eastAsia="微软雅黑" w:cs="微软雅黑"/>
          <w:highlight w:val="none"/>
        </w:rPr>
        <w:t>现金流特征分析</w:t>
      </w:r>
    </w:p>
    <w:p w14:paraId="1AA09358">
      <w:pPr>
        <w:pStyle w:val="19"/>
        <w:widowControl/>
        <w:numPr>
          <w:numId w:val="0"/>
        </w:numPr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Q1-Q2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：项目前期收款充足，现金流为正，公司财务压力较小；</w:t>
      </w:r>
    </w:p>
    <w:p w14:paraId="4974D723">
      <w:pPr>
        <w:pStyle w:val="19"/>
        <w:widowControl/>
        <w:numPr>
          <w:numId w:val="0"/>
        </w:numPr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Q3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：项目收尾阶段需集中投入（约4个月成本），但无新收款流入，形成约45万的负向现金流缺口。</w:t>
      </w:r>
    </w:p>
    <w:p w14:paraId="629D31BF">
      <w:pPr>
        <w:pStyle w:val="6"/>
        <w:keepNext/>
        <w:widowControl/>
        <w:numPr>
          <w:ilvl w:val="0"/>
          <w:numId w:val="0"/>
        </w:numPr>
        <w:jc w:val="left"/>
        <w:outlineLvl w:val="9"/>
        <w:rPr>
          <w:rFonts w:hint="eastAsia" w:ascii="微软雅黑" w:hAnsi="微软雅黑" w:eastAsia="微软雅黑" w:cs="微软雅黑"/>
          <w:b/>
          <w:highlight w:val="none"/>
        </w:rPr>
      </w:pPr>
      <w:r>
        <w:rPr>
          <w:rFonts w:hint="eastAsia" w:ascii="微软雅黑" w:hAnsi="微软雅黑" w:eastAsia="微软雅黑" w:cs="微软雅黑"/>
          <w:highlight w:val="none"/>
        </w:rPr>
        <w:t>缓释机制建议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4650"/>
        <w:gridCol w:w="1928"/>
      </w:tblGrid>
      <w:tr w14:paraId="5DAEE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shd w:val="clear" w:color="auto" w:fill="F2F2F2"/>
          </w:tcPr>
          <w:p w14:paraId="2787F76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缓释措施</w:t>
            </w:r>
          </w:p>
        </w:tc>
        <w:tc>
          <w:tcPr>
            <w:tcW w:w="4650" w:type="dxa"/>
            <w:shd w:val="clear" w:color="auto" w:fill="F2F2F2"/>
          </w:tcPr>
          <w:p w14:paraId="30186C3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具体方案</w:t>
            </w:r>
          </w:p>
        </w:tc>
        <w:tc>
          <w:tcPr>
            <w:tcW w:w="1928" w:type="dxa"/>
            <w:shd w:val="clear" w:color="auto" w:fill="F2F2F2"/>
          </w:tcPr>
          <w:p w14:paraId="39FA709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效果</w:t>
            </w:r>
          </w:p>
        </w:tc>
      </w:tr>
      <w:tr w14:paraId="29A48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</w:tcPr>
          <w:p w14:paraId="48F3EC6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付款条款优化</w:t>
            </w:r>
          </w:p>
        </w:tc>
        <w:tc>
          <w:tcPr>
            <w:tcW w:w="4650" w:type="dxa"/>
          </w:tcPr>
          <w:p w14:paraId="6AA0965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争取将"40%-30%-30%"调整为"40%-40%-20%"或增加预付款比例</w:t>
            </w:r>
          </w:p>
        </w:tc>
        <w:tc>
          <w:tcPr>
            <w:tcW w:w="1928" w:type="dxa"/>
          </w:tcPr>
          <w:p w14:paraId="7969D9D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降低尾款风险</w:t>
            </w:r>
          </w:p>
        </w:tc>
      </w:tr>
      <w:tr w14:paraId="421F9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</w:tcPr>
          <w:p w14:paraId="3B86FF9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项目组合管理</w:t>
            </w:r>
          </w:p>
        </w:tc>
        <w:tc>
          <w:tcPr>
            <w:tcW w:w="4650" w:type="dxa"/>
          </w:tcPr>
          <w:p w14:paraId="2B10352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确保Q2/Q3有新项目签约，形成收入接力</w:t>
            </w:r>
          </w:p>
        </w:tc>
        <w:tc>
          <w:tcPr>
            <w:tcW w:w="1928" w:type="dxa"/>
          </w:tcPr>
          <w:p w14:paraId="3B7D14F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平滑现金流</w:t>
            </w:r>
          </w:p>
        </w:tc>
      </w:tr>
      <w:tr w14:paraId="6D092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</w:tcPr>
          <w:p w14:paraId="7CDDFC1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现金储备</w:t>
            </w:r>
          </w:p>
        </w:tc>
        <w:tc>
          <w:tcPr>
            <w:tcW w:w="4650" w:type="dxa"/>
          </w:tcPr>
          <w:p w14:paraId="0D91957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保持至少60万流动资金储备</w:t>
            </w:r>
          </w:p>
        </w:tc>
        <w:tc>
          <w:tcPr>
            <w:tcW w:w="1928" w:type="dxa"/>
          </w:tcPr>
          <w:p w14:paraId="7490D33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应对缺口</w:t>
            </w:r>
          </w:p>
        </w:tc>
      </w:tr>
      <w:tr w14:paraId="4C2C2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</w:tcPr>
          <w:p w14:paraId="7E18F3F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客户信用评估</w:t>
            </w:r>
          </w:p>
        </w:tc>
        <w:tc>
          <w:tcPr>
            <w:tcW w:w="4650" w:type="dxa"/>
          </w:tcPr>
          <w:p w14:paraId="653DFE1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项目签约前评估客户付款能力</w:t>
            </w:r>
          </w:p>
        </w:tc>
        <w:tc>
          <w:tcPr>
            <w:tcW w:w="1928" w:type="dxa"/>
          </w:tcPr>
          <w:p w14:paraId="1E4A918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预防坏账</w:t>
            </w:r>
          </w:p>
        </w:tc>
      </w:tr>
      <w:tr w14:paraId="3482F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</w:tcPr>
          <w:p w14:paraId="7AF90F3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阶段性对账</w:t>
            </w:r>
          </w:p>
        </w:tc>
        <w:tc>
          <w:tcPr>
            <w:tcW w:w="4650" w:type="dxa"/>
          </w:tcPr>
          <w:p w14:paraId="019ED65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每月底与客户核对工作量，减少验收争议</w:t>
            </w:r>
          </w:p>
        </w:tc>
        <w:tc>
          <w:tcPr>
            <w:tcW w:w="1928" w:type="dxa"/>
          </w:tcPr>
          <w:p w14:paraId="05AF833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降低纠纷</w:t>
            </w:r>
          </w:p>
        </w:tc>
      </w:tr>
    </w:tbl>
    <w:p w14:paraId="076BEDF4">
      <w:pPr>
        <w:pStyle w:val="5"/>
        <w:keepNext/>
        <w:numPr>
          <w:ilvl w:val="0"/>
          <w:numId w:val="0"/>
        </w:numPr>
        <w:topLinePunct w:val="0"/>
        <w:ind w:leftChars="0"/>
        <w:rPr>
          <w:rFonts w:hint="eastAsia" w:ascii="微软雅黑" w:hAnsi="微软雅黑" w:eastAsia="微软雅黑" w:cs="微软雅黑"/>
          <w:highlight w:val="none"/>
        </w:rPr>
      </w:pPr>
      <w:bookmarkStart w:id="19" w:name="_Toc21264"/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>、</w:t>
      </w:r>
      <w:r>
        <w:rPr>
          <w:rFonts w:hint="eastAsia" w:ascii="微软雅黑" w:hAnsi="微软雅黑" w:eastAsia="微软雅黑" w:cs="微软雅黑"/>
          <w:highlight w:val="none"/>
        </w:rPr>
        <w:t>EMC模式</w:t>
      </w:r>
      <w:bookmarkEnd w:id="19"/>
      <w:r>
        <w:rPr>
          <w:rFonts w:hint="eastAsia" w:ascii="微软雅黑" w:hAnsi="微软雅黑" w:eastAsia="微软雅黑" w:cs="微软雅黑"/>
          <w:highlight w:val="none"/>
        </w:rPr>
        <w:t xml:space="preserve"> </w:t>
      </w:r>
    </w:p>
    <w:p w14:paraId="3E63CB17">
      <w:pPr>
        <w:pStyle w:val="6"/>
        <w:bidi w:val="0"/>
        <w:ind w:left="0" w:leftChars="0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1.年节能收益推算</w:t>
      </w:r>
    </w:p>
    <w:tbl>
      <w:tblPr>
        <w:tblW w:w="831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7"/>
        <w:gridCol w:w="1441"/>
        <w:gridCol w:w="3824"/>
      </w:tblGrid>
      <w:tr w14:paraId="3BEDD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047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A8A8A8" w:themeColor="dark1" w:themeTint="56" w:sz="6" w:space="0"/>
              <w:right w:val="single" w:color="FFFFFF" w:sz="6" w:space="0"/>
            </w:tcBorders>
            <w:shd w:val="clear" w:color="auto" w:fill="CCCCCC" w:themeFill="dark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A81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i w:val="0"/>
                <w:color w:val="08090C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8090C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计算步骤</w:t>
            </w:r>
          </w:p>
        </w:tc>
        <w:tc>
          <w:tcPr>
            <w:tcW w:w="1441" w:type="dxa"/>
            <w:tcBorders>
              <w:top w:val="single" w:color="000000" w:themeColor="dark1" w:sz="6" w:space="0"/>
              <w:left w:val="single" w:color="FFFFFF" w:sz="6" w:space="0"/>
              <w:bottom w:val="single" w:color="A8A8A8" w:themeColor="dark1" w:themeTint="56" w:sz="6" w:space="0"/>
              <w:right w:val="single" w:color="FFFFFF" w:sz="6" w:space="0"/>
            </w:tcBorders>
            <w:shd w:val="clear" w:color="auto" w:fill="CCCCCC" w:themeFill="dark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FE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i w:val="0"/>
                <w:color w:val="08090C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8090C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结果</w:t>
            </w:r>
          </w:p>
        </w:tc>
        <w:tc>
          <w:tcPr>
            <w:tcW w:w="3824" w:type="dxa"/>
            <w:tcBorders>
              <w:top w:val="single" w:color="000000" w:themeColor="dark1" w:sz="6" w:space="0"/>
              <w:left w:val="single" w:color="FFFFFF" w:sz="6" w:space="0"/>
              <w:bottom w:val="single" w:color="A8A8A8" w:themeColor="dark1" w:themeTint="56" w:sz="6" w:space="0"/>
              <w:right w:val="single" w:color="000000" w:themeColor="dark1" w:sz="6" w:space="0"/>
            </w:tcBorders>
            <w:shd w:val="clear" w:color="auto" w:fill="CCCCCC" w:themeFill="dark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13C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i w:val="0"/>
                <w:color w:val="08090C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8090C"/>
                <w:kern w:val="0"/>
                <w:sz w:val="20"/>
                <w:szCs w:val="20"/>
                <w:lang w:val="en-US" w:eastAsia="zh-CN" w:bidi="ar"/>
              </w:rPr>
              <w:t>计算逻辑</w:t>
            </w:r>
          </w:p>
        </w:tc>
      </w:tr>
      <w:tr w14:paraId="157B0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47" w:type="dxa"/>
            <w:tcBorders>
              <w:top w:val="single" w:color="A8A8A8" w:themeColor="dark1" w:themeTint="56" w:sz="6" w:space="0"/>
              <w:left w:val="single" w:color="000000" w:themeColor="dark1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350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1. 确认客户年分享收益</w:t>
            </w:r>
          </w:p>
        </w:tc>
        <w:tc>
          <w:tcPr>
            <w:tcW w:w="1441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1E2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84万元/年</w:t>
            </w:r>
          </w:p>
        </w:tc>
        <w:tc>
          <w:tcPr>
            <w:tcW w:w="3824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F85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lang w:val="en-US" w:eastAsia="zh-CN" w:bidi="ar"/>
              </w:rPr>
              <w:t>案例附件3直接给出</w:t>
            </w:r>
          </w:p>
        </w:tc>
      </w:tr>
      <w:tr w14:paraId="3F49D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47" w:type="dxa"/>
            <w:tcBorders>
              <w:top w:val="single" w:color="A8A8A8" w:themeColor="dark1" w:themeTint="56" w:sz="6" w:space="0"/>
              <w:left w:val="single" w:color="000000" w:themeColor="dark1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F0B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2. 确认客户分享比例</w:t>
            </w:r>
          </w:p>
        </w:tc>
        <w:tc>
          <w:tcPr>
            <w:tcW w:w="1441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61F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30%</w:t>
            </w:r>
          </w:p>
        </w:tc>
        <w:tc>
          <w:tcPr>
            <w:tcW w:w="3824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9EA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lang w:val="en-US" w:eastAsia="zh-CN" w:bidi="ar"/>
              </w:rPr>
              <w:t>案例附件3直接给出</w:t>
            </w:r>
          </w:p>
        </w:tc>
      </w:tr>
      <w:tr w14:paraId="04A1F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47" w:type="dxa"/>
            <w:tcBorders>
              <w:top w:val="single" w:color="A8A8A8" w:themeColor="dark1" w:themeTint="56" w:sz="6" w:space="0"/>
              <w:left w:val="single" w:color="000000" w:themeColor="dark1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094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3. 反推年节能收益</w:t>
            </w:r>
          </w:p>
        </w:tc>
        <w:tc>
          <w:tcPr>
            <w:tcW w:w="1441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FCB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280万元</w:t>
            </w:r>
          </w:p>
        </w:tc>
        <w:tc>
          <w:tcPr>
            <w:tcW w:w="3824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8E6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lang w:val="en-US" w:eastAsia="zh-CN" w:bidi="ar"/>
              </w:rPr>
              <w:t>84万元 / 30% = 280万元/年</w:t>
            </w:r>
          </w:p>
        </w:tc>
      </w:tr>
      <w:tr w14:paraId="6E6CD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47" w:type="dxa"/>
            <w:tcBorders>
              <w:top w:val="single" w:color="A8A8A8" w:themeColor="dark1" w:themeTint="56" w:sz="6" w:space="0"/>
              <w:left w:val="single" w:color="000000" w:themeColor="dark1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158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4. 确认绿碳智汇分享比例</w:t>
            </w:r>
          </w:p>
        </w:tc>
        <w:tc>
          <w:tcPr>
            <w:tcW w:w="1441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433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70%</w:t>
            </w:r>
          </w:p>
        </w:tc>
        <w:tc>
          <w:tcPr>
            <w:tcW w:w="3824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5CA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lang w:val="en-US" w:eastAsia="zh-CN" w:bidi="ar"/>
              </w:rPr>
              <w:t>100% - 30% = 70%</w:t>
            </w:r>
          </w:p>
        </w:tc>
      </w:tr>
      <w:tr w14:paraId="3B5DF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47" w:type="dxa"/>
            <w:tcBorders>
              <w:top w:val="single" w:color="A8A8A8" w:themeColor="dark1" w:themeTint="56" w:sz="6" w:space="0"/>
              <w:left w:val="single" w:color="000000" w:themeColor="dark1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3F5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5. 计算绿碳智汇年收益</w:t>
            </w:r>
          </w:p>
        </w:tc>
        <w:tc>
          <w:tcPr>
            <w:tcW w:w="1441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BDE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196万元</w:t>
            </w:r>
          </w:p>
        </w:tc>
        <w:tc>
          <w:tcPr>
            <w:tcW w:w="3824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F77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lang w:val="en-US" w:eastAsia="zh-CN" w:bidi="ar"/>
              </w:rPr>
              <w:t>280万元 × 70% = 196万元/年</w:t>
            </w:r>
          </w:p>
        </w:tc>
      </w:tr>
      <w:tr w14:paraId="73A05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47" w:type="dxa"/>
            <w:tcBorders>
              <w:top w:val="single" w:color="A8A8A8" w:themeColor="dark1" w:themeTint="56" w:sz="6" w:space="0"/>
              <w:left w:val="single" w:color="000000" w:themeColor="dark1" w:sz="6" w:space="0"/>
              <w:bottom w:val="single" w:color="000000" w:themeColor="dark1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93B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6. 计算6年累计收益</w:t>
            </w:r>
          </w:p>
        </w:tc>
        <w:tc>
          <w:tcPr>
            <w:tcW w:w="1441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000000" w:themeColor="dark1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3E1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1176万元</w:t>
            </w:r>
          </w:p>
        </w:tc>
        <w:tc>
          <w:tcPr>
            <w:tcW w:w="3824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797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lang w:val="en-US" w:eastAsia="zh-CN" w:bidi="ar"/>
              </w:rPr>
              <w:t>196万元 × 6年 = 1176万元</w:t>
            </w:r>
          </w:p>
        </w:tc>
      </w:tr>
    </w:tbl>
    <w:p w14:paraId="5F853F82">
      <w:pPr>
        <w:pStyle w:val="6"/>
        <w:bidi w:val="0"/>
        <w:ind w:left="0" w:leftChars="0" w:firstLine="0" w:firstLine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lang w:eastAsia="zh-CN"/>
        </w:rPr>
        <w:t>EMC模式现金流分析</w:t>
      </w:r>
    </w:p>
    <w:tbl>
      <w:tblPr>
        <w:tblW w:w="831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7"/>
        <w:gridCol w:w="1229"/>
        <w:gridCol w:w="1596"/>
        <w:gridCol w:w="1301"/>
        <w:gridCol w:w="2339"/>
      </w:tblGrid>
      <w:tr w14:paraId="2C834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48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A8A8A8" w:themeColor="dark1" w:themeTint="56" w:sz="6" w:space="0"/>
              <w:right w:val="single" w:color="FFFFFF" w:sz="6" w:space="0"/>
            </w:tcBorders>
            <w:shd w:val="clear" w:color="auto" w:fill="CCCCCC" w:themeFill="dark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274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i w:val="0"/>
                <w:color w:val="08090C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8090C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1229" w:type="dxa"/>
            <w:tcBorders>
              <w:top w:val="single" w:color="000000" w:themeColor="dark1" w:sz="6" w:space="0"/>
              <w:left w:val="single" w:color="FFFFFF" w:sz="6" w:space="0"/>
              <w:bottom w:val="single" w:color="A8A8A8" w:themeColor="dark1" w:themeTint="56" w:sz="6" w:space="0"/>
              <w:right w:val="single" w:color="FFFFFF" w:sz="6" w:space="0"/>
            </w:tcBorders>
            <w:shd w:val="clear" w:color="auto" w:fill="CCCCCC" w:themeFill="dark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E32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i w:val="0"/>
                <w:color w:val="08090C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8090C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投资</w:t>
            </w:r>
          </w:p>
        </w:tc>
        <w:tc>
          <w:tcPr>
            <w:tcW w:w="1596" w:type="dxa"/>
            <w:tcBorders>
              <w:top w:val="single" w:color="000000" w:themeColor="dark1" w:sz="6" w:space="0"/>
              <w:left w:val="single" w:color="FFFFFF" w:sz="6" w:space="0"/>
              <w:bottom w:val="single" w:color="A8A8A8" w:themeColor="dark1" w:themeTint="56" w:sz="6" w:space="0"/>
              <w:right w:val="single" w:color="FFFFFF" w:sz="6" w:space="0"/>
            </w:tcBorders>
            <w:shd w:val="clear" w:color="auto" w:fill="CCCCCC" w:themeFill="dark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2DE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i w:val="0"/>
                <w:color w:val="08090C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8090C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节能收益分成</w:t>
            </w:r>
          </w:p>
        </w:tc>
        <w:tc>
          <w:tcPr>
            <w:tcW w:w="1301" w:type="dxa"/>
            <w:tcBorders>
              <w:top w:val="single" w:color="000000" w:themeColor="dark1" w:sz="6" w:space="0"/>
              <w:left w:val="single" w:color="FFFFFF" w:sz="6" w:space="0"/>
              <w:bottom w:val="single" w:color="A8A8A8" w:themeColor="dark1" w:themeTint="56" w:sz="6" w:space="0"/>
              <w:right w:val="single" w:color="FFFFFF" w:sz="6" w:space="0"/>
            </w:tcBorders>
            <w:shd w:val="clear" w:color="auto" w:fill="CCCCCC" w:themeFill="dark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4F9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i w:val="0"/>
                <w:color w:val="08090C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8090C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净现金流</w:t>
            </w:r>
          </w:p>
        </w:tc>
        <w:tc>
          <w:tcPr>
            <w:tcW w:w="2339" w:type="dxa"/>
            <w:tcBorders>
              <w:top w:val="single" w:color="000000" w:themeColor="dark1" w:sz="6" w:space="0"/>
              <w:left w:val="single" w:color="FFFFFF" w:sz="6" w:space="0"/>
              <w:bottom w:val="single" w:color="A8A8A8" w:themeColor="dark1" w:themeTint="56" w:sz="6" w:space="0"/>
              <w:right w:val="single" w:color="000000" w:themeColor="dark1" w:sz="6" w:space="0"/>
            </w:tcBorders>
            <w:shd w:val="clear" w:color="auto" w:fill="CCCCCC" w:themeFill="dark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749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i w:val="0"/>
                <w:color w:val="08090C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8090C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累计现金流</w:t>
            </w:r>
          </w:p>
        </w:tc>
      </w:tr>
      <w:tr w14:paraId="2939F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48" w:type="dxa"/>
            <w:tcBorders>
              <w:top w:val="single" w:color="A8A8A8" w:themeColor="dark1" w:themeTint="56" w:sz="6" w:space="0"/>
              <w:left w:val="single" w:color="000000" w:themeColor="dark1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609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第0年（签约）</w:t>
            </w:r>
          </w:p>
        </w:tc>
        <w:tc>
          <w:tcPr>
            <w:tcW w:w="1229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E49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-500万元</w:t>
            </w:r>
          </w:p>
        </w:tc>
        <w:tc>
          <w:tcPr>
            <w:tcW w:w="1596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DB7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01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96D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-500万元</w:t>
            </w:r>
          </w:p>
        </w:tc>
        <w:tc>
          <w:tcPr>
            <w:tcW w:w="2339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D1A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-500万元</w:t>
            </w:r>
          </w:p>
        </w:tc>
      </w:tr>
      <w:tr w14:paraId="7D1FC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48" w:type="dxa"/>
            <w:tcBorders>
              <w:top w:val="single" w:color="A8A8A8" w:themeColor="dark1" w:themeTint="56" w:sz="6" w:space="0"/>
              <w:left w:val="single" w:color="000000" w:themeColor="dark1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76D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第1年末</w:t>
            </w:r>
          </w:p>
        </w:tc>
        <w:tc>
          <w:tcPr>
            <w:tcW w:w="1229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035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596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436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+196万元</w:t>
            </w:r>
          </w:p>
        </w:tc>
        <w:tc>
          <w:tcPr>
            <w:tcW w:w="1301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DF9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+196万元</w:t>
            </w:r>
          </w:p>
        </w:tc>
        <w:tc>
          <w:tcPr>
            <w:tcW w:w="2339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F1A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-304万元</w:t>
            </w:r>
          </w:p>
        </w:tc>
      </w:tr>
      <w:tr w14:paraId="612F5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48" w:type="dxa"/>
            <w:tcBorders>
              <w:top w:val="single" w:color="A8A8A8" w:themeColor="dark1" w:themeTint="56" w:sz="6" w:space="0"/>
              <w:left w:val="single" w:color="000000" w:themeColor="dark1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64E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第2年末</w:t>
            </w:r>
          </w:p>
        </w:tc>
        <w:tc>
          <w:tcPr>
            <w:tcW w:w="1229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B5F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596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579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+196万元</w:t>
            </w:r>
          </w:p>
        </w:tc>
        <w:tc>
          <w:tcPr>
            <w:tcW w:w="1301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70C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+196万元</w:t>
            </w:r>
          </w:p>
        </w:tc>
        <w:tc>
          <w:tcPr>
            <w:tcW w:w="2339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724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-108万元</w:t>
            </w:r>
          </w:p>
        </w:tc>
      </w:tr>
      <w:tr w14:paraId="10E9E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48" w:type="dxa"/>
            <w:tcBorders>
              <w:top w:val="single" w:color="A8A8A8" w:themeColor="dark1" w:themeTint="56" w:sz="6" w:space="0"/>
              <w:left w:val="single" w:color="000000" w:themeColor="dark1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C1F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第3年末</w:t>
            </w:r>
          </w:p>
        </w:tc>
        <w:tc>
          <w:tcPr>
            <w:tcW w:w="1229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988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596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1CA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+196万元</w:t>
            </w:r>
          </w:p>
        </w:tc>
        <w:tc>
          <w:tcPr>
            <w:tcW w:w="1301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056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+196万元</w:t>
            </w:r>
          </w:p>
        </w:tc>
        <w:tc>
          <w:tcPr>
            <w:tcW w:w="2339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5A8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+88万元（回本点）</w:t>
            </w:r>
          </w:p>
        </w:tc>
      </w:tr>
      <w:tr w14:paraId="3EDDD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48" w:type="dxa"/>
            <w:tcBorders>
              <w:top w:val="single" w:color="A8A8A8" w:themeColor="dark1" w:themeTint="56" w:sz="6" w:space="0"/>
              <w:left w:val="single" w:color="000000" w:themeColor="dark1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FC0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第4年末</w:t>
            </w:r>
          </w:p>
        </w:tc>
        <w:tc>
          <w:tcPr>
            <w:tcW w:w="1229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05E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596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567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+196万元</w:t>
            </w:r>
          </w:p>
        </w:tc>
        <w:tc>
          <w:tcPr>
            <w:tcW w:w="1301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700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+196万元</w:t>
            </w:r>
          </w:p>
        </w:tc>
        <w:tc>
          <w:tcPr>
            <w:tcW w:w="2339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F35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+284万元</w:t>
            </w:r>
          </w:p>
        </w:tc>
      </w:tr>
      <w:tr w14:paraId="3570B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48" w:type="dxa"/>
            <w:tcBorders>
              <w:top w:val="single" w:color="A8A8A8" w:themeColor="dark1" w:themeTint="56" w:sz="6" w:space="0"/>
              <w:left w:val="single" w:color="000000" w:themeColor="dark1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E1F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第5年末</w:t>
            </w:r>
          </w:p>
        </w:tc>
        <w:tc>
          <w:tcPr>
            <w:tcW w:w="1229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093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596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B25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+196万元</w:t>
            </w:r>
          </w:p>
        </w:tc>
        <w:tc>
          <w:tcPr>
            <w:tcW w:w="1301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B2C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+196万元</w:t>
            </w:r>
          </w:p>
        </w:tc>
        <w:tc>
          <w:tcPr>
            <w:tcW w:w="2339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A8A8A8" w:themeColor="dark1" w:themeTint="5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425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+480万元</w:t>
            </w:r>
          </w:p>
        </w:tc>
      </w:tr>
      <w:tr w14:paraId="7E137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48" w:type="dxa"/>
            <w:tcBorders>
              <w:top w:val="single" w:color="A8A8A8" w:themeColor="dark1" w:themeTint="56" w:sz="6" w:space="0"/>
              <w:left w:val="single" w:color="000000" w:themeColor="dark1" w:sz="6" w:space="0"/>
              <w:bottom w:val="single" w:color="000000" w:themeColor="dark1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875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第6年末</w:t>
            </w:r>
          </w:p>
        </w:tc>
        <w:tc>
          <w:tcPr>
            <w:tcW w:w="1229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000000" w:themeColor="dark1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BE6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596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000000" w:themeColor="dark1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630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+196万元</w:t>
            </w:r>
          </w:p>
        </w:tc>
        <w:tc>
          <w:tcPr>
            <w:tcW w:w="1301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000000" w:themeColor="dark1" w:sz="6" w:space="0"/>
              <w:right w:val="single" w:color="A8A8A8" w:themeColor="dark1" w:themeTint="56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A48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+196万元</w:t>
            </w:r>
          </w:p>
        </w:tc>
        <w:tc>
          <w:tcPr>
            <w:tcW w:w="2339" w:type="dxa"/>
            <w:tcBorders>
              <w:top w:val="single" w:color="A8A8A8" w:themeColor="dark1" w:themeTint="56" w:sz="6" w:space="0"/>
              <w:left w:val="single" w:color="A8A8A8" w:themeColor="dark1" w:themeTint="5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1A2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+676万元</w:t>
            </w:r>
          </w:p>
        </w:tc>
      </w:tr>
    </w:tbl>
    <w:p w14:paraId="6CADF4D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36"/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假设标注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：案例资料未明确EMC项目的初始投资金额。本测算</w:t>
      </w:r>
      <w:r>
        <w:rPr>
          <w:rStyle w:val="136"/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假设每个EMC项目投资500万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（与合同金额等比）</w:t>
      </w:r>
    </w:p>
    <w:p w14:paraId="6808E35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关键洞察：</w:t>
      </w:r>
    </w:p>
    <w:p w14:paraId="0CC5A8E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1. 回本周期长达3年：第3年末累计现金流才转为正值</w:t>
      </w:r>
    </w:p>
    <w:p w14:paraId="1ED67F5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2. 前期现金流压力巨大：第1年净现金流-304万元</w:t>
      </w:r>
    </w:p>
    <w:p w14:paraId="5D99A52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3. 对绿碳智汇的影响：</w:t>
      </w:r>
    </w:p>
    <w:p w14:paraId="6E75E37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  - 若同时进行2个EMC项目，第1年净现金流-608万元</w:t>
      </w:r>
    </w:p>
    <w:p w14:paraId="78EAFD6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  - 绿碳智汇年净利润约825万元（5000万×16.5%），2个EMC项目占比达73.8%</w:t>
      </w:r>
    </w:p>
    <w:p w14:paraId="217D328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  - 这将导致绿碳智汇现金流极度紧张，可能需要外部融资</w:t>
      </w:r>
    </w:p>
    <w:p w14:paraId="4B6274EE">
      <w:pPr>
        <w:pStyle w:val="5"/>
        <w:bidi w:val="0"/>
        <w:rPr>
          <w:rFonts w:hint="default"/>
          <w:lang w:val="en-US" w:eastAsia="zh-CN"/>
        </w:rPr>
      </w:pPr>
      <w:bookmarkStart w:id="20" w:name="_Toc16405"/>
      <w:r>
        <w:rPr>
          <w:rFonts w:hint="eastAsia"/>
          <w:lang w:val="en-US" w:eastAsia="zh-CN"/>
        </w:rPr>
        <w:t>三、两种模式对比</w:t>
      </w:r>
      <w:bookmarkEnd w:id="20"/>
    </w:p>
    <w:p w14:paraId="461C2401">
      <w:pPr>
        <w:pStyle w:val="6"/>
        <w:keepNext/>
        <w:numPr>
          <w:ilvl w:val="0"/>
          <w:numId w:val="0"/>
        </w:numPr>
        <w:outlineLvl w:val="9"/>
        <w:rPr>
          <w:rFonts w:hint="eastAsia" w:ascii="微软雅黑" w:hAnsi="微软雅黑" w:eastAsia="微软雅黑" w:cs="微软雅黑"/>
          <w:b/>
          <w:highlight w:val="none"/>
        </w:rPr>
      </w:pP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两种模式的核心差异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8EA7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025ABC6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04259DC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EMC模式（合同能源管理）</w:t>
            </w:r>
          </w:p>
        </w:tc>
        <w:tc>
          <w:tcPr>
            <w:tcW w:w="2771" w:type="dxa"/>
            <w:shd w:val="clear" w:color="auto" w:fill="F2F2F2"/>
          </w:tcPr>
          <w:p w14:paraId="78FF1AB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里程碑模式</w:t>
            </w:r>
          </w:p>
        </w:tc>
      </w:tr>
      <w:tr w14:paraId="59513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383D38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收费逻辑</w:t>
            </w:r>
          </w:p>
        </w:tc>
        <w:tc>
          <w:tcPr>
            <w:tcW w:w="2771" w:type="dxa"/>
          </w:tcPr>
          <w:p w14:paraId="7AEB8A7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从节能效益中分成</w:t>
            </w:r>
          </w:p>
        </w:tc>
        <w:tc>
          <w:tcPr>
            <w:tcW w:w="2771" w:type="dxa"/>
          </w:tcPr>
          <w:p w14:paraId="174932E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按项目节点付款</w:t>
            </w:r>
          </w:p>
        </w:tc>
      </w:tr>
      <w:tr w14:paraId="2DB13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0E4258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投资主体</w:t>
            </w:r>
          </w:p>
        </w:tc>
        <w:tc>
          <w:tcPr>
            <w:tcW w:w="2771" w:type="dxa"/>
          </w:tcPr>
          <w:p w14:paraId="76B169B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服务商投资设备与系统</w:t>
            </w:r>
          </w:p>
        </w:tc>
        <w:tc>
          <w:tcPr>
            <w:tcW w:w="2771" w:type="dxa"/>
          </w:tcPr>
          <w:p w14:paraId="0C0D35D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客户承担项目费用</w:t>
            </w:r>
          </w:p>
        </w:tc>
      </w:tr>
      <w:tr w14:paraId="08556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F18BE5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风险承担</w:t>
            </w:r>
          </w:p>
        </w:tc>
        <w:tc>
          <w:tcPr>
            <w:tcW w:w="2771" w:type="dxa"/>
          </w:tcPr>
          <w:p w14:paraId="24DEB56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服务商承担节能效果风险</w:t>
            </w:r>
          </w:p>
        </w:tc>
        <w:tc>
          <w:tcPr>
            <w:tcW w:w="2771" w:type="dxa"/>
          </w:tcPr>
          <w:p w14:paraId="19BB293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客户承担需求变更风险</w:t>
            </w:r>
          </w:p>
        </w:tc>
      </w:tr>
      <w:tr w14:paraId="05B7F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761703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收入特征</w:t>
            </w:r>
          </w:p>
        </w:tc>
        <w:tc>
          <w:tcPr>
            <w:tcW w:w="2771" w:type="dxa"/>
          </w:tcPr>
          <w:p w14:paraId="34AE76F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长期、持续、可预测</w:t>
            </w:r>
          </w:p>
        </w:tc>
        <w:tc>
          <w:tcPr>
            <w:tcW w:w="2771" w:type="dxa"/>
          </w:tcPr>
          <w:p w14:paraId="7F75088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一次性、波动性大</w:t>
            </w:r>
          </w:p>
        </w:tc>
      </w:tr>
      <w:tr w14:paraId="350B7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CCB410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现金流压力</w:t>
            </w:r>
          </w:p>
        </w:tc>
        <w:tc>
          <w:tcPr>
            <w:tcW w:w="2771" w:type="dxa"/>
          </w:tcPr>
          <w:p w14:paraId="57B9D95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前期投入大、回本周期长</w:t>
            </w:r>
          </w:p>
        </w:tc>
        <w:tc>
          <w:tcPr>
            <w:tcW w:w="2771" w:type="dxa"/>
          </w:tcPr>
          <w:p w14:paraId="68EE627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前期轻、但收款依赖验收</w:t>
            </w:r>
          </w:p>
        </w:tc>
      </w:tr>
    </w:tbl>
    <w:p w14:paraId="15BB0CA3">
      <w:pPr>
        <w:pStyle w:val="6"/>
        <w:keepNext/>
        <w:pageBreakBefore/>
        <w:numPr>
          <w:ilvl w:val="0"/>
          <w:numId w:val="0"/>
        </w:numPr>
        <w:outlineLvl w:val="9"/>
        <w:rPr>
          <w:rFonts w:hint="eastAsia" w:ascii="微软雅黑" w:hAnsi="微软雅黑" w:eastAsia="微软雅黑" w:cs="微软雅黑"/>
          <w:highlight w:val="none"/>
        </w:rPr>
      </w:pP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EMC模式优劣势分析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3"/>
        <w:gridCol w:w="5389"/>
      </w:tblGrid>
      <w:tr w14:paraId="0792D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3" w:type="dxa"/>
            <w:shd w:val="clear" w:color="auto" w:fill="F2F2F2"/>
          </w:tcPr>
          <w:p w14:paraId="56F480F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优势</w:t>
            </w:r>
          </w:p>
        </w:tc>
        <w:tc>
          <w:tcPr>
            <w:tcW w:w="5389" w:type="dxa"/>
            <w:shd w:val="clear" w:color="auto" w:fill="F2F2F2"/>
          </w:tcPr>
          <w:p w14:paraId="48648AA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说明</w:t>
            </w:r>
          </w:p>
        </w:tc>
      </w:tr>
      <w:tr w14:paraId="1E198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3" w:type="dxa"/>
          </w:tcPr>
          <w:p w14:paraId="111A2FC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客户接受度高</w:t>
            </w:r>
          </w:p>
        </w:tc>
        <w:tc>
          <w:tcPr>
            <w:tcW w:w="5389" w:type="dxa"/>
          </w:tcPr>
          <w:p w14:paraId="626816B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客户无需前期资本投入，降低采购门槛</w:t>
            </w:r>
          </w:p>
        </w:tc>
      </w:tr>
      <w:tr w14:paraId="6346D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3" w:type="dxa"/>
          </w:tcPr>
          <w:p w14:paraId="1F318CB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长期绑定关系</w:t>
            </w:r>
          </w:p>
        </w:tc>
        <w:tc>
          <w:tcPr>
            <w:tcW w:w="5389" w:type="dxa"/>
          </w:tcPr>
          <w:p w14:paraId="10C1374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6-10年合同期限形成深度绑定，竞争者难以切入</w:t>
            </w:r>
          </w:p>
        </w:tc>
      </w:tr>
      <w:tr w14:paraId="239D8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3" w:type="dxa"/>
          </w:tcPr>
          <w:p w14:paraId="7615800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收入可持续</w:t>
            </w:r>
          </w:p>
        </w:tc>
        <w:tc>
          <w:tcPr>
            <w:tcW w:w="5389" w:type="dxa"/>
          </w:tcPr>
          <w:p w14:paraId="2237A23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年度节能分成形成稳定现金流，提升估值</w:t>
            </w:r>
          </w:p>
        </w:tc>
      </w:tr>
      <w:tr w14:paraId="64692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3" w:type="dxa"/>
          </w:tcPr>
          <w:p w14:paraId="0070BC9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效果导向明确</w:t>
            </w:r>
          </w:p>
        </w:tc>
        <w:tc>
          <w:tcPr>
            <w:tcW w:w="5389" w:type="dxa"/>
          </w:tcPr>
          <w:p w14:paraId="5C16CDB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激励服务商持续优化，双方利益一致</w:t>
            </w:r>
          </w:p>
        </w:tc>
      </w:tr>
      <w:tr w14:paraId="46E95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3" w:type="dxa"/>
            <w:shd w:val="clear" w:color="auto" w:fill="F2F2F2"/>
          </w:tcPr>
          <w:p w14:paraId="0176A53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劣势</w:t>
            </w:r>
          </w:p>
        </w:tc>
        <w:tc>
          <w:tcPr>
            <w:tcW w:w="5389" w:type="dxa"/>
            <w:shd w:val="clear" w:color="auto" w:fill="F2F2F2"/>
          </w:tcPr>
          <w:p w14:paraId="45C56B0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说明</w:t>
            </w:r>
          </w:p>
        </w:tc>
      </w:tr>
      <w:tr w14:paraId="6B2FA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3" w:type="dxa"/>
          </w:tcPr>
          <w:p w14:paraId="4E918D8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资金压力大</w:t>
            </w:r>
          </w:p>
        </w:tc>
        <w:tc>
          <w:tcPr>
            <w:tcW w:w="5389" w:type="dxa"/>
          </w:tcPr>
          <w:p w14:paraId="5496D02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需垫资采购设备、承担建设成本，</w:t>
            </w:r>
          </w:p>
        </w:tc>
      </w:tr>
      <w:tr w14:paraId="42E0A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3" w:type="dxa"/>
          </w:tcPr>
          <w:p w14:paraId="1A86788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回本周期长</w:t>
            </w:r>
          </w:p>
        </w:tc>
        <w:tc>
          <w:tcPr>
            <w:tcW w:w="5389" w:type="dxa"/>
          </w:tcPr>
          <w:p w14:paraId="4E01B37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典型EMC合同回本周期3-5年，初创企业难以承受</w:t>
            </w:r>
          </w:p>
        </w:tc>
      </w:tr>
      <w:tr w14:paraId="0B910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3" w:type="dxa"/>
          </w:tcPr>
          <w:p w14:paraId="39BB5A5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技术绑定风险</w:t>
            </w:r>
          </w:p>
        </w:tc>
        <w:tc>
          <w:tcPr>
            <w:tcW w:w="5389" w:type="dxa"/>
          </w:tcPr>
          <w:p w14:paraId="19BB153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若节能效果不达标，服务商承担损失</w:t>
            </w:r>
          </w:p>
        </w:tc>
      </w:tr>
      <w:tr w14:paraId="498A1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3" w:type="dxa"/>
          </w:tcPr>
          <w:p w14:paraId="681F34E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锁定风险</w:t>
            </w:r>
          </w:p>
        </w:tc>
        <w:tc>
          <w:tcPr>
            <w:tcW w:w="5389" w:type="dxa"/>
          </w:tcPr>
          <w:p w14:paraId="5056FFB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客户提前解约或技术迭代导致方案失效</w:t>
            </w:r>
          </w:p>
        </w:tc>
      </w:tr>
      <w:tr w14:paraId="03242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3" w:type="dxa"/>
          </w:tcPr>
          <w:p w14:paraId="004DB0D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规模扩张受限</w:t>
            </w:r>
          </w:p>
        </w:tc>
        <w:tc>
          <w:tcPr>
            <w:tcW w:w="5389" w:type="dxa"/>
          </w:tcPr>
          <w:p w14:paraId="2AF398C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资金约束下同时推进项目数量有限</w:t>
            </w:r>
          </w:p>
        </w:tc>
      </w:tr>
    </w:tbl>
    <w:p w14:paraId="3C2BB109">
      <w:pPr>
        <w:pStyle w:val="6"/>
        <w:keepNext/>
        <w:numPr>
          <w:ilvl w:val="0"/>
          <w:numId w:val="0"/>
        </w:numPr>
        <w:outlineLvl w:val="9"/>
        <w:rPr>
          <w:rFonts w:hint="eastAsia" w:ascii="微软雅黑" w:hAnsi="微软雅黑" w:eastAsia="微软雅黑" w:cs="微软雅黑"/>
          <w:highlight w:val="none"/>
        </w:rPr>
      </w:pP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3. </w:t>
      </w:r>
      <w:r>
        <w:rPr>
          <w:rFonts w:hint="eastAsia" w:ascii="微软雅黑" w:hAnsi="微软雅黑" w:eastAsia="微软雅黑" w:cs="微软雅黑"/>
          <w:highlight w:val="none"/>
        </w:rPr>
        <w:t>里程碑模式优劣势分析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2579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4F12285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优势</w:t>
            </w:r>
          </w:p>
        </w:tc>
        <w:tc>
          <w:tcPr>
            <w:tcW w:w="4156" w:type="dxa"/>
            <w:shd w:val="clear" w:color="auto" w:fill="F2F2F2"/>
          </w:tcPr>
          <w:p w14:paraId="13EDFD4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说明</w:t>
            </w:r>
          </w:p>
        </w:tc>
      </w:tr>
      <w:tr w14:paraId="2E3A6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40D151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资金压力小</w:t>
            </w:r>
          </w:p>
        </w:tc>
        <w:tc>
          <w:tcPr>
            <w:tcW w:w="4156" w:type="dxa"/>
          </w:tcPr>
          <w:p w14:paraId="650220F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客户预付款覆盖大部分成本，风险可控</w:t>
            </w:r>
          </w:p>
        </w:tc>
      </w:tr>
      <w:tr w14:paraId="6E1B2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C4BCA2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灵活性高</w:t>
            </w:r>
          </w:p>
        </w:tc>
        <w:tc>
          <w:tcPr>
            <w:tcW w:w="4156" w:type="dxa"/>
          </w:tcPr>
          <w:p w14:paraId="530392B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项目制便于调整资源，响应市场变化</w:t>
            </w:r>
          </w:p>
        </w:tc>
      </w:tr>
      <w:tr w14:paraId="76307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7BFA8B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适合初创期</w:t>
            </w:r>
          </w:p>
        </w:tc>
        <w:tc>
          <w:tcPr>
            <w:tcW w:w="4156" w:type="dxa"/>
          </w:tcPr>
          <w:p w14:paraId="504E3F8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无需大量资本即可开展业务</w:t>
            </w:r>
          </w:p>
        </w:tc>
      </w:tr>
      <w:tr w14:paraId="7B44A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1B18D8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技术更新快</w:t>
            </w:r>
          </w:p>
        </w:tc>
        <w:tc>
          <w:tcPr>
            <w:tcW w:w="4156" w:type="dxa"/>
          </w:tcPr>
          <w:p w14:paraId="01C44AF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可持续迭代算法，不受旧合同约束</w:t>
            </w:r>
          </w:p>
        </w:tc>
      </w:tr>
      <w:tr w14:paraId="12E26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0C200F2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劣势</w:t>
            </w:r>
          </w:p>
        </w:tc>
        <w:tc>
          <w:tcPr>
            <w:tcW w:w="4156" w:type="dxa"/>
            <w:shd w:val="clear" w:color="auto" w:fill="F2F2F2"/>
          </w:tcPr>
          <w:p w14:paraId="5AA08D1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说明</w:t>
            </w:r>
          </w:p>
        </w:tc>
      </w:tr>
      <w:tr w14:paraId="7E4D3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5A7061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收入不连续</w:t>
            </w:r>
          </w:p>
        </w:tc>
        <w:tc>
          <w:tcPr>
            <w:tcW w:w="4156" w:type="dxa"/>
          </w:tcPr>
          <w:p w14:paraId="639CB49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项目间隙期收入断档，现金流不稳定</w:t>
            </w:r>
          </w:p>
        </w:tc>
      </w:tr>
      <w:tr w14:paraId="7B0D0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96F0CB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价格竞争激烈</w:t>
            </w:r>
          </w:p>
        </w:tc>
        <w:tc>
          <w:tcPr>
            <w:tcW w:w="4156" w:type="dxa"/>
          </w:tcPr>
          <w:p w14:paraId="7314BF3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同质化项目易陷入价格战</w:t>
            </w:r>
          </w:p>
        </w:tc>
      </w:tr>
    </w:tbl>
    <w:p w14:paraId="630382CC">
      <w:pPr>
        <w:pStyle w:val="6"/>
        <w:keepNext/>
        <w:numPr>
          <w:ilvl w:val="-1"/>
          <w:numId w:val="0"/>
        </w:numPr>
        <w:jc w:val="left"/>
        <w:outlineLvl w:val="9"/>
        <w:rPr>
          <w:rFonts w:hint="eastAsia" w:ascii="微软雅黑" w:hAnsi="微软雅黑" w:eastAsia="微软雅黑" w:cs="微软雅黑"/>
          <w:b/>
          <w:highlight w:val="none"/>
        </w:rPr>
      </w:pP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4. </w:t>
      </w:r>
      <w:r>
        <w:rPr>
          <w:rFonts w:hint="eastAsia" w:ascii="微软雅黑" w:hAnsi="微软雅黑" w:eastAsia="微软雅黑" w:cs="微软雅黑"/>
          <w:highlight w:val="none"/>
        </w:rPr>
        <w:t>财务风险管理策略</w:t>
      </w:r>
    </w:p>
    <w:p w14:paraId="6370514C">
      <w:pPr>
        <w:pStyle w:val="6"/>
        <w:bidi w:val="0"/>
        <w:ind w:left="0" w:leftChars="0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</w:t>
      </w:r>
      <w:r>
        <w:rPr>
          <w:rFonts w:hint="eastAsia" w:ascii="微软雅黑" w:hAnsi="微软雅黑" w:eastAsia="微软雅黑" w:cs="微软雅黑"/>
        </w:rPr>
        <w:t>针对EMC模式：</w:t>
      </w:r>
    </w:p>
    <w:p w14:paraId="0F20E52E">
      <w:pPr>
        <w:pStyle w:val="19"/>
        <w:widowControl/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分阶段投资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：将EMC项目分为"试点期（1年）"和"正式期"，试点期按里程碑模式，验证效果后再转为EMC；</w:t>
      </w:r>
    </w:p>
    <w:p w14:paraId="797D325E">
      <w:pPr>
        <w:pStyle w:val="19"/>
        <w:widowControl/>
        <w:numPr>
          <w:ilvl w:val="0"/>
          <w:numId w:val="18"/>
        </w:numPr>
        <w:ind w:left="-420" w:leftChars="0" w:firstLine="420" w:firstLineChars="0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资本合作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：与金融机构合作，由其提供设备融资，绿碳智汇承担运营与算法服务；</w:t>
      </w:r>
    </w:p>
    <w:p w14:paraId="6CBC3BE1">
      <w:pPr>
        <w:pStyle w:val="19"/>
        <w:widowControl/>
        <w:numPr>
          <w:ilvl w:val="0"/>
          <w:numId w:val="18"/>
        </w:numPr>
        <w:ind w:left="-420" w:leftChars="0" w:firstLine="420" w:firstLineChars="0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客户筛选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：优先选择资金充裕、节能意愿强的头部客户（如年用电量超5000万度的工业企业）。</w:t>
      </w:r>
    </w:p>
    <w:p w14:paraId="61C691BA">
      <w:pPr>
        <w:pStyle w:val="6"/>
        <w:bidi w:val="0"/>
        <w:ind w:left="0" w:leftChars="0" w:firstLine="0" w:firstLineChars="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bCs/>
        </w:rPr>
        <w:t>针对里程碑模式：</w:t>
      </w:r>
    </w:p>
    <w:p w14:paraId="0E27E46D">
      <w:pPr>
        <w:pStyle w:val="19"/>
        <w:widowControl/>
        <w:numPr>
          <w:ilvl w:val="0"/>
          <w:numId w:val="18"/>
        </w:numPr>
        <w:ind w:left="-420" w:leftChars="0" w:firstLine="420" w:firstLineChars="0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组合管理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：维持3-4个并行项目，确保收入连续性；</w:t>
      </w:r>
    </w:p>
    <w:p w14:paraId="5794D239">
      <w:pPr>
        <w:pStyle w:val="19"/>
        <w:widowControl/>
        <w:numPr>
          <w:ilvl w:val="0"/>
          <w:numId w:val="18"/>
        </w:numPr>
        <w:ind w:left="-420" w:leftChars="0" w:firstLine="420" w:firstLineChars="0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加速验收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：建立标准化验收流程，缩短回款周期；</w:t>
      </w:r>
    </w:p>
    <w:p w14:paraId="57EC4A12">
      <w:pPr>
        <w:pStyle w:val="19"/>
        <w:widowControl/>
        <w:numPr>
          <w:ilvl w:val="0"/>
          <w:numId w:val="18"/>
        </w:numPr>
        <w:ind w:left="-420" w:leftChars="0" w:firstLine="420" w:firstLineChars="0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订阅转型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：在项目中嵌入年度运维服务（占合同额10-15%），形成持续收入。</w:t>
      </w:r>
    </w:p>
    <w:p w14:paraId="4F42C931">
      <w:pPr>
        <w:pStyle w:val="6"/>
        <w:bidi w:val="0"/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highlight w:val="none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/>
          <w:bCs/>
          <w:highlight w:val="none"/>
        </w:rPr>
        <w:t>综合</w:t>
      </w:r>
      <w:r>
        <w:rPr>
          <w:rFonts w:hint="eastAsia" w:ascii="微软雅黑" w:hAnsi="微软雅黑" w:eastAsia="微软雅黑" w:cs="微软雅黑"/>
          <w:b/>
          <w:bCs/>
          <w:highlight w:val="none"/>
          <w:lang w:val="en-US" w:eastAsia="zh-CN"/>
        </w:rPr>
        <w:t>考虑：</w:t>
      </w:r>
    </w:p>
    <w:p w14:paraId="2E398E54">
      <w:pPr>
        <w:pStyle w:val="19"/>
        <w:widowControl/>
        <w:ind w:left="0" w:leftChars="0" w:firstLine="0" w:firstLineChars="0"/>
        <w:jc w:val="left"/>
        <w:rPr>
          <w:rFonts w:hint="eastAsia" w:ascii="微软雅黑" w:hAnsi="微软雅黑" w:eastAsia="微软雅黑" w:cs="微软雅黑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绿碳智汇当前处于"技术成熟度提升、商业模式探索中"的阶段，建议采用</w:t>
      </w: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混合模式策略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</w:t>
      </w:r>
    </w:p>
    <w:p w14:paraId="5FF2B8B9">
      <w:pPr>
        <w:pStyle w:val="19"/>
        <w:widowControl/>
        <w:numPr>
          <w:ilvl w:val="0"/>
          <w:numId w:val="18"/>
        </w:numPr>
        <w:ind w:left="-420" w:leftChars="0" w:firstLine="420" w:firstLineChars="0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对于成熟客户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：尝试EMC模式，通过"节能分享"建立长期关系，提升客户粘性</w:t>
      </w:r>
    </w:p>
    <w:p w14:paraId="4A7DEB1E">
      <w:pPr>
        <w:pStyle w:val="19"/>
        <w:widowControl/>
        <w:numPr>
          <w:ilvl w:val="0"/>
          <w:numId w:val="18"/>
        </w:numPr>
        <w:ind w:left="-420" w:leftChars="0" w:firstLine="420" w:firstLineChars="0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对于新客户或不确定性高的项目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：坚持里程碑模式，控制风险；</w:t>
      </w:r>
    </w:p>
    <w:p w14:paraId="50C5F92A">
      <w:pPr>
        <w:pStyle w:val="19"/>
        <w:widowControl/>
        <w:numPr>
          <w:ilvl w:val="-2"/>
          <w:numId w:val="0"/>
        </w:numPr>
        <w:jc w:val="left"/>
        <w:rPr>
          <w:rFonts w:hint="eastAsia" w:ascii="微软雅黑" w:hAnsi="微软雅黑" w:eastAsia="微软雅黑" w:cs="微软雅黑"/>
          <w:b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未来转型方向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：随公司品牌建立、算法成熟度提升、融资能力增强，逐步向EMC+订阅混合模式过渡。</w:t>
      </w:r>
    </w:p>
    <w:p w14:paraId="56FEC1A9">
      <w:pPr>
        <w:pStyle w:val="3"/>
        <w:numPr>
          <w:numId w:val="0"/>
        </w:numPr>
        <w:bidi w:val="0"/>
        <w:rPr>
          <w:rFonts w:hint="eastAsia"/>
          <w:highlight w:val="none"/>
        </w:rPr>
      </w:pPr>
      <w:bookmarkStart w:id="21" w:name="_Toc25123"/>
      <w:r>
        <w:rPr>
          <w:rFonts w:hint="eastAsia"/>
          <w:highlight w:val="none"/>
        </w:rPr>
        <w:t>任务三：差异化竞争力分析</w:t>
      </w:r>
      <w:bookmarkEnd w:id="21"/>
    </w:p>
    <w:p w14:paraId="2F5FBE3D">
      <w:pPr>
        <w:pStyle w:val="4"/>
        <w:numPr>
          <w:numId w:val="0"/>
        </w:numPr>
        <w:bidi w:val="0"/>
        <w:rPr>
          <w:rFonts w:hint="eastAsia" w:ascii="微软雅黑" w:hAnsi="微软雅黑" w:eastAsia="微软雅黑" w:cs="微软雅黑"/>
          <w:b/>
          <w:highlight w:val="none"/>
        </w:rPr>
      </w:pPr>
      <w:bookmarkStart w:id="22" w:name="_Toc11797"/>
      <w:r>
        <w:rPr>
          <w:rFonts w:hint="eastAsia" w:ascii="微软雅黑" w:hAnsi="微软雅黑" w:eastAsia="微软雅黑" w:cs="微软雅黑"/>
          <w:highlight w:val="none"/>
          <w:lang w:eastAsia="zh-CN"/>
        </w:rPr>
        <w:t>一、</w:t>
      </w:r>
      <w:r>
        <w:rPr>
          <w:rFonts w:hint="eastAsia" w:ascii="微软雅黑" w:hAnsi="微软雅黑" w:eastAsia="微软雅黑" w:cs="微软雅黑"/>
          <w:highlight w:val="none"/>
        </w:rPr>
        <w:t>外部环境分析（PESTEL框架）</w:t>
      </w:r>
      <w:bookmarkEnd w:id="22"/>
    </w:p>
    <w:tbl>
      <w:tblPr>
        <w:tblStyle w:val="35"/>
        <w:tblpPr w:leftFromText="180" w:rightFromText="180" w:vertAnchor="text" w:horzAnchor="page" w:tblpX="1896" w:tblpY="355"/>
        <w:tblOverlap w:val="never"/>
        <w:tblW w:w="831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0"/>
        <w:gridCol w:w="4450"/>
        <w:gridCol w:w="2412"/>
      </w:tblGrid>
      <w:tr w14:paraId="28141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1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199C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维度</w:t>
            </w:r>
          </w:p>
        </w:tc>
        <w:tc>
          <w:tcPr>
            <w:tcW w:w="4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D7E7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核心内容</w:t>
            </w:r>
          </w:p>
        </w:tc>
        <w:tc>
          <w:tcPr>
            <w:tcW w:w="24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2059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对业务影响</w:t>
            </w:r>
          </w:p>
        </w:tc>
      </w:tr>
      <w:tr w14:paraId="06DC7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6EAD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4"/>
                <w:highlight w:val="none"/>
              </w:rPr>
            </w:pPr>
            <w:r>
              <w:rPr>
                <w:rStyle w:val="136"/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政治 / 政策（P）</w:t>
            </w:r>
          </w:p>
        </w:tc>
        <w:tc>
          <w:tcPr>
            <w:tcW w:w="4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CD0C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・“双碳” 国家战略持续推进・全国碳市场强制履约压力加大・国务院鼓励公共机构推行</w:t>
            </w:r>
            <w:r>
              <w:rPr>
                <w:rStyle w:val="136"/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能源托管服务</w:t>
            </w:r>
          </w:p>
        </w:tc>
        <w:tc>
          <w:tcPr>
            <w:tcW w:w="24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D101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政策强制驱动需求，能效管理刚需上升</w:t>
            </w:r>
          </w:p>
        </w:tc>
      </w:tr>
      <w:tr w14:paraId="45B0E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977B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4"/>
                <w:highlight w:val="none"/>
              </w:rPr>
            </w:pPr>
            <w:r>
              <w:rPr>
                <w:rStyle w:val="136"/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经济环境（E）</w:t>
            </w:r>
          </w:p>
        </w:tc>
        <w:tc>
          <w:tcPr>
            <w:tcW w:w="4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69B6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・能源成本持续上涨，企业降本动力强・ESG 表现优秀企业融资成本更低・制造业利润承压，投资回收期要求缩短</w:t>
            </w:r>
          </w:p>
        </w:tc>
        <w:tc>
          <w:tcPr>
            <w:tcW w:w="24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C8AA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客户更关注</w:t>
            </w:r>
            <w:r>
              <w:rPr>
                <w:rStyle w:val="136"/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短期回报 + 可量化收益</w:t>
            </w:r>
          </w:p>
        </w:tc>
      </w:tr>
      <w:tr w14:paraId="30D6A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403D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4"/>
                <w:highlight w:val="none"/>
              </w:rPr>
            </w:pPr>
            <w:r>
              <w:rPr>
                <w:rStyle w:val="136"/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社会环境（S）</w:t>
            </w:r>
          </w:p>
        </w:tc>
        <w:tc>
          <w:tcPr>
            <w:tcW w:w="4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EE31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・ESG 投资理念普及，机构投资者纳入决策・消费者接受绿色产品溢价・员工关注雇主 ESG 表现，影响人才吸引</w:t>
            </w:r>
          </w:p>
        </w:tc>
        <w:tc>
          <w:tcPr>
            <w:tcW w:w="24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A554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企业 ESG 投入从 “可选项” 变 “必选项”</w:t>
            </w:r>
          </w:p>
        </w:tc>
      </w:tr>
      <w:tr w14:paraId="3CC87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E1A2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4"/>
                <w:highlight w:val="none"/>
              </w:rPr>
            </w:pPr>
            <w:r>
              <w:rPr>
                <w:rStyle w:val="136"/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技术环境（T）</w:t>
            </w:r>
          </w:p>
        </w:tc>
        <w:tc>
          <w:tcPr>
            <w:tcW w:w="4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F75A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・物联网传感器成本下降，数据采集更易・数字孪生提升系统模拟与优化精度・</w:t>
            </w:r>
          </w:p>
        </w:tc>
        <w:tc>
          <w:tcPr>
            <w:tcW w:w="24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5C2F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技术支撑公司</w:t>
            </w:r>
            <w:r>
              <w:rPr>
                <w:rStyle w:val="136"/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AI + 能效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核心竞争力</w:t>
            </w:r>
          </w:p>
        </w:tc>
      </w:tr>
      <w:tr w14:paraId="2D52F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F360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4"/>
                <w:highlight w:val="none"/>
              </w:rPr>
            </w:pPr>
            <w:r>
              <w:rPr>
                <w:rStyle w:val="136"/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环境因素（E）</w:t>
            </w:r>
          </w:p>
        </w:tc>
        <w:tc>
          <w:tcPr>
            <w:tcW w:w="4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21E1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・碳排放监管趋严，超排成本显性化・极端气候频发，能源系统韧性要求提升</w:t>
            </w:r>
          </w:p>
        </w:tc>
        <w:tc>
          <w:tcPr>
            <w:tcW w:w="24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76B5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碳减排、能源稳定运行成为刚需</w:t>
            </w:r>
          </w:p>
        </w:tc>
      </w:tr>
      <w:tr w14:paraId="5FFF3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ADC7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4"/>
                <w:highlight w:val="none"/>
              </w:rPr>
            </w:pPr>
            <w:r>
              <w:rPr>
                <w:rStyle w:val="136"/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法律环境（L）</w:t>
            </w:r>
          </w:p>
        </w:tc>
        <w:tc>
          <w:tcPr>
            <w:tcW w:w="44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65B3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・ESG 信息披露从自愿转向强制・欧盟 CBAM 对出口企业碳核查严格・数据安全法规约束能源数据跨境</w:t>
            </w:r>
          </w:p>
        </w:tc>
        <w:tc>
          <w:tcPr>
            <w:tcW w:w="24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06C1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出口制造企业</w:t>
            </w:r>
            <w:r>
              <w:rPr>
                <w:rStyle w:val="136"/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合规需求迫切</w:t>
            </w:r>
          </w:p>
        </w:tc>
      </w:tr>
    </w:tbl>
    <w:p w14:paraId="04DE8AF1">
      <w:pPr>
        <w:pStyle w:val="4"/>
        <w:keepNext/>
        <w:widowControl/>
        <w:numPr>
          <w:ilvl w:val="0"/>
          <w:numId w:val="0"/>
        </w:numPr>
        <w:topLinePunct w:val="0"/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23" w:name="_Toc11169"/>
      <w:r>
        <w:rPr>
          <w:rFonts w:hint="eastAsia" w:ascii="微软雅黑" w:hAnsi="微软雅黑" w:eastAsia="微软雅黑" w:cs="微软雅黑"/>
          <w:highlight w:val="none"/>
          <w:lang w:eastAsia="zh-CN"/>
        </w:rPr>
        <w:t>二、</w:t>
      </w:r>
      <w:r>
        <w:rPr>
          <w:rFonts w:hint="eastAsia" w:ascii="微软雅黑" w:hAnsi="微软雅黑" w:eastAsia="微软雅黑" w:cs="微软雅黑"/>
          <w:highlight w:val="none"/>
        </w:rPr>
        <w:t>行业竞争格局分析</w:t>
      </w:r>
      <w:bookmarkEnd w:id="23"/>
    </w:p>
    <w:p w14:paraId="441C6A6E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24" w:name="_Toc26567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四类主要竞争对手</w:t>
      </w:r>
      <w:bookmarkEnd w:id="2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0CFE2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F2F2F2"/>
          </w:tcPr>
          <w:p w14:paraId="664CECF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竞争对手类型</w:t>
            </w:r>
          </w:p>
        </w:tc>
        <w:tc>
          <w:tcPr>
            <w:tcW w:w="1662" w:type="dxa"/>
            <w:shd w:val="clear" w:color="auto" w:fill="F2F2F2"/>
          </w:tcPr>
          <w:p w14:paraId="2988BBF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主要优势</w:t>
            </w:r>
          </w:p>
        </w:tc>
        <w:tc>
          <w:tcPr>
            <w:tcW w:w="1662" w:type="dxa"/>
            <w:shd w:val="clear" w:color="auto" w:fill="F2F2F2"/>
          </w:tcPr>
          <w:p w14:paraId="5CD3FDA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商业模式</w:t>
            </w:r>
          </w:p>
        </w:tc>
        <w:tc>
          <w:tcPr>
            <w:tcW w:w="1662" w:type="dxa"/>
            <w:shd w:val="clear" w:color="auto" w:fill="F2F2F2"/>
          </w:tcPr>
          <w:p w14:paraId="52D6C0E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典型客户</w:t>
            </w:r>
          </w:p>
        </w:tc>
        <w:tc>
          <w:tcPr>
            <w:tcW w:w="1662" w:type="dxa"/>
            <w:shd w:val="clear" w:color="auto" w:fill="F2F2F2"/>
          </w:tcPr>
          <w:p w14:paraId="47A24E5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核心弱点</w:t>
            </w:r>
          </w:p>
        </w:tc>
      </w:tr>
      <w:tr w14:paraId="10A44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71FFCBC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工业自动化巨头</w:t>
            </w:r>
            <w:r>
              <w:rPr>
                <w:rFonts w:hint="eastAsia" w:ascii="微软雅黑" w:hAnsi="微软雅黑" w:eastAsia="微软雅黑" w:cs="微软雅黑"/>
                <w:highlight w:val="none"/>
              </w:rPr>
              <w:t>（西门子、霍尼韦尔）</w:t>
            </w:r>
          </w:p>
        </w:tc>
        <w:tc>
          <w:tcPr>
            <w:tcW w:w="1662" w:type="dxa"/>
          </w:tcPr>
          <w:p w14:paraId="12AECDB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品牌、全栈产品、渠道</w:t>
            </w:r>
          </w:p>
        </w:tc>
        <w:tc>
          <w:tcPr>
            <w:tcW w:w="1662" w:type="dxa"/>
          </w:tcPr>
          <w:p w14:paraId="504956B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硬件销售+软件许可</w:t>
            </w:r>
          </w:p>
        </w:tc>
        <w:tc>
          <w:tcPr>
            <w:tcW w:w="1662" w:type="dxa"/>
          </w:tcPr>
          <w:p w14:paraId="762AB69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大型国企、新建项目</w:t>
            </w:r>
          </w:p>
        </w:tc>
        <w:tc>
          <w:tcPr>
            <w:tcW w:w="1662" w:type="dxa"/>
          </w:tcPr>
          <w:p w14:paraId="3A7D70B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定价高、定制化弱、决策链长</w:t>
            </w:r>
          </w:p>
        </w:tc>
      </w:tr>
      <w:tr w14:paraId="0FF37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1602ED0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电网公司/综合能源商</w:t>
            </w:r>
          </w:p>
        </w:tc>
        <w:tc>
          <w:tcPr>
            <w:tcW w:w="1662" w:type="dxa"/>
          </w:tcPr>
          <w:p w14:paraId="26CFCC8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客户信任、能源数据入口、资金</w:t>
            </w:r>
          </w:p>
        </w:tc>
        <w:tc>
          <w:tcPr>
            <w:tcW w:w="1662" w:type="dxa"/>
          </w:tcPr>
          <w:p w14:paraId="3827D55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EMC托管、运营投资</w:t>
            </w:r>
          </w:p>
        </w:tc>
        <w:tc>
          <w:tcPr>
            <w:tcW w:w="1662" w:type="dxa"/>
          </w:tcPr>
          <w:p w14:paraId="24BF3B8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园区、公共建筑</w:t>
            </w:r>
          </w:p>
        </w:tc>
        <w:tc>
          <w:tcPr>
            <w:tcW w:w="1662" w:type="dxa"/>
          </w:tcPr>
          <w:p w14:paraId="04E0A5B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算法能力弱、响应慢</w:t>
            </w:r>
          </w:p>
        </w:tc>
      </w:tr>
      <w:tr w14:paraId="63081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E48926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AI软件/SaaS平台</w:t>
            </w:r>
          </w:p>
        </w:tc>
        <w:tc>
          <w:tcPr>
            <w:tcW w:w="1662" w:type="dxa"/>
          </w:tcPr>
          <w:p w14:paraId="1E5F918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算法模型、用户体验</w:t>
            </w:r>
          </w:p>
        </w:tc>
        <w:tc>
          <w:tcPr>
            <w:tcW w:w="1662" w:type="dxa"/>
          </w:tcPr>
          <w:p w14:paraId="2BF2050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云平台订阅、按点收费</w:t>
            </w:r>
          </w:p>
        </w:tc>
        <w:tc>
          <w:tcPr>
            <w:tcW w:w="1662" w:type="dxa"/>
          </w:tcPr>
          <w:p w14:paraId="5ED6814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中型企业</w:t>
            </w:r>
          </w:p>
        </w:tc>
        <w:tc>
          <w:tcPr>
            <w:tcW w:w="1662" w:type="dxa"/>
          </w:tcPr>
          <w:p w14:paraId="5D0A44B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缺乏工程落地能力</w:t>
            </w:r>
          </w:p>
        </w:tc>
      </w:tr>
      <w:tr w14:paraId="5649A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BF6DB3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传统工程集成商</w:t>
            </w:r>
          </w:p>
        </w:tc>
        <w:tc>
          <w:tcPr>
            <w:tcW w:w="1662" w:type="dxa"/>
          </w:tcPr>
          <w:p w14:paraId="27CE323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本地化服务、客户关系</w:t>
            </w:r>
          </w:p>
        </w:tc>
        <w:tc>
          <w:tcPr>
            <w:tcW w:w="1662" w:type="dxa"/>
          </w:tcPr>
          <w:p w14:paraId="6415316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项目制、工程差价</w:t>
            </w:r>
          </w:p>
        </w:tc>
        <w:tc>
          <w:tcPr>
            <w:tcW w:w="1662" w:type="dxa"/>
          </w:tcPr>
          <w:p w14:paraId="6AA97CA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有改造预算的企业</w:t>
            </w:r>
          </w:p>
        </w:tc>
        <w:tc>
          <w:tcPr>
            <w:tcW w:w="1662" w:type="dxa"/>
          </w:tcPr>
          <w:p w14:paraId="197AFD5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技术含量低、难以复制</w:t>
            </w:r>
          </w:p>
        </w:tc>
      </w:tr>
    </w:tbl>
    <w:p w14:paraId="575502E4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25" w:name="_Toc18980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竞争格局特征</w:t>
      </w:r>
      <w:bookmarkEnd w:id="25"/>
    </w:p>
    <w:p w14:paraId="3B19C9C5">
      <w:pPr>
        <w:pStyle w:val="19"/>
        <w:widowControl/>
        <w:numPr>
          <w:ilvl w:val="0"/>
          <w:numId w:val="19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红海竞争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：四类竞争对手覆盖不同细分市场，但存在交叉竞争；</w:t>
      </w:r>
    </w:p>
    <w:p w14:paraId="3F58B8A6">
      <w:pPr>
        <w:pStyle w:val="19"/>
        <w:widowControl/>
        <w:numPr>
          <w:ilvl w:val="0"/>
          <w:numId w:val="19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客户需求分散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：无单一对手能同时满足"算法能力+工程落地+ESG咨询"；</w:t>
      </w:r>
    </w:p>
    <w:p w14:paraId="57484168">
      <w:pPr>
        <w:pStyle w:val="19"/>
        <w:widowControl/>
        <w:numPr>
          <w:ilvl w:val="0"/>
          <w:numId w:val="19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市场集中度低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：缺乏绝对领导者，为差异化竞争留出空间；</w:t>
      </w:r>
    </w:p>
    <w:p w14:paraId="3344B49D">
      <w:pPr>
        <w:pStyle w:val="19"/>
        <w:widowControl/>
        <w:numPr>
          <w:ilvl w:val="0"/>
          <w:numId w:val="19"/>
        </w:numPr>
        <w:ind w:left="0" w:leftChars="0" w:firstLine="420" w:firstLineChars="0"/>
        <w:rPr>
          <w:rFonts w:hint="eastAsia" w:ascii="微软雅黑" w:hAnsi="微软雅黑" w:eastAsia="微软雅黑" w:cs="微软雅黑"/>
          <w:b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门槛不高但壁垒在上游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：表面进入门槛低，但核心算法与数据积累构成实质壁垒。</w:t>
      </w:r>
    </w:p>
    <w:p w14:paraId="69F7AF96">
      <w:pPr>
        <w:pStyle w:val="4"/>
        <w:numPr>
          <w:ilvl w:val="0"/>
          <w:numId w:val="0"/>
        </w:numPr>
        <w:bidi w:val="0"/>
        <w:rPr>
          <w:rFonts w:hint="eastAsia" w:ascii="微软雅黑" w:hAnsi="微软雅黑" w:eastAsia="微软雅黑" w:cs="微软雅黑"/>
          <w:b/>
          <w:highlight w:val="none"/>
        </w:rPr>
      </w:pPr>
      <w:bookmarkStart w:id="26" w:name="_Toc32531"/>
      <w:r>
        <w:rPr>
          <w:rFonts w:hint="eastAsia" w:ascii="微软雅黑" w:hAnsi="微软雅黑" w:eastAsia="微软雅黑" w:cs="微软雅黑"/>
          <w:highlight w:val="none"/>
          <w:lang w:eastAsia="zh-CN"/>
        </w:rPr>
        <w:t>三、</w:t>
      </w:r>
      <w:r>
        <w:rPr>
          <w:rFonts w:hint="eastAsia" w:ascii="微软雅黑" w:hAnsi="微软雅黑" w:eastAsia="微软雅黑" w:cs="微软雅黑"/>
          <w:highlight w:val="none"/>
        </w:rPr>
        <w:t>绿碳智汇内部能力分析</w:t>
      </w:r>
      <w:bookmarkEnd w:id="26"/>
    </w:p>
    <w:p w14:paraId="0515B14E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27" w:name="_Toc10975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核心能力识别</w:t>
      </w:r>
      <w:bookmarkEnd w:id="27"/>
    </w:p>
    <w:p w14:paraId="5ED75395">
      <w:pPr>
        <w:pStyle w:val="6"/>
        <w:keepNext/>
        <w:widowControl/>
        <w:numPr>
          <w:ilvl w:val="0"/>
          <w:numId w:val="0"/>
        </w:numPr>
        <w:ind w:left="0" w:leftChars="0" w:firstLine="482"/>
        <w:outlineLvl w:val="9"/>
        <w:rPr>
          <w:rFonts w:hint="eastAsia" w:ascii="微软雅黑" w:hAnsi="微软雅黑" w:eastAsia="微软雅黑" w:cs="微软雅黑"/>
          <w:b/>
          <w:highlight w:val="none"/>
        </w:rPr>
      </w:pP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A. </w:t>
      </w:r>
      <w:r>
        <w:rPr>
          <w:rFonts w:hint="eastAsia" w:ascii="微软雅黑" w:hAnsi="微软雅黑" w:eastAsia="微软雅黑" w:cs="微软雅黑"/>
          <w:highlight w:val="none"/>
        </w:rPr>
        <w:t>技术能力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1A13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5910691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能力维度</w:t>
            </w:r>
          </w:p>
        </w:tc>
        <w:tc>
          <w:tcPr>
            <w:tcW w:w="2771" w:type="dxa"/>
            <w:shd w:val="clear" w:color="auto" w:fill="F2F2F2"/>
          </w:tcPr>
          <w:p w14:paraId="3999270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具体表现</w:t>
            </w:r>
          </w:p>
        </w:tc>
        <w:tc>
          <w:tcPr>
            <w:tcW w:w="2771" w:type="dxa"/>
            <w:shd w:val="clear" w:color="auto" w:fill="F2F2F2"/>
          </w:tcPr>
          <w:p w14:paraId="214E424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竞争价值</w:t>
            </w:r>
          </w:p>
        </w:tc>
      </w:tr>
      <w:tr w14:paraId="245E6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457EC9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AI算法与机器学习</w:t>
            </w:r>
          </w:p>
        </w:tc>
        <w:tc>
          <w:tcPr>
            <w:tcW w:w="2771" w:type="dxa"/>
          </w:tcPr>
          <w:p w14:paraId="5237E30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多算法融合（预测控制、强化学习）、跨学科团队</w:t>
            </w:r>
          </w:p>
        </w:tc>
        <w:tc>
          <w:tcPr>
            <w:tcW w:w="2771" w:type="dxa"/>
          </w:tcPr>
          <w:p w14:paraId="5B6D2A5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高</w:t>
            </w:r>
          </w:p>
        </w:tc>
      </w:tr>
      <w:tr w14:paraId="12132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AD372E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数字孪生建模</w:t>
            </w:r>
          </w:p>
        </w:tc>
        <w:tc>
          <w:tcPr>
            <w:tcW w:w="2771" w:type="dxa"/>
          </w:tcPr>
          <w:p w14:paraId="5A3CA33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能源系统建模与仿真能力</w:t>
            </w:r>
          </w:p>
        </w:tc>
        <w:tc>
          <w:tcPr>
            <w:tcW w:w="2771" w:type="dxa"/>
          </w:tcPr>
          <w:p w14:paraId="08E3990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高</w:t>
            </w:r>
          </w:p>
        </w:tc>
      </w:tr>
      <w:tr w14:paraId="27616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9C58FE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系统集成</w:t>
            </w:r>
          </w:p>
        </w:tc>
        <w:tc>
          <w:tcPr>
            <w:tcW w:w="2771" w:type="dxa"/>
          </w:tcPr>
          <w:p w14:paraId="03CF298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无缝集成至现有系统（暖通、能源管理）</w:t>
            </w:r>
          </w:p>
        </w:tc>
        <w:tc>
          <w:tcPr>
            <w:tcW w:w="2771" w:type="dxa"/>
          </w:tcPr>
          <w:p w14:paraId="31543A1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中高</w:t>
            </w:r>
          </w:p>
        </w:tc>
      </w:tr>
      <w:tr w14:paraId="511BF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439AA5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效果验证</w:t>
            </w:r>
          </w:p>
        </w:tc>
        <w:tc>
          <w:tcPr>
            <w:tcW w:w="2771" w:type="dxa"/>
          </w:tcPr>
          <w:p w14:paraId="36C906F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30%+碳减排、10-30%节能率</w:t>
            </w:r>
          </w:p>
        </w:tc>
        <w:tc>
          <w:tcPr>
            <w:tcW w:w="2771" w:type="dxa"/>
          </w:tcPr>
          <w:p w14:paraId="612794D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高</w:t>
            </w:r>
          </w:p>
        </w:tc>
      </w:tr>
    </w:tbl>
    <w:p w14:paraId="70BB86BB">
      <w:pPr>
        <w:pStyle w:val="6"/>
        <w:keepNext/>
        <w:widowControl/>
        <w:numPr>
          <w:ilvl w:val="0"/>
          <w:numId w:val="0"/>
        </w:numPr>
        <w:ind w:left="0" w:leftChars="0" w:firstLine="482"/>
        <w:outlineLvl w:val="9"/>
        <w:rPr>
          <w:rFonts w:hint="eastAsia" w:ascii="微软雅黑" w:hAnsi="微软雅黑" w:eastAsia="微软雅黑" w:cs="微软雅黑"/>
          <w:b/>
          <w:highlight w:val="none"/>
        </w:rPr>
      </w:pP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B. </w:t>
      </w:r>
      <w:r>
        <w:rPr>
          <w:rFonts w:hint="eastAsia" w:ascii="微软雅黑" w:hAnsi="微软雅黑" w:eastAsia="微软雅黑" w:cs="微软雅黑"/>
          <w:highlight w:val="none"/>
        </w:rPr>
        <w:t>业务能力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7923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0C6AA66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能力维度</w:t>
            </w:r>
          </w:p>
        </w:tc>
        <w:tc>
          <w:tcPr>
            <w:tcW w:w="2771" w:type="dxa"/>
            <w:shd w:val="clear" w:color="auto" w:fill="F2F2F2"/>
          </w:tcPr>
          <w:p w14:paraId="2EE8DD8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具体表现</w:t>
            </w:r>
          </w:p>
        </w:tc>
        <w:tc>
          <w:tcPr>
            <w:tcW w:w="2771" w:type="dxa"/>
            <w:shd w:val="clear" w:color="auto" w:fill="F2F2F2"/>
          </w:tcPr>
          <w:p w14:paraId="03D6B23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竞争价值</w:t>
            </w:r>
          </w:p>
        </w:tc>
      </w:tr>
      <w:tr w14:paraId="50790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FFAFB3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综合服务覆盖</w:t>
            </w:r>
          </w:p>
        </w:tc>
        <w:tc>
          <w:tcPr>
            <w:tcW w:w="2771" w:type="dxa"/>
          </w:tcPr>
          <w:p w14:paraId="441EE2B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"双碳+ESG+能源"三领域覆盖</w:t>
            </w:r>
          </w:p>
        </w:tc>
        <w:tc>
          <w:tcPr>
            <w:tcW w:w="2771" w:type="dxa"/>
          </w:tcPr>
          <w:p w14:paraId="74CEA9C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高</w:t>
            </w:r>
          </w:p>
        </w:tc>
      </w:tr>
      <w:tr w14:paraId="724B7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1C9D2F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跨行业经验</w:t>
            </w:r>
          </w:p>
        </w:tc>
        <w:tc>
          <w:tcPr>
            <w:tcW w:w="2771" w:type="dxa"/>
          </w:tcPr>
          <w:p w14:paraId="2582185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已应用于光伏、锂电、面板等高景气行业</w:t>
            </w:r>
          </w:p>
        </w:tc>
        <w:tc>
          <w:tcPr>
            <w:tcW w:w="2771" w:type="dxa"/>
          </w:tcPr>
          <w:p w14:paraId="1B1ADA8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中高</w:t>
            </w:r>
          </w:p>
        </w:tc>
      </w:tr>
      <w:tr w14:paraId="076A9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ABF7C8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项目案例背书</w:t>
            </w:r>
          </w:p>
        </w:tc>
        <w:tc>
          <w:tcPr>
            <w:tcW w:w="2771" w:type="dxa"/>
          </w:tcPr>
          <w:p w14:paraId="3D17167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宁波政务中心、舍弗勒、卡耐基梅隆大学等</w:t>
            </w:r>
          </w:p>
        </w:tc>
        <w:tc>
          <w:tcPr>
            <w:tcW w:w="2771" w:type="dxa"/>
          </w:tcPr>
          <w:p w14:paraId="78811B4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中</w:t>
            </w:r>
          </w:p>
        </w:tc>
      </w:tr>
      <w:tr w14:paraId="009CC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18A21C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技术可复制性</w:t>
            </w:r>
          </w:p>
        </w:tc>
        <w:tc>
          <w:tcPr>
            <w:tcW w:w="2771" w:type="dxa"/>
          </w:tcPr>
          <w:p w14:paraId="3B6C145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解决方案已在国内龙头企业验证</w:t>
            </w:r>
          </w:p>
        </w:tc>
        <w:tc>
          <w:tcPr>
            <w:tcW w:w="2771" w:type="dxa"/>
          </w:tcPr>
          <w:p w14:paraId="306F527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高</w:t>
            </w:r>
          </w:p>
        </w:tc>
      </w:tr>
    </w:tbl>
    <w:p w14:paraId="28643CA6">
      <w:pPr>
        <w:pStyle w:val="4"/>
        <w:keepNext/>
        <w:widowControl/>
        <w:numPr>
          <w:ilvl w:val="0"/>
          <w:numId w:val="0"/>
        </w:numPr>
        <w:topLinePunct w:val="0"/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28" w:name="_Toc27556"/>
      <w:r>
        <w:rPr>
          <w:rFonts w:hint="eastAsia" w:ascii="微软雅黑" w:hAnsi="微软雅黑" w:eastAsia="微软雅黑" w:cs="微软雅黑"/>
          <w:highlight w:val="none"/>
          <w:lang w:eastAsia="zh-CN"/>
        </w:rPr>
        <w:t>四、</w:t>
      </w:r>
      <w:r>
        <w:rPr>
          <w:rFonts w:hint="eastAsia" w:ascii="微软雅黑" w:hAnsi="微软雅黑" w:eastAsia="微软雅黑" w:cs="微软雅黑"/>
          <w:highlight w:val="none"/>
        </w:rPr>
        <w:t>差异化竞争力定位</w:t>
      </w:r>
      <w:bookmarkEnd w:id="28"/>
    </w:p>
    <w:p w14:paraId="3A9DDD84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29" w:name="_Toc12559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价值主张</w:t>
      </w:r>
      <w:bookmarkEnd w:id="29"/>
    </w:p>
    <w:p w14:paraId="1C9270B7">
      <w:pPr>
        <w:pStyle w:val="19"/>
        <w:widowControl/>
        <w:rPr>
          <w:rFonts w:hint="eastAsia" w:ascii="微软雅黑" w:hAnsi="微软雅黑" w:eastAsia="微软雅黑" w:cs="微软雅黑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绿碳智汇的定位为：</w:t>
      </w: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"AI算法驱动的能源系统优化专家，兼具技术深度与落地能力，可为高端制造企业提供可量化、可验证、可持续的能效提升与ESG合规解决方案。"</w:t>
      </w:r>
    </w:p>
    <w:p w14:paraId="1F687226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30" w:name="_Toc3343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竞争力矩阵</w:t>
      </w:r>
      <w:bookmarkEnd w:id="3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56D4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3C4D116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差异化维度</w:t>
            </w:r>
          </w:p>
        </w:tc>
        <w:tc>
          <w:tcPr>
            <w:tcW w:w="2771" w:type="dxa"/>
            <w:shd w:val="clear" w:color="auto" w:fill="F2F2F2"/>
          </w:tcPr>
          <w:p w14:paraId="0204A24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具体表现</w:t>
            </w:r>
          </w:p>
        </w:tc>
        <w:tc>
          <w:tcPr>
            <w:tcW w:w="2771" w:type="dxa"/>
            <w:shd w:val="clear" w:color="auto" w:fill="F2F2F2"/>
          </w:tcPr>
          <w:p w14:paraId="1FBA8BD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对手对比</w:t>
            </w:r>
          </w:p>
        </w:tc>
      </w:tr>
      <w:tr w14:paraId="128B7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51F3D1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"AI+工程"复合能力</w:t>
            </w:r>
          </w:p>
        </w:tc>
        <w:tc>
          <w:tcPr>
            <w:tcW w:w="2771" w:type="dxa"/>
          </w:tcPr>
          <w:p w14:paraId="28A22B0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既有算法模型，又有现场实施能力，区别于纯软件公司或纯工程商</w:t>
            </w:r>
          </w:p>
        </w:tc>
        <w:tc>
          <w:tcPr>
            <w:tcW w:w="2771" w:type="dxa"/>
          </w:tcPr>
          <w:p w14:paraId="3634ABD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工业巨头（强算法弱落地）、工程商（强落地弱算法）</w:t>
            </w:r>
          </w:p>
        </w:tc>
      </w:tr>
      <w:tr w14:paraId="1C52D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B85ED6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"双碳+ESG+能源"三合一</w:t>
            </w:r>
          </w:p>
        </w:tc>
        <w:tc>
          <w:tcPr>
            <w:tcW w:w="2771" w:type="dxa"/>
          </w:tcPr>
          <w:p w14:paraId="33AFDE0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可提供从碳盘查到能效优化到ESG报告的一站式服务</w:t>
            </w:r>
          </w:p>
        </w:tc>
        <w:tc>
          <w:tcPr>
            <w:tcW w:w="2771" w:type="dxa"/>
          </w:tcPr>
          <w:p w14:paraId="0C0E909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单一领域服务商无法覆盖</w:t>
            </w:r>
          </w:p>
        </w:tc>
      </w:tr>
      <w:tr w14:paraId="19EE4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2F910D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无缝集成能力</w:t>
            </w:r>
          </w:p>
        </w:tc>
        <w:tc>
          <w:tcPr>
            <w:tcW w:w="2771" w:type="dxa"/>
          </w:tcPr>
          <w:p w14:paraId="7B92F4A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不替换客户现有系统，直接嵌入运行，投资小、风险低</w:t>
            </w:r>
          </w:p>
        </w:tc>
        <w:tc>
          <w:tcPr>
            <w:tcW w:w="2771" w:type="dxa"/>
          </w:tcPr>
          <w:p w14:paraId="064D73A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SaaS平台需替换系统</w:t>
            </w:r>
          </w:p>
        </w:tc>
      </w:tr>
      <w:tr w14:paraId="6EBFF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8E4291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可验证的效果</w:t>
            </w:r>
          </w:p>
        </w:tc>
        <w:tc>
          <w:tcPr>
            <w:tcW w:w="2771" w:type="dxa"/>
          </w:tcPr>
          <w:p w14:paraId="12A659C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30%+碳减排、10-30%节能率，有具体项目数据支撑</w:t>
            </w:r>
          </w:p>
        </w:tc>
        <w:tc>
          <w:tcPr>
            <w:tcW w:w="2771" w:type="dxa"/>
          </w:tcPr>
          <w:p w14:paraId="55B61DD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咨询公司重报告轻落地</w:t>
            </w:r>
          </w:p>
        </w:tc>
      </w:tr>
      <w:tr w14:paraId="2D1D6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2E6FE7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灵活的定制化</w:t>
            </w:r>
          </w:p>
        </w:tc>
        <w:tc>
          <w:tcPr>
            <w:tcW w:w="2771" w:type="dxa"/>
          </w:tcPr>
          <w:p w14:paraId="113483B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针对高景气行业（锂电、光伏）提供深度定制</w:t>
            </w:r>
          </w:p>
        </w:tc>
        <w:tc>
          <w:tcPr>
            <w:tcW w:w="2771" w:type="dxa"/>
          </w:tcPr>
          <w:p w14:paraId="74DD373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工业巨头标准化产品</w:t>
            </w:r>
          </w:p>
        </w:tc>
      </w:tr>
    </w:tbl>
    <w:p w14:paraId="0801E301">
      <w:pPr>
        <w:pStyle w:val="5"/>
        <w:bidi w:val="0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bookmarkStart w:id="31" w:name="_Toc27128"/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3.绿碳智汇SWOT分析矩阵</w:t>
      </w:r>
      <w:bookmarkEnd w:id="31"/>
    </w:p>
    <w:p w14:paraId="35275C21"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highlight w:val="none"/>
          <w:lang w:val="en-US" w:eastAsia="zh-CN" w:bidi="ar"/>
        </w:rPr>
        <w:drawing>
          <wp:inline distT="0" distB="0" distL="114300" distR="114300">
            <wp:extent cx="4594225" cy="2186305"/>
            <wp:effectExtent l="0" t="0" r="3175" b="1079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2186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17E244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32" w:name="_Toc24430"/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. </w:t>
      </w:r>
      <w:r>
        <w:rPr>
          <w:rFonts w:hint="eastAsia" w:ascii="微软雅黑" w:hAnsi="微软雅黑" w:eastAsia="微软雅黑" w:cs="微软雅黑"/>
          <w:highlight w:val="none"/>
        </w:rPr>
        <w:t>目标客户聚焦</w:t>
      </w:r>
      <w:bookmarkEnd w:id="3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17FA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628EBB2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客户类型</w:t>
            </w:r>
          </w:p>
        </w:tc>
        <w:tc>
          <w:tcPr>
            <w:tcW w:w="2771" w:type="dxa"/>
            <w:shd w:val="clear" w:color="auto" w:fill="F2F2F2"/>
          </w:tcPr>
          <w:p w14:paraId="665BBC7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选择理由</w:t>
            </w:r>
          </w:p>
        </w:tc>
        <w:tc>
          <w:tcPr>
            <w:tcW w:w="2771" w:type="dxa"/>
            <w:shd w:val="clear" w:color="auto" w:fill="F2F2F2"/>
          </w:tcPr>
          <w:p w14:paraId="69FB8B0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收入贡献目标</w:t>
            </w:r>
          </w:p>
        </w:tc>
      </w:tr>
      <w:tr w14:paraId="0121B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90F764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高端制造企业</w:t>
            </w:r>
          </w:p>
        </w:tc>
        <w:tc>
          <w:tcPr>
            <w:tcW w:w="2771" w:type="dxa"/>
          </w:tcPr>
          <w:p w14:paraId="3BD72AC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利润率高、节能意愿强、ESG需求迫切</w:t>
            </w:r>
          </w:p>
        </w:tc>
        <w:tc>
          <w:tcPr>
            <w:tcW w:w="2771" w:type="dxa"/>
          </w:tcPr>
          <w:p w14:paraId="2086880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55%→65%</w:t>
            </w:r>
          </w:p>
        </w:tc>
      </w:tr>
      <w:tr w14:paraId="7E56D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C30594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工业园区</w:t>
            </w:r>
          </w:p>
        </w:tc>
        <w:tc>
          <w:tcPr>
            <w:tcW w:w="2771" w:type="dxa"/>
          </w:tcPr>
          <w:p w14:paraId="6AA8B44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面积大、用能复杂、节能空间大</w:t>
            </w:r>
          </w:p>
        </w:tc>
        <w:tc>
          <w:tcPr>
            <w:tcW w:w="2771" w:type="dxa"/>
          </w:tcPr>
          <w:p w14:paraId="0074086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30%→25%</w:t>
            </w:r>
          </w:p>
        </w:tc>
      </w:tr>
      <w:tr w14:paraId="03D6F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2B295A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公共建筑</w:t>
            </w:r>
          </w:p>
        </w:tc>
        <w:tc>
          <w:tcPr>
            <w:tcW w:w="2771" w:type="dxa"/>
          </w:tcPr>
          <w:p w14:paraId="0E16D35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政策驱动强、示范效应好</w:t>
            </w:r>
          </w:p>
        </w:tc>
        <w:tc>
          <w:tcPr>
            <w:tcW w:w="2771" w:type="dxa"/>
          </w:tcPr>
          <w:p w14:paraId="072D6EE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15%→10%</w:t>
            </w:r>
          </w:p>
        </w:tc>
      </w:tr>
    </w:tbl>
    <w:p w14:paraId="10B90184">
      <w:pPr>
        <w:pStyle w:val="19"/>
        <w:widowControl/>
        <w:rPr>
          <w:rFonts w:hint="eastAsia" w:ascii="微软雅黑" w:hAnsi="微软雅黑" w:eastAsia="微软雅黑" w:cs="微软雅黑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优先聚焦高端制造企业的理由：</w:t>
      </w:r>
    </w:p>
    <w:p w14:paraId="2AEB0D85">
      <w:pPr>
        <w:pStyle w:val="19"/>
        <w:widowControl/>
        <w:numPr>
          <w:ilvl w:val="0"/>
          <w:numId w:val="20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高端制造企业能源成本占比高（通常5-15%），节能动力强；</w:t>
      </w:r>
    </w:p>
    <w:p w14:paraId="482B7BEA">
      <w:pPr>
        <w:pStyle w:val="19"/>
        <w:widowControl/>
        <w:numPr>
          <w:ilvl w:val="0"/>
          <w:numId w:val="20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头部企业面临出口碳关税（CBAM）压力，ESG合规需求迫切；</w:t>
      </w:r>
    </w:p>
    <w:p w14:paraId="5D885589">
      <w:pPr>
        <w:pStyle w:val="19"/>
        <w:widowControl/>
        <w:numPr>
          <w:ilvl w:val="0"/>
          <w:numId w:val="20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跨国企业有明确ESG承诺，预算充足、付款信用好；</w:t>
      </w:r>
    </w:p>
    <w:p w14:paraId="24600597">
      <w:pPr>
        <w:pStyle w:val="19"/>
        <w:widowControl/>
        <w:numPr>
          <w:ilvl w:val="0"/>
          <w:numId w:val="20"/>
        </w:numPr>
        <w:ind w:left="0" w:leftChars="0" w:firstLine="420" w:firstLineChars="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单体项目规模大（500-2000万），可支撑公司规模化增长。</w:t>
      </w:r>
    </w:p>
    <w:p w14:paraId="4A4837CA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33" w:name="_Toc32174"/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highlight w:val="none"/>
        </w:rPr>
        <w:t>竞争策略</w:t>
      </w:r>
      <w:bookmarkEnd w:id="3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8F0D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2CA0778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策略维度</w:t>
            </w:r>
          </w:p>
        </w:tc>
        <w:tc>
          <w:tcPr>
            <w:tcW w:w="4156" w:type="dxa"/>
            <w:shd w:val="clear" w:color="auto" w:fill="F2F2F2"/>
          </w:tcPr>
          <w:p w14:paraId="1943C70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具体做法</w:t>
            </w:r>
          </w:p>
        </w:tc>
      </w:tr>
      <w:tr w14:paraId="0C8FF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8BA19B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差异化聚焦</w:t>
            </w:r>
          </w:p>
        </w:tc>
        <w:tc>
          <w:tcPr>
            <w:tcW w:w="4156" w:type="dxa"/>
          </w:tcPr>
          <w:p w14:paraId="6A80A1CB">
            <w:pPr>
              <w:jc w:val="left"/>
              <w:rPr>
                <w:rFonts w:hint="default" w:ascii="微软雅黑" w:hAnsi="微软雅黑" w:eastAsia="微软雅黑" w:cs="微软雅黑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放弃</w:t>
            </w:r>
            <w:r>
              <w:rPr>
                <w:rFonts w:hint="eastAsia" w:ascii="微软雅黑" w:hAnsi="微软雅黑" w:eastAsia="微软雅黑" w:cs="微软雅黑"/>
                <w:highlight w:val="none"/>
              </w:rPr>
              <w:t>大型国企新建项目</w:t>
            </w:r>
            <w:r>
              <w:rPr>
                <w:rFonts w:hint="eastAsia" w:ascii="微软雅黑" w:hAnsi="微软雅黑" w:eastAsia="微软雅黑" w:cs="微软雅黑"/>
                <w:highlight w:val="none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highlight w:val="none"/>
                <w:lang w:val="en-US" w:eastAsia="zh-CN"/>
              </w:rPr>
              <w:t>审批流程长，回款慢）</w:t>
            </w:r>
            <w:r>
              <w:rPr>
                <w:rFonts w:hint="eastAsia" w:ascii="微软雅黑" w:hAnsi="微软雅黑" w:eastAsia="微软雅黑" w:cs="微软雅黑"/>
                <w:highlight w:val="none"/>
              </w:rPr>
              <w:t>，聚焦</w:t>
            </w:r>
            <w:r>
              <w:rPr>
                <w:rFonts w:hint="eastAsia" w:ascii="微软雅黑" w:hAnsi="微软雅黑" w:eastAsia="微软雅黑" w:cs="微软雅黑"/>
                <w:highlight w:val="none"/>
              </w:rPr>
              <w:t>高端制造</w:t>
            </w:r>
            <w:r>
              <w:rPr>
                <w:rFonts w:hint="eastAsia" w:ascii="微软雅黑" w:hAnsi="微软雅黑" w:eastAsia="微软雅黑" w:cs="微软雅黑"/>
                <w:highlight w:val="none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highlight w:val="none"/>
                <w:lang w:val="en-US" w:eastAsia="zh-CN"/>
              </w:rPr>
              <w:t>政策支持）</w:t>
            </w:r>
          </w:p>
        </w:tc>
      </w:tr>
      <w:tr w14:paraId="43DB8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361ADD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行业深耕</w:t>
            </w:r>
          </w:p>
        </w:tc>
        <w:tc>
          <w:tcPr>
            <w:tcW w:w="4156" w:type="dxa"/>
          </w:tcPr>
          <w:p w14:paraId="3DCA280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选择2-3个高景气行业（锂电、光伏、新能源汽车）</w:t>
            </w:r>
            <w:r>
              <w:rPr>
                <w:rFonts w:hint="eastAsia" w:ascii="微软雅黑" w:hAnsi="微软雅黑" w:eastAsia="微软雅黑" w:cs="微软雅黑"/>
                <w:highlight w:val="none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highlight w:val="none"/>
                <w:lang w:val="en-US" w:eastAsia="zh-CN"/>
              </w:rPr>
              <w:t>耗能多</w:t>
            </w:r>
            <w:r>
              <w:rPr>
                <w:rFonts w:hint="eastAsia" w:ascii="微软雅黑" w:hAnsi="微软雅黑" w:eastAsia="微软雅黑" w:cs="微软雅黑"/>
                <w:highlight w:val="none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微软雅黑"/>
                <w:highlight w:val="none"/>
              </w:rPr>
              <w:t>深耕，建立行业解决方案</w:t>
            </w:r>
          </w:p>
        </w:tc>
      </w:tr>
      <w:tr w14:paraId="53114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A4D951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标杆客户背书</w:t>
            </w:r>
          </w:p>
        </w:tc>
        <w:tc>
          <w:tcPr>
            <w:tcW w:w="4156" w:type="dxa"/>
          </w:tcPr>
          <w:p w14:paraId="67995B5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优先攻克1-2家行业龙头企业，形成案例背书</w:t>
            </w:r>
          </w:p>
        </w:tc>
      </w:tr>
      <w:tr w14:paraId="6BEB6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A629DF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技术壁垒构建</w:t>
            </w:r>
          </w:p>
        </w:tc>
        <w:tc>
          <w:tcPr>
            <w:tcW w:w="4156" w:type="dxa"/>
          </w:tcPr>
          <w:p w14:paraId="049832D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持续投入算法研发，通过数据积累提升模型精度</w:t>
            </w:r>
          </w:p>
        </w:tc>
      </w:tr>
      <w:tr w14:paraId="7D061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836BF2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生态合作</w:t>
            </w:r>
          </w:p>
        </w:tc>
        <w:tc>
          <w:tcPr>
            <w:tcW w:w="4156" w:type="dxa"/>
          </w:tcPr>
          <w:p w14:paraId="7965D1A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与工业自动化巨头、系统集成商形成互补合作，借船出海</w:t>
            </w:r>
          </w:p>
        </w:tc>
      </w:tr>
    </w:tbl>
    <w:p w14:paraId="6CDF1528">
      <w:pPr>
        <w:pStyle w:val="3"/>
        <w:keepNext/>
        <w:widowControl/>
        <w:rPr>
          <w:rFonts w:hint="eastAsia" w:ascii="微软雅黑" w:hAnsi="微软雅黑" w:eastAsia="微软雅黑" w:cs="微软雅黑"/>
          <w:highlight w:val="none"/>
        </w:rPr>
      </w:pPr>
      <w:bookmarkStart w:id="34" w:name="_Toc32117"/>
      <w:r>
        <w:rPr>
          <w:rFonts w:hint="eastAsia" w:ascii="微软雅黑" w:hAnsi="微软雅黑" w:eastAsia="微软雅黑" w:cs="微软雅黑"/>
          <w:highlight w:val="none"/>
        </w:rPr>
        <w:t>任务四：5年业务发展规划（2026-2030）</w:t>
      </w:r>
      <w:bookmarkEnd w:id="34"/>
    </w:p>
    <w:p w14:paraId="6ED2AE6C">
      <w:pPr>
        <w:pStyle w:val="4"/>
        <w:keepNext/>
        <w:widowControl/>
        <w:numPr>
          <w:ilvl w:val="0"/>
          <w:numId w:val="0"/>
        </w:numPr>
        <w:topLinePunct w:val="0"/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35" w:name="_Toc11067"/>
      <w:r>
        <w:rPr>
          <w:rFonts w:hint="eastAsia" w:ascii="微软雅黑" w:hAnsi="微软雅黑" w:eastAsia="微软雅黑" w:cs="微软雅黑"/>
          <w:highlight w:val="none"/>
          <w:lang w:eastAsia="zh-CN"/>
        </w:rPr>
        <w:t>一、</w:t>
      </w:r>
      <w:r>
        <w:rPr>
          <w:rFonts w:hint="eastAsia" w:ascii="微软雅黑" w:hAnsi="微软雅黑" w:eastAsia="微软雅黑" w:cs="微软雅黑"/>
          <w:highlight w:val="none"/>
        </w:rPr>
        <w:t>战略愿景与目标</w:t>
      </w:r>
      <w:bookmarkEnd w:id="35"/>
    </w:p>
    <w:p w14:paraId="544DC7BD">
      <w:pPr>
        <w:pStyle w:val="19"/>
        <w:widowControl/>
        <w:rPr>
          <w:rFonts w:hint="eastAsia" w:ascii="微软雅黑" w:hAnsi="微软雅黑" w:eastAsia="微软雅黑" w:cs="微软雅黑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愿景：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 xml:space="preserve"> 智驭能源，惠及万企</w:t>
      </w:r>
    </w:p>
    <w:p w14:paraId="39800B7E">
      <w:pPr>
        <w:pStyle w:val="19"/>
        <w:widowControl/>
        <w:rPr>
          <w:rFonts w:hint="eastAsia" w:ascii="微软雅黑" w:hAnsi="微软雅黑" w:eastAsia="微软雅黑" w:cs="微软雅黑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使命：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 xml:space="preserve"> 通过AI算法与能源工程融合，帮助工业企业实现节能降本、ESG合规与可持续发展</w:t>
      </w:r>
    </w:p>
    <w:p w14:paraId="5127BC34">
      <w:pPr>
        <w:pStyle w:val="4"/>
        <w:keepNext/>
        <w:widowControl/>
        <w:numPr>
          <w:ilvl w:val="0"/>
          <w:numId w:val="0"/>
        </w:numPr>
        <w:topLinePunct w:val="0"/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36" w:name="_Toc9356"/>
      <w:r>
        <w:rPr>
          <w:rFonts w:hint="eastAsia" w:ascii="微软雅黑" w:hAnsi="微软雅黑" w:eastAsia="微软雅黑" w:cs="微软雅黑"/>
          <w:highlight w:val="none"/>
          <w:lang w:eastAsia="zh-CN"/>
        </w:rPr>
        <w:t>二、</w:t>
      </w:r>
      <w:r>
        <w:rPr>
          <w:rFonts w:hint="eastAsia" w:ascii="微软雅黑" w:hAnsi="微软雅黑" w:eastAsia="微软雅黑" w:cs="微软雅黑"/>
          <w:highlight w:val="none"/>
        </w:rPr>
        <w:t>市场选择与进入策略</w:t>
      </w:r>
      <w:bookmarkEnd w:id="36"/>
    </w:p>
    <w:p w14:paraId="50ADF7A3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37" w:name="_Toc21216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市场选择</w:t>
      </w:r>
      <w:bookmarkEnd w:id="37"/>
    </w:p>
    <w:p w14:paraId="0A94ADEB">
      <w:pPr>
        <w:pStyle w:val="6"/>
        <w:keepNext/>
        <w:widowControl/>
        <w:numPr>
          <w:ilvl w:val="0"/>
          <w:numId w:val="0"/>
        </w:numPr>
        <w:ind w:left="0" w:leftChars="0" w:firstLine="482"/>
        <w:outlineLvl w:val="9"/>
        <w:rPr>
          <w:rFonts w:hint="eastAsia" w:ascii="微软雅黑" w:hAnsi="微软雅黑" w:eastAsia="微软雅黑" w:cs="微软雅黑"/>
          <w:b/>
          <w:highlight w:val="none"/>
        </w:rPr>
      </w:pP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A. </w:t>
      </w:r>
      <w:r>
        <w:rPr>
          <w:rFonts w:hint="eastAsia" w:ascii="微软雅黑" w:hAnsi="微软雅黑" w:eastAsia="微软雅黑" w:cs="微软雅黑"/>
          <w:highlight w:val="none"/>
        </w:rPr>
        <w:t>地理市场策略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7D1E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44E843E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阶段</w:t>
            </w:r>
          </w:p>
        </w:tc>
        <w:tc>
          <w:tcPr>
            <w:tcW w:w="2771" w:type="dxa"/>
            <w:shd w:val="clear" w:color="auto" w:fill="F2F2F2"/>
          </w:tcPr>
          <w:p w14:paraId="727E0DC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重点区域</w:t>
            </w:r>
          </w:p>
        </w:tc>
        <w:tc>
          <w:tcPr>
            <w:tcW w:w="2771" w:type="dxa"/>
            <w:shd w:val="clear" w:color="auto" w:fill="F2F2F2"/>
          </w:tcPr>
          <w:p w14:paraId="5261307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策略</w:t>
            </w:r>
          </w:p>
        </w:tc>
      </w:tr>
      <w:tr w14:paraId="6DF6E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30F386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2026-2027</w:t>
            </w:r>
          </w:p>
        </w:tc>
        <w:tc>
          <w:tcPr>
            <w:tcW w:w="2771" w:type="dxa"/>
          </w:tcPr>
          <w:p w14:paraId="51BD694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长三角+珠三角</w:t>
            </w:r>
          </w:p>
        </w:tc>
        <w:tc>
          <w:tcPr>
            <w:tcW w:w="2771" w:type="dxa"/>
          </w:tcPr>
          <w:p w14:paraId="593A796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围绕现有客户基础深耕，建立区域口碑</w:t>
            </w:r>
          </w:p>
        </w:tc>
      </w:tr>
      <w:tr w14:paraId="3D970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9EE5E2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2028-2029</w:t>
            </w:r>
          </w:p>
        </w:tc>
        <w:tc>
          <w:tcPr>
            <w:tcW w:w="2771" w:type="dxa"/>
          </w:tcPr>
          <w:p w14:paraId="4A4E815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华东+华中+西南</w:t>
            </w:r>
          </w:p>
        </w:tc>
        <w:tc>
          <w:tcPr>
            <w:tcW w:w="2771" w:type="dxa"/>
          </w:tcPr>
          <w:p w14:paraId="286BA74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跟随头部客户扩张，同步拓展新客户</w:t>
            </w:r>
          </w:p>
        </w:tc>
      </w:tr>
      <w:tr w14:paraId="70BCF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797DDC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2030</w:t>
            </w:r>
          </w:p>
        </w:tc>
        <w:tc>
          <w:tcPr>
            <w:tcW w:w="2771" w:type="dxa"/>
          </w:tcPr>
          <w:p w14:paraId="7BF3CB7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考虑东南亚试点</w:t>
            </w:r>
          </w:p>
        </w:tc>
        <w:tc>
          <w:tcPr>
            <w:tcW w:w="2771" w:type="dxa"/>
          </w:tcPr>
          <w:p w14:paraId="6C1CD0D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跟随中国制造业出海，优先服务出海中企</w:t>
            </w:r>
          </w:p>
        </w:tc>
      </w:tr>
    </w:tbl>
    <w:p w14:paraId="7CABEE1E">
      <w:pPr>
        <w:pStyle w:val="6"/>
        <w:keepNext/>
        <w:widowControl/>
        <w:numPr>
          <w:ilvl w:val="0"/>
          <w:numId w:val="0"/>
        </w:numPr>
        <w:ind w:left="0" w:leftChars="0" w:firstLine="482"/>
        <w:outlineLvl w:val="9"/>
        <w:rPr>
          <w:rFonts w:hint="eastAsia" w:ascii="微软雅黑" w:hAnsi="微软雅黑" w:eastAsia="微软雅黑" w:cs="微软雅黑"/>
          <w:b/>
          <w:highlight w:val="none"/>
        </w:rPr>
      </w:pP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B. </w:t>
      </w:r>
      <w:r>
        <w:rPr>
          <w:rFonts w:hint="eastAsia" w:ascii="微软雅黑" w:hAnsi="微软雅黑" w:eastAsia="微软雅黑" w:cs="微软雅黑"/>
          <w:highlight w:val="none"/>
        </w:rPr>
        <w:t>行业市场策略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3195"/>
        <w:gridCol w:w="2747"/>
      </w:tblGrid>
      <w:tr w14:paraId="181A6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2F2F2"/>
          </w:tcPr>
          <w:p w14:paraId="1809BBD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行业</w:t>
            </w:r>
          </w:p>
        </w:tc>
        <w:tc>
          <w:tcPr>
            <w:tcW w:w="3195" w:type="dxa"/>
            <w:shd w:val="clear" w:color="auto" w:fill="F2F2F2"/>
          </w:tcPr>
          <w:p w14:paraId="074B1FD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选择理由</w:t>
            </w:r>
          </w:p>
        </w:tc>
        <w:tc>
          <w:tcPr>
            <w:tcW w:w="2747" w:type="dxa"/>
            <w:shd w:val="clear" w:color="auto" w:fill="F2F2F2"/>
          </w:tcPr>
          <w:p w14:paraId="582555D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  <w:lang w:val="en-US" w:eastAsia="zh-CN"/>
              </w:rPr>
              <w:t>希望</w:t>
            </w: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收入占比2030</w:t>
            </w:r>
          </w:p>
        </w:tc>
      </w:tr>
      <w:tr w14:paraId="79F64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63EE4AE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锂电制造</w:t>
            </w:r>
          </w:p>
        </w:tc>
        <w:tc>
          <w:tcPr>
            <w:tcW w:w="3195" w:type="dxa"/>
          </w:tcPr>
          <w:p w14:paraId="73B2AB5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高景气、用能密度大、节能空间20-30%</w:t>
            </w:r>
          </w:p>
        </w:tc>
        <w:tc>
          <w:tcPr>
            <w:tcW w:w="2747" w:type="dxa"/>
          </w:tcPr>
          <w:p w14:paraId="481E4AF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35%</w:t>
            </w:r>
          </w:p>
        </w:tc>
      </w:tr>
      <w:tr w14:paraId="1C894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217BBF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光伏制造</w:t>
            </w:r>
          </w:p>
        </w:tc>
        <w:tc>
          <w:tcPr>
            <w:tcW w:w="3195" w:type="dxa"/>
          </w:tcPr>
          <w:p w14:paraId="327D0C3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竞争激烈、成本压力大、ESG需求强</w:t>
            </w:r>
          </w:p>
        </w:tc>
        <w:tc>
          <w:tcPr>
            <w:tcW w:w="2747" w:type="dxa"/>
          </w:tcPr>
          <w:p w14:paraId="55D2E55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25%</w:t>
            </w:r>
          </w:p>
        </w:tc>
      </w:tr>
      <w:tr w14:paraId="053FF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668F4F7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新能源汽车</w:t>
            </w:r>
          </w:p>
        </w:tc>
        <w:tc>
          <w:tcPr>
            <w:tcW w:w="3195" w:type="dxa"/>
          </w:tcPr>
          <w:p w14:paraId="347BA38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快速增长、工厂新建改造多</w:t>
            </w:r>
          </w:p>
        </w:tc>
        <w:tc>
          <w:tcPr>
            <w:tcW w:w="2747" w:type="dxa"/>
          </w:tcPr>
          <w:p w14:paraId="2CBA725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15%</w:t>
            </w:r>
          </w:p>
        </w:tc>
      </w:tr>
      <w:tr w14:paraId="52027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1EA92D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半导体</w:t>
            </w:r>
          </w:p>
        </w:tc>
        <w:tc>
          <w:tcPr>
            <w:tcW w:w="3195" w:type="dxa"/>
          </w:tcPr>
          <w:p w14:paraId="24A7642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高附加值、精密控温需求大</w:t>
            </w:r>
          </w:p>
        </w:tc>
        <w:tc>
          <w:tcPr>
            <w:tcW w:w="2747" w:type="dxa"/>
          </w:tcPr>
          <w:p w14:paraId="4914CEE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10%</w:t>
            </w:r>
          </w:p>
        </w:tc>
      </w:tr>
      <w:tr w14:paraId="1DEB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50DBF5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传统制造</w:t>
            </w:r>
          </w:p>
        </w:tc>
        <w:tc>
          <w:tcPr>
            <w:tcW w:w="3195" w:type="dxa"/>
          </w:tcPr>
          <w:p w14:paraId="5302169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基数大、碳市场压力传导</w:t>
            </w:r>
          </w:p>
        </w:tc>
        <w:tc>
          <w:tcPr>
            <w:tcW w:w="2747" w:type="dxa"/>
          </w:tcPr>
          <w:p w14:paraId="42A4C13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15%</w:t>
            </w:r>
          </w:p>
        </w:tc>
      </w:tr>
    </w:tbl>
    <w:p w14:paraId="40DE9F80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38" w:name="_Toc21118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客户选择标准</w:t>
      </w:r>
      <w:bookmarkEnd w:id="3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B314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1911C81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客户层级</w:t>
            </w:r>
          </w:p>
        </w:tc>
        <w:tc>
          <w:tcPr>
            <w:tcW w:w="2771" w:type="dxa"/>
            <w:shd w:val="clear" w:color="auto" w:fill="F2F2F2"/>
          </w:tcPr>
          <w:p w14:paraId="4E06F0D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选择标准</w:t>
            </w:r>
          </w:p>
        </w:tc>
        <w:tc>
          <w:tcPr>
            <w:tcW w:w="2771" w:type="dxa"/>
            <w:shd w:val="clear" w:color="auto" w:fill="F2F2F2"/>
          </w:tcPr>
          <w:p w14:paraId="3BB02A0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客户画像</w:t>
            </w:r>
          </w:p>
        </w:tc>
      </w:tr>
      <w:tr w14:paraId="5E2DB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15C526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A类客户（战略客户）</w:t>
            </w:r>
          </w:p>
        </w:tc>
        <w:tc>
          <w:tcPr>
            <w:tcW w:w="2771" w:type="dxa"/>
          </w:tcPr>
          <w:p w14:paraId="6F283B8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年用电量&gt;1亿度、</w:t>
            </w:r>
            <w:r>
              <w:rPr>
                <w:rFonts w:hint="eastAsia" w:ascii="微软雅黑" w:hAnsi="微软雅黑" w:eastAsia="微软雅黑" w:cs="微软雅黑"/>
                <w:highlight w:val="none"/>
              </w:rPr>
              <w:t>上市公司/龙头、ESG披露要求明确</w:t>
            </w:r>
          </w:p>
        </w:tc>
        <w:tc>
          <w:tcPr>
            <w:tcW w:w="2771" w:type="dxa"/>
          </w:tcPr>
          <w:p w14:paraId="19F15AB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宁德时代、比亚迪、隆基绿能</w:t>
            </w:r>
          </w:p>
        </w:tc>
      </w:tr>
      <w:tr w14:paraId="487B7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192428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B类客户（优质客户）</w:t>
            </w:r>
          </w:p>
        </w:tc>
        <w:tc>
          <w:tcPr>
            <w:tcW w:w="2771" w:type="dxa"/>
          </w:tcPr>
          <w:p w14:paraId="69932F5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年用电量5000万-1亿</w:t>
            </w:r>
            <w:r>
              <w:rPr>
                <w:rFonts w:hint="eastAsia" w:ascii="微软雅黑" w:hAnsi="微软雅黑" w:eastAsia="微软雅黑" w:cs="微软雅黑"/>
                <w:highlight w:val="none"/>
              </w:rPr>
              <w:t>度、有节能预算、付款信用好</w:t>
            </w:r>
          </w:p>
        </w:tc>
        <w:tc>
          <w:tcPr>
            <w:tcW w:w="2771" w:type="dxa"/>
          </w:tcPr>
          <w:p w14:paraId="2A1C383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上市公司子公司、行业二线龙头</w:t>
            </w:r>
          </w:p>
        </w:tc>
      </w:tr>
      <w:tr w14:paraId="3DA0D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7D71F2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C类客户（培育客户）</w:t>
            </w:r>
          </w:p>
        </w:tc>
        <w:tc>
          <w:tcPr>
            <w:tcW w:w="2771" w:type="dxa"/>
          </w:tcPr>
          <w:p w14:paraId="4AFC223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有节能意愿但预算有限、可接受试点模式</w:t>
            </w:r>
          </w:p>
        </w:tc>
        <w:tc>
          <w:tcPr>
            <w:tcW w:w="2771" w:type="dxa"/>
          </w:tcPr>
          <w:p w14:paraId="67D0C8B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中型制造企业、产业园区</w:t>
            </w:r>
          </w:p>
        </w:tc>
      </w:tr>
    </w:tbl>
    <w:p w14:paraId="64188EF3">
      <w:pPr>
        <w:pStyle w:val="4"/>
        <w:keepNext/>
        <w:widowControl/>
        <w:numPr>
          <w:ilvl w:val="0"/>
          <w:numId w:val="0"/>
        </w:numPr>
        <w:topLinePunct w:val="0"/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39" w:name="_Toc26503"/>
      <w:r>
        <w:rPr>
          <w:rFonts w:hint="eastAsia" w:ascii="微软雅黑" w:hAnsi="微软雅黑" w:eastAsia="微软雅黑" w:cs="微软雅黑"/>
          <w:highlight w:val="none"/>
          <w:lang w:eastAsia="zh-CN"/>
        </w:rPr>
        <w:t>三、</w:t>
      </w:r>
      <w:r>
        <w:rPr>
          <w:rFonts w:hint="eastAsia" w:ascii="微软雅黑" w:hAnsi="微软雅黑" w:eastAsia="微软雅黑" w:cs="微软雅黑"/>
          <w:highlight w:val="none"/>
        </w:rPr>
        <w:t>品牌定位策略</w:t>
      </w:r>
      <w:bookmarkEnd w:id="3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FD6F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48E96E4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阶段</w:t>
            </w:r>
          </w:p>
        </w:tc>
        <w:tc>
          <w:tcPr>
            <w:tcW w:w="4156" w:type="dxa"/>
            <w:shd w:val="clear" w:color="auto" w:fill="F2F2F2"/>
          </w:tcPr>
          <w:p w14:paraId="4A171CF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品牌建设重点</w:t>
            </w:r>
          </w:p>
        </w:tc>
      </w:tr>
      <w:tr w14:paraId="66530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A3DA93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2026-2027</w:t>
            </w:r>
          </w:p>
        </w:tc>
        <w:tc>
          <w:tcPr>
            <w:tcW w:w="4156" w:type="dxa"/>
          </w:tcPr>
          <w:p w14:paraId="6D10EA2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聚焦2-3个标杆案例，建立行业口碑</w:t>
            </w:r>
          </w:p>
        </w:tc>
      </w:tr>
      <w:tr w14:paraId="5C4B2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97834F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2028-2029</w:t>
            </w:r>
          </w:p>
        </w:tc>
        <w:tc>
          <w:tcPr>
            <w:tcW w:w="4156" w:type="dxa"/>
          </w:tcPr>
          <w:p w14:paraId="2BA54F2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发布行业白皮书，提升行业影响力</w:t>
            </w:r>
          </w:p>
        </w:tc>
      </w:tr>
      <w:tr w14:paraId="758E7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41B388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2030</w:t>
            </w:r>
          </w:p>
        </w:tc>
        <w:tc>
          <w:tcPr>
            <w:tcW w:w="4156" w:type="dxa"/>
          </w:tcPr>
          <w:p w14:paraId="43D372F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打造"能源优化领域的AI专家"品牌认知</w:t>
            </w:r>
          </w:p>
        </w:tc>
      </w:tr>
    </w:tbl>
    <w:p w14:paraId="4A67FD6B">
      <w:pPr>
        <w:pStyle w:val="4"/>
        <w:keepNext/>
        <w:widowControl/>
        <w:numPr>
          <w:ilvl w:val="0"/>
          <w:numId w:val="0"/>
        </w:numPr>
        <w:topLinePunct w:val="0"/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40" w:name="_Toc4526"/>
      <w:r>
        <w:rPr>
          <w:rFonts w:hint="eastAsia" w:ascii="微软雅黑" w:hAnsi="微软雅黑" w:eastAsia="微软雅黑" w:cs="微软雅黑"/>
          <w:highlight w:val="none"/>
          <w:lang w:eastAsia="zh-CN"/>
        </w:rPr>
        <w:t>四、</w:t>
      </w:r>
      <w:r>
        <w:rPr>
          <w:rFonts w:hint="eastAsia" w:ascii="微软雅黑" w:hAnsi="微软雅黑" w:eastAsia="微软雅黑" w:cs="微软雅黑"/>
          <w:highlight w:val="none"/>
        </w:rPr>
        <w:t>业务模式设计</w:t>
      </w:r>
      <w:bookmarkEnd w:id="40"/>
    </w:p>
    <w:p w14:paraId="64EBA588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41" w:name="_Toc10403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收入结构演进规划</w:t>
      </w:r>
      <w:bookmarkEnd w:id="4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3E47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5CB1628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收入类型</w:t>
            </w:r>
          </w:p>
        </w:tc>
        <w:tc>
          <w:tcPr>
            <w:tcW w:w="2078" w:type="dxa"/>
            <w:shd w:val="clear" w:color="auto" w:fill="F2F2F2"/>
          </w:tcPr>
          <w:p w14:paraId="3C5418A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2025现状</w:t>
            </w:r>
          </w:p>
        </w:tc>
        <w:tc>
          <w:tcPr>
            <w:tcW w:w="2078" w:type="dxa"/>
            <w:shd w:val="clear" w:color="auto" w:fill="F2F2F2"/>
          </w:tcPr>
          <w:p w14:paraId="6413695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2027目标</w:t>
            </w:r>
          </w:p>
        </w:tc>
        <w:tc>
          <w:tcPr>
            <w:tcW w:w="2078" w:type="dxa"/>
            <w:shd w:val="clear" w:color="auto" w:fill="F2F2F2"/>
          </w:tcPr>
          <w:p w14:paraId="68FC334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2030目标</w:t>
            </w:r>
          </w:p>
        </w:tc>
      </w:tr>
      <w:tr w14:paraId="36DBF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302C37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定制化能效优化项目</w:t>
            </w:r>
          </w:p>
        </w:tc>
        <w:tc>
          <w:tcPr>
            <w:tcW w:w="2078" w:type="dxa"/>
          </w:tcPr>
          <w:p w14:paraId="18A070D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65%</w:t>
            </w:r>
          </w:p>
        </w:tc>
        <w:tc>
          <w:tcPr>
            <w:tcW w:w="2078" w:type="dxa"/>
          </w:tcPr>
          <w:p w14:paraId="3D0B516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55%</w:t>
            </w:r>
          </w:p>
        </w:tc>
        <w:tc>
          <w:tcPr>
            <w:tcW w:w="2078" w:type="dxa"/>
          </w:tcPr>
          <w:p w14:paraId="4FC85E9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40%</w:t>
            </w:r>
          </w:p>
        </w:tc>
      </w:tr>
      <w:tr w14:paraId="4361E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2D5EE0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ESG/双碳咨询</w:t>
            </w:r>
          </w:p>
        </w:tc>
        <w:tc>
          <w:tcPr>
            <w:tcW w:w="2078" w:type="dxa"/>
          </w:tcPr>
          <w:p w14:paraId="6D63031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20%</w:t>
            </w:r>
          </w:p>
        </w:tc>
        <w:tc>
          <w:tcPr>
            <w:tcW w:w="2078" w:type="dxa"/>
          </w:tcPr>
          <w:p w14:paraId="4919B6B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15%</w:t>
            </w:r>
          </w:p>
        </w:tc>
        <w:tc>
          <w:tcPr>
            <w:tcW w:w="2078" w:type="dxa"/>
          </w:tcPr>
          <w:p w14:paraId="6C68571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10%</w:t>
            </w:r>
          </w:p>
        </w:tc>
      </w:tr>
      <w:tr w14:paraId="2F06C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C29158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软件/平台订阅</w:t>
            </w:r>
          </w:p>
        </w:tc>
        <w:tc>
          <w:tcPr>
            <w:tcW w:w="2078" w:type="dxa"/>
          </w:tcPr>
          <w:p w14:paraId="7E76999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10%</w:t>
            </w:r>
          </w:p>
        </w:tc>
        <w:tc>
          <w:tcPr>
            <w:tcW w:w="2078" w:type="dxa"/>
          </w:tcPr>
          <w:p w14:paraId="08645A3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20%</w:t>
            </w:r>
          </w:p>
        </w:tc>
        <w:tc>
          <w:tcPr>
            <w:tcW w:w="2078" w:type="dxa"/>
          </w:tcPr>
          <w:p w14:paraId="12995BF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35%</w:t>
            </w:r>
          </w:p>
        </w:tc>
      </w:tr>
      <w:tr w14:paraId="45878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F0C269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运维服务</w:t>
            </w:r>
          </w:p>
        </w:tc>
        <w:tc>
          <w:tcPr>
            <w:tcW w:w="2078" w:type="dxa"/>
          </w:tcPr>
          <w:p w14:paraId="2AA4D10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5%</w:t>
            </w:r>
          </w:p>
        </w:tc>
        <w:tc>
          <w:tcPr>
            <w:tcW w:w="2078" w:type="dxa"/>
          </w:tcPr>
          <w:p w14:paraId="4D12B94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10%</w:t>
            </w:r>
          </w:p>
        </w:tc>
        <w:tc>
          <w:tcPr>
            <w:tcW w:w="2078" w:type="dxa"/>
          </w:tcPr>
          <w:p w14:paraId="614BE8A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15%</w:t>
            </w:r>
          </w:p>
        </w:tc>
      </w:tr>
      <w:tr w14:paraId="4B61C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AC64F5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合计</w:t>
            </w:r>
          </w:p>
        </w:tc>
        <w:tc>
          <w:tcPr>
            <w:tcW w:w="2078" w:type="dxa"/>
          </w:tcPr>
          <w:p w14:paraId="4EA5D78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100%</w:t>
            </w:r>
          </w:p>
        </w:tc>
        <w:tc>
          <w:tcPr>
            <w:tcW w:w="2078" w:type="dxa"/>
          </w:tcPr>
          <w:p w14:paraId="2397437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100%</w:t>
            </w:r>
          </w:p>
        </w:tc>
        <w:tc>
          <w:tcPr>
            <w:tcW w:w="2078" w:type="dxa"/>
          </w:tcPr>
          <w:p w14:paraId="0A0E376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100%</w:t>
            </w:r>
          </w:p>
        </w:tc>
      </w:tr>
    </w:tbl>
    <w:p w14:paraId="440D341C">
      <w:pPr>
        <w:pStyle w:val="19"/>
        <w:widowControl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转型逻辑：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项目制是当前主要收入，但不可复制、增长受人员限制；订阅制可复制、边际成本低，是估值提升的关键；</w:t>
      </w:r>
    </w:p>
    <w:p w14:paraId="3FBF6CEC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42" w:name="_Toc28665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产品化路径</w:t>
      </w:r>
      <w:bookmarkEnd w:id="4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9C72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09A4AC5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阶段</w:t>
            </w:r>
          </w:p>
        </w:tc>
        <w:tc>
          <w:tcPr>
            <w:tcW w:w="2771" w:type="dxa"/>
            <w:shd w:val="clear" w:color="auto" w:fill="F2F2F2"/>
          </w:tcPr>
          <w:p w14:paraId="12EF08C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产品化重点</w:t>
            </w:r>
          </w:p>
        </w:tc>
        <w:tc>
          <w:tcPr>
            <w:tcW w:w="2771" w:type="dxa"/>
            <w:shd w:val="clear" w:color="auto" w:fill="F2F2F2"/>
          </w:tcPr>
          <w:p w14:paraId="44179DF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形态</w:t>
            </w:r>
          </w:p>
        </w:tc>
      </w:tr>
      <w:tr w14:paraId="4DE25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EF6D63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2026</w:t>
            </w:r>
          </w:p>
        </w:tc>
        <w:tc>
          <w:tcPr>
            <w:tcW w:w="2771" w:type="dxa"/>
          </w:tcPr>
          <w:p w14:paraId="259B187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提炼通用算法模块</w:t>
            </w:r>
          </w:p>
        </w:tc>
        <w:tc>
          <w:tcPr>
            <w:tcW w:w="2771" w:type="dxa"/>
          </w:tcPr>
          <w:p w14:paraId="7195CE7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项目复用组件</w:t>
            </w:r>
          </w:p>
        </w:tc>
      </w:tr>
      <w:tr w14:paraId="04435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6681E2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2027</w:t>
            </w:r>
          </w:p>
        </w:tc>
        <w:tc>
          <w:tcPr>
            <w:tcW w:w="2771" w:type="dxa"/>
          </w:tcPr>
          <w:p w14:paraId="008081F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开发行业解决方案包</w:t>
            </w:r>
          </w:p>
        </w:tc>
        <w:tc>
          <w:tcPr>
            <w:tcW w:w="2771" w:type="dxa"/>
          </w:tcPr>
          <w:p w14:paraId="3CF8964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标准化+定制化</w:t>
            </w:r>
          </w:p>
        </w:tc>
      </w:tr>
      <w:tr w14:paraId="5E2E0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760273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2028</w:t>
            </w:r>
          </w:p>
        </w:tc>
        <w:tc>
          <w:tcPr>
            <w:tcW w:w="2771" w:type="dxa"/>
          </w:tcPr>
          <w:p w14:paraId="7327DEC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推出SaaS平台</w:t>
            </w:r>
          </w:p>
        </w:tc>
        <w:tc>
          <w:tcPr>
            <w:tcW w:w="2771" w:type="dxa"/>
          </w:tcPr>
          <w:p w14:paraId="21191CF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云端订阅</w:t>
            </w:r>
          </w:p>
        </w:tc>
      </w:tr>
      <w:tr w14:paraId="73E31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FE18F7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2029-2030</w:t>
            </w:r>
          </w:p>
        </w:tc>
        <w:tc>
          <w:tcPr>
            <w:tcW w:w="2771" w:type="dxa"/>
          </w:tcPr>
          <w:p w14:paraId="4B1BDB7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平台生态</w:t>
            </w:r>
          </w:p>
        </w:tc>
        <w:tc>
          <w:tcPr>
            <w:tcW w:w="2771" w:type="dxa"/>
          </w:tcPr>
          <w:p w14:paraId="0D430D4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开放API、行业插件</w:t>
            </w:r>
          </w:p>
        </w:tc>
      </w:tr>
    </w:tbl>
    <w:p w14:paraId="09057462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43" w:name="_Toc20484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3. </w:t>
      </w:r>
      <w:r>
        <w:rPr>
          <w:rFonts w:hint="eastAsia" w:ascii="微软雅黑" w:hAnsi="微软雅黑" w:eastAsia="微软雅黑" w:cs="微软雅黑"/>
          <w:highlight w:val="none"/>
        </w:rPr>
        <w:t>定价策略</w:t>
      </w:r>
      <w:bookmarkEnd w:id="4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494D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6D106C5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产品类型</w:t>
            </w:r>
          </w:p>
        </w:tc>
        <w:tc>
          <w:tcPr>
            <w:tcW w:w="2771" w:type="dxa"/>
            <w:shd w:val="clear" w:color="auto" w:fill="F2F2F2"/>
          </w:tcPr>
          <w:p w14:paraId="7839F16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定价方式</w:t>
            </w:r>
          </w:p>
        </w:tc>
        <w:tc>
          <w:tcPr>
            <w:tcW w:w="2771" w:type="dxa"/>
            <w:shd w:val="clear" w:color="auto" w:fill="F2F2F2"/>
          </w:tcPr>
          <w:p w14:paraId="5D6DCB7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价格区间</w:t>
            </w:r>
          </w:p>
        </w:tc>
      </w:tr>
      <w:tr w14:paraId="3BADB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F7D932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大型能效优化项目</w:t>
            </w:r>
          </w:p>
        </w:tc>
        <w:tc>
          <w:tcPr>
            <w:tcW w:w="2771" w:type="dxa"/>
          </w:tcPr>
          <w:p w14:paraId="481D0D4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成本加成</w:t>
            </w:r>
          </w:p>
        </w:tc>
        <w:tc>
          <w:tcPr>
            <w:tcW w:w="2771" w:type="dxa"/>
          </w:tcPr>
          <w:p w14:paraId="6B30A29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500-2000万</w:t>
            </w:r>
          </w:p>
        </w:tc>
      </w:tr>
      <w:tr w14:paraId="027E2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18F0F3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中型能效优化项目</w:t>
            </w:r>
          </w:p>
        </w:tc>
        <w:tc>
          <w:tcPr>
            <w:tcW w:w="2771" w:type="dxa"/>
          </w:tcPr>
          <w:p w14:paraId="7C5431F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效果分成+固定服务费</w:t>
            </w:r>
          </w:p>
        </w:tc>
        <w:tc>
          <w:tcPr>
            <w:tcW w:w="2771" w:type="dxa"/>
          </w:tcPr>
          <w:p w14:paraId="3572D5B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200-500万</w:t>
            </w:r>
          </w:p>
        </w:tc>
      </w:tr>
      <w:tr w14:paraId="1334A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6F24E1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SaaS平台</w:t>
            </w:r>
          </w:p>
        </w:tc>
        <w:tc>
          <w:tcPr>
            <w:tcW w:w="2771" w:type="dxa"/>
          </w:tcPr>
          <w:p w14:paraId="7838DBF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按点位/年订阅</w:t>
            </w:r>
          </w:p>
        </w:tc>
        <w:tc>
          <w:tcPr>
            <w:tcW w:w="2771" w:type="dxa"/>
          </w:tcPr>
          <w:p w14:paraId="29FD01F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5-20万/点位/年</w:t>
            </w:r>
          </w:p>
        </w:tc>
      </w:tr>
      <w:tr w14:paraId="64CBA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9BBF28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ESG咨询</w:t>
            </w:r>
          </w:p>
        </w:tc>
        <w:tc>
          <w:tcPr>
            <w:tcW w:w="2771" w:type="dxa"/>
          </w:tcPr>
          <w:p w14:paraId="1C32725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项目制</w:t>
            </w:r>
          </w:p>
        </w:tc>
        <w:tc>
          <w:tcPr>
            <w:tcW w:w="2771" w:type="dxa"/>
          </w:tcPr>
          <w:p w14:paraId="12E9607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30-100万</w:t>
            </w:r>
          </w:p>
        </w:tc>
      </w:tr>
      <w:tr w14:paraId="53FB6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926D44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运维服务</w:t>
            </w:r>
          </w:p>
        </w:tc>
        <w:tc>
          <w:tcPr>
            <w:tcW w:w="2771" w:type="dxa"/>
          </w:tcPr>
          <w:p w14:paraId="0FD8F37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年度订阅</w:t>
            </w:r>
          </w:p>
        </w:tc>
        <w:tc>
          <w:tcPr>
            <w:tcW w:w="2771" w:type="dxa"/>
          </w:tcPr>
          <w:p w14:paraId="152ED82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合同额10-15%</w:t>
            </w:r>
          </w:p>
        </w:tc>
      </w:tr>
    </w:tbl>
    <w:p w14:paraId="4F4A6185">
      <w:pPr>
        <w:pStyle w:val="4"/>
        <w:keepNext/>
        <w:widowControl/>
        <w:numPr>
          <w:ilvl w:val="0"/>
          <w:numId w:val="0"/>
        </w:numPr>
        <w:topLinePunct w:val="0"/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44" w:name="_Toc15792"/>
      <w:r>
        <w:rPr>
          <w:rFonts w:hint="eastAsia" w:ascii="微软雅黑" w:hAnsi="微软雅黑" w:eastAsia="微软雅黑" w:cs="微软雅黑"/>
          <w:highlight w:val="none"/>
          <w:lang w:eastAsia="zh-CN"/>
        </w:rPr>
        <w:t>五、</w:t>
      </w:r>
      <w:r>
        <w:rPr>
          <w:rFonts w:hint="eastAsia" w:ascii="微软雅黑" w:hAnsi="微软雅黑" w:eastAsia="微软雅黑" w:cs="微软雅黑"/>
          <w:highlight w:val="none"/>
        </w:rPr>
        <w:t>业务组合策略</w:t>
      </w:r>
      <w:bookmarkEnd w:id="44"/>
    </w:p>
    <w:p w14:paraId="254498BB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45" w:name="_Toc31603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产品组合</w:t>
      </w:r>
      <w:bookmarkEnd w:id="45"/>
    </w:p>
    <w:tbl>
      <w:tblPr>
        <w:tblStyle w:val="36"/>
        <w:tblW w:w="83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4"/>
        <w:gridCol w:w="2053"/>
        <w:gridCol w:w="3175"/>
      </w:tblGrid>
      <w:tr w14:paraId="48FB5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84" w:type="dxa"/>
            <w:shd w:val="clear" w:color="auto" w:fill="F2F2F2"/>
            <w:vAlign w:val="center"/>
          </w:tcPr>
          <w:p w14:paraId="08E0A4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产品/服务</w:t>
            </w:r>
          </w:p>
        </w:tc>
        <w:tc>
          <w:tcPr>
            <w:tcW w:w="2053" w:type="dxa"/>
            <w:shd w:val="clear" w:color="auto" w:fill="F2F2F2"/>
            <w:vAlign w:val="center"/>
          </w:tcPr>
          <w:p w14:paraId="538EA0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战略定位</w:t>
            </w:r>
          </w:p>
        </w:tc>
        <w:tc>
          <w:tcPr>
            <w:tcW w:w="3175" w:type="dxa"/>
            <w:shd w:val="clear" w:color="auto" w:fill="F2F2F2"/>
            <w:vAlign w:val="center"/>
          </w:tcPr>
          <w:p w14:paraId="114362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收入占比2030</w:t>
            </w:r>
          </w:p>
        </w:tc>
      </w:tr>
      <w:tr w14:paraId="5196B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84" w:type="dxa"/>
            <w:vAlign w:val="center"/>
          </w:tcPr>
          <w:p w14:paraId="0FAF862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能效优化项目</w:t>
            </w:r>
          </w:p>
        </w:tc>
        <w:tc>
          <w:tcPr>
            <w:tcW w:w="2053" w:type="dxa"/>
            <w:vAlign w:val="center"/>
          </w:tcPr>
          <w:p w14:paraId="37FB1D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现金牛</w:t>
            </w:r>
          </w:p>
        </w:tc>
        <w:tc>
          <w:tcPr>
            <w:tcW w:w="3175" w:type="dxa"/>
            <w:vAlign w:val="center"/>
          </w:tcPr>
          <w:p w14:paraId="211FDF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40%</w:t>
            </w:r>
          </w:p>
        </w:tc>
      </w:tr>
      <w:tr w14:paraId="2C671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84" w:type="dxa"/>
            <w:vAlign w:val="center"/>
          </w:tcPr>
          <w:p w14:paraId="0A3591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SaaS平台订阅</w:t>
            </w:r>
          </w:p>
        </w:tc>
        <w:tc>
          <w:tcPr>
            <w:tcW w:w="2053" w:type="dxa"/>
            <w:vAlign w:val="center"/>
          </w:tcPr>
          <w:p w14:paraId="15B20A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增长引擎</w:t>
            </w:r>
          </w:p>
        </w:tc>
        <w:tc>
          <w:tcPr>
            <w:tcW w:w="3175" w:type="dxa"/>
            <w:vAlign w:val="center"/>
          </w:tcPr>
          <w:p w14:paraId="7E43FA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35%</w:t>
            </w:r>
          </w:p>
        </w:tc>
      </w:tr>
      <w:tr w14:paraId="10A24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84" w:type="dxa"/>
            <w:vAlign w:val="center"/>
          </w:tcPr>
          <w:p w14:paraId="63FA3F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ESG咨询</w:t>
            </w:r>
          </w:p>
        </w:tc>
        <w:tc>
          <w:tcPr>
            <w:tcW w:w="2053" w:type="dxa"/>
            <w:vAlign w:val="center"/>
          </w:tcPr>
          <w:p w14:paraId="03252D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获客入口</w:t>
            </w:r>
          </w:p>
        </w:tc>
        <w:tc>
          <w:tcPr>
            <w:tcW w:w="3175" w:type="dxa"/>
            <w:vAlign w:val="center"/>
          </w:tcPr>
          <w:p w14:paraId="4A4C96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10%</w:t>
            </w:r>
          </w:p>
        </w:tc>
      </w:tr>
      <w:tr w14:paraId="12C92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84" w:type="dxa"/>
            <w:vAlign w:val="center"/>
          </w:tcPr>
          <w:p w14:paraId="1273BB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运维服务</w:t>
            </w:r>
          </w:p>
        </w:tc>
        <w:tc>
          <w:tcPr>
            <w:tcW w:w="2053" w:type="dxa"/>
            <w:vAlign w:val="center"/>
          </w:tcPr>
          <w:p w14:paraId="16767D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粘性保障</w:t>
            </w:r>
          </w:p>
        </w:tc>
        <w:tc>
          <w:tcPr>
            <w:tcW w:w="3175" w:type="dxa"/>
            <w:vAlign w:val="center"/>
          </w:tcPr>
          <w:p w14:paraId="057F4C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15%</w:t>
            </w:r>
          </w:p>
        </w:tc>
      </w:tr>
    </w:tbl>
    <w:p w14:paraId="5305639B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46" w:name="_Toc23882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客户组合</w:t>
      </w:r>
      <w:bookmarkEnd w:id="4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3691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7CBDFFA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客户层级</w:t>
            </w:r>
          </w:p>
        </w:tc>
        <w:tc>
          <w:tcPr>
            <w:tcW w:w="2078" w:type="dxa"/>
            <w:shd w:val="clear" w:color="auto" w:fill="F2F2F2"/>
          </w:tcPr>
          <w:p w14:paraId="180B70F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占比</w:t>
            </w:r>
          </w:p>
        </w:tc>
        <w:tc>
          <w:tcPr>
            <w:tcW w:w="2078" w:type="dxa"/>
            <w:shd w:val="clear" w:color="auto" w:fill="F2F2F2"/>
          </w:tcPr>
          <w:p w14:paraId="74B4726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贡献</w:t>
            </w:r>
          </w:p>
        </w:tc>
        <w:tc>
          <w:tcPr>
            <w:tcW w:w="2078" w:type="dxa"/>
            <w:shd w:val="clear" w:color="auto" w:fill="F2F2F2"/>
          </w:tcPr>
          <w:p w14:paraId="6BD723D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策略</w:t>
            </w:r>
          </w:p>
        </w:tc>
      </w:tr>
      <w:tr w14:paraId="7D473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5F92D9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A类（战略客户）</w:t>
            </w:r>
          </w:p>
        </w:tc>
        <w:tc>
          <w:tcPr>
            <w:tcW w:w="2078" w:type="dxa"/>
          </w:tcPr>
          <w:p w14:paraId="0D9830C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20%</w:t>
            </w:r>
          </w:p>
        </w:tc>
        <w:tc>
          <w:tcPr>
            <w:tcW w:w="2078" w:type="dxa"/>
          </w:tcPr>
          <w:p w14:paraId="74655F0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50%收入</w:t>
            </w:r>
          </w:p>
        </w:tc>
        <w:tc>
          <w:tcPr>
            <w:tcW w:w="2078" w:type="dxa"/>
          </w:tcPr>
          <w:p w14:paraId="4DA6DAC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深度绑定、长期合作</w:t>
            </w:r>
          </w:p>
        </w:tc>
      </w:tr>
      <w:tr w14:paraId="3800D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269883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B类（优质客户）</w:t>
            </w:r>
          </w:p>
        </w:tc>
        <w:tc>
          <w:tcPr>
            <w:tcW w:w="2078" w:type="dxa"/>
          </w:tcPr>
          <w:p w14:paraId="5F88D1B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50%</w:t>
            </w:r>
          </w:p>
        </w:tc>
        <w:tc>
          <w:tcPr>
            <w:tcW w:w="2078" w:type="dxa"/>
          </w:tcPr>
          <w:p w14:paraId="24AC277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40%收入</w:t>
            </w:r>
          </w:p>
        </w:tc>
        <w:tc>
          <w:tcPr>
            <w:tcW w:w="2078" w:type="dxa"/>
          </w:tcPr>
          <w:p w14:paraId="173A5E3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标准化服务、规模扩张</w:t>
            </w:r>
          </w:p>
        </w:tc>
      </w:tr>
      <w:tr w14:paraId="13167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F4E4BA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C类（培育客户）</w:t>
            </w:r>
          </w:p>
        </w:tc>
        <w:tc>
          <w:tcPr>
            <w:tcW w:w="2078" w:type="dxa"/>
          </w:tcPr>
          <w:p w14:paraId="32DBE0D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30%</w:t>
            </w:r>
          </w:p>
        </w:tc>
        <w:tc>
          <w:tcPr>
            <w:tcW w:w="2078" w:type="dxa"/>
          </w:tcPr>
          <w:p w14:paraId="3F3F56F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10%收入</w:t>
            </w:r>
          </w:p>
        </w:tc>
        <w:tc>
          <w:tcPr>
            <w:tcW w:w="2078" w:type="dxa"/>
          </w:tcPr>
          <w:p w14:paraId="670AE8D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低成本获客、转化漏斗</w:t>
            </w:r>
          </w:p>
        </w:tc>
      </w:tr>
    </w:tbl>
    <w:p w14:paraId="7F94C8F1">
      <w:pPr>
        <w:pStyle w:val="4"/>
        <w:keepNext/>
        <w:widowControl/>
        <w:numPr>
          <w:ilvl w:val="0"/>
          <w:numId w:val="0"/>
        </w:numPr>
        <w:topLinePunct w:val="0"/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47" w:name="_Toc6162"/>
      <w:r>
        <w:rPr>
          <w:rFonts w:hint="eastAsia" w:ascii="微软雅黑" w:hAnsi="微软雅黑" w:eastAsia="微软雅黑" w:cs="微软雅黑"/>
          <w:highlight w:val="none"/>
          <w:lang w:eastAsia="zh-CN"/>
        </w:rPr>
        <w:t>六、</w:t>
      </w:r>
      <w:r>
        <w:rPr>
          <w:rFonts w:hint="eastAsia" w:ascii="微软雅黑" w:hAnsi="微软雅黑" w:eastAsia="微软雅黑" w:cs="微软雅黑"/>
          <w:highlight w:val="none"/>
        </w:rPr>
        <w:t>定量业务发展规划</w:t>
      </w:r>
      <w:bookmarkEnd w:id="47"/>
    </w:p>
    <w:p w14:paraId="361AD4D8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48" w:name="_Toc29121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营收目标分解</w:t>
      </w:r>
      <w:bookmarkEnd w:id="4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5F0B6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F2F2F2"/>
          </w:tcPr>
          <w:p w14:paraId="7C62092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年份</w:t>
            </w:r>
          </w:p>
        </w:tc>
        <w:tc>
          <w:tcPr>
            <w:tcW w:w="1662" w:type="dxa"/>
            <w:shd w:val="clear" w:color="auto" w:fill="F2F2F2"/>
          </w:tcPr>
          <w:p w14:paraId="0673DDF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总营收（万元）</w:t>
            </w:r>
          </w:p>
        </w:tc>
        <w:tc>
          <w:tcPr>
            <w:tcW w:w="1662" w:type="dxa"/>
            <w:shd w:val="clear" w:color="auto" w:fill="F2F2F2"/>
          </w:tcPr>
          <w:p w14:paraId="56938C1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同比增速</w:t>
            </w:r>
          </w:p>
        </w:tc>
        <w:tc>
          <w:tcPr>
            <w:tcW w:w="1662" w:type="dxa"/>
            <w:shd w:val="clear" w:color="auto" w:fill="F2F2F2"/>
          </w:tcPr>
          <w:p w14:paraId="5589753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净利润率</w:t>
            </w:r>
          </w:p>
        </w:tc>
        <w:tc>
          <w:tcPr>
            <w:tcW w:w="1662" w:type="dxa"/>
            <w:shd w:val="clear" w:color="auto" w:fill="F2F2F2"/>
          </w:tcPr>
          <w:p w14:paraId="637070C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净利润（万元）</w:t>
            </w:r>
          </w:p>
        </w:tc>
      </w:tr>
      <w:tr w14:paraId="7B74D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560A91B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2025</w:t>
            </w:r>
          </w:p>
        </w:tc>
        <w:tc>
          <w:tcPr>
            <w:tcW w:w="1662" w:type="dxa"/>
          </w:tcPr>
          <w:p w14:paraId="0D6A135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5,000</w:t>
            </w:r>
          </w:p>
        </w:tc>
        <w:tc>
          <w:tcPr>
            <w:tcW w:w="1662" w:type="dxa"/>
          </w:tcPr>
          <w:p w14:paraId="1836572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-</w:t>
            </w:r>
          </w:p>
        </w:tc>
        <w:tc>
          <w:tcPr>
            <w:tcW w:w="1662" w:type="dxa"/>
          </w:tcPr>
          <w:p w14:paraId="50C457E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15%</w:t>
            </w:r>
          </w:p>
        </w:tc>
        <w:tc>
          <w:tcPr>
            <w:tcW w:w="1662" w:type="dxa"/>
          </w:tcPr>
          <w:p w14:paraId="4752AA3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750</w:t>
            </w:r>
          </w:p>
        </w:tc>
      </w:tr>
      <w:tr w14:paraId="5295A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3C2BAF1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2026</w:t>
            </w:r>
          </w:p>
        </w:tc>
        <w:tc>
          <w:tcPr>
            <w:tcW w:w="1662" w:type="dxa"/>
          </w:tcPr>
          <w:p w14:paraId="15BA7AF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5,500</w:t>
            </w:r>
          </w:p>
        </w:tc>
        <w:tc>
          <w:tcPr>
            <w:tcW w:w="1662" w:type="dxa"/>
          </w:tcPr>
          <w:p w14:paraId="2543A9C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10%</w:t>
            </w:r>
          </w:p>
        </w:tc>
        <w:tc>
          <w:tcPr>
            <w:tcW w:w="1662" w:type="dxa"/>
          </w:tcPr>
          <w:p w14:paraId="5AD410F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16%</w:t>
            </w:r>
          </w:p>
        </w:tc>
        <w:tc>
          <w:tcPr>
            <w:tcW w:w="1662" w:type="dxa"/>
          </w:tcPr>
          <w:p w14:paraId="73CEE9A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880</w:t>
            </w:r>
          </w:p>
        </w:tc>
      </w:tr>
      <w:tr w14:paraId="195DF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762ED6E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2027</w:t>
            </w:r>
          </w:p>
        </w:tc>
        <w:tc>
          <w:tcPr>
            <w:tcW w:w="1662" w:type="dxa"/>
          </w:tcPr>
          <w:p w14:paraId="1D8E501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7,000</w:t>
            </w:r>
          </w:p>
        </w:tc>
        <w:tc>
          <w:tcPr>
            <w:tcW w:w="1662" w:type="dxa"/>
          </w:tcPr>
          <w:p w14:paraId="1F8EC12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27%</w:t>
            </w:r>
          </w:p>
        </w:tc>
        <w:tc>
          <w:tcPr>
            <w:tcW w:w="1662" w:type="dxa"/>
          </w:tcPr>
          <w:p w14:paraId="284D606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17%</w:t>
            </w:r>
          </w:p>
        </w:tc>
        <w:tc>
          <w:tcPr>
            <w:tcW w:w="1662" w:type="dxa"/>
          </w:tcPr>
          <w:p w14:paraId="35F9303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1,190</w:t>
            </w:r>
          </w:p>
        </w:tc>
      </w:tr>
      <w:tr w14:paraId="74BDA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028E499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2028</w:t>
            </w:r>
          </w:p>
        </w:tc>
        <w:tc>
          <w:tcPr>
            <w:tcW w:w="1662" w:type="dxa"/>
          </w:tcPr>
          <w:p w14:paraId="708269F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9,000</w:t>
            </w:r>
          </w:p>
        </w:tc>
        <w:tc>
          <w:tcPr>
            <w:tcW w:w="1662" w:type="dxa"/>
          </w:tcPr>
          <w:p w14:paraId="7BD6A64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29%</w:t>
            </w:r>
          </w:p>
        </w:tc>
        <w:tc>
          <w:tcPr>
            <w:tcW w:w="1662" w:type="dxa"/>
          </w:tcPr>
          <w:p w14:paraId="5B9650A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18%</w:t>
            </w:r>
          </w:p>
        </w:tc>
        <w:tc>
          <w:tcPr>
            <w:tcW w:w="1662" w:type="dxa"/>
          </w:tcPr>
          <w:p w14:paraId="57D4BE5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1,620</w:t>
            </w:r>
          </w:p>
        </w:tc>
      </w:tr>
      <w:tr w14:paraId="794F4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62DE607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2029</w:t>
            </w:r>
          </w:p>
        </w:tc>
        <w:tc>
          <w:tcPr>
            <w:tcW w:w="1662" w:type="dxa"/>
          </w:tcPr>
          <w:p w14:paraId="384F94D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12,000</w:t>
            </w:r>
          </w:p>
        </w:tc>
        <w:tc>
          <w:tcPr>
            <w:tcW w:w="1662" w:type="dxa"/>
          </w:tcPr>
          <w:p w14:paraId="24187D6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33%</w:t>
            </w:r>
          </w:p>
        </w:tc>
        <w:tc>
          <w:tcPr>
            <w:tcW w:w="1662" w:type="dxa"/>
          </w:tcPr>
          <w:p w14:paraId="3D0A55F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20%</w:t>
            </w:r>
          </w:p>
        </w:tc>
        <w:tc>
          <w:tcPr>
            <w:tcW w:w="1662" w:type="dxa"/>
          </w:tcPr>
          <w:p w14:paraId="5C9F98E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2,400</w:t>
            </w:r>
          </w:p>
        </w:tc>
      </w:tr>
      <w:tr w14:paraId="4A035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65CC7DA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2030</w:t>
            </w:r>
          </w:p>
        </w:tc>
        <w:tc>
          <w:tcPr>
            <w:tcW w:w="1662" w:type="dxa"/>
          </w:tcPr>
          <w:p w14:paraId="0CE2B9C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16,000</w:t>
            </w:r>
          </w:p>
        </w:tc>
        <w:tc>
          <w:tcPr>
            <w:tcW w:w="1662" w:type="dxa"/>
          </w:tcPr>
          <w:p w14:paraId="1CEA4EF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33%</w:t>
            </w:r>
          </w:p>
        </w:tc>
        <w:tc>
          <w:tcPr>
            <w:tcW w:w="1662" w:type="dxa"/>
          </w:tcPr>
          <w:p w14:paraId="18521C5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22%</w:t>
            </w:r>
          </w:p>
        </w:tc>
        <w:tc>
          <w:tcPr>
            <w:tcW w:w="1662" w:type="dxa"/>
          </w:tcPr>
          <w:p w14:paraId="7CBC442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3,520</w:t>
            </w:r>
          </w:p>
        </w:tc>
      </w:tr>
    </w:tbl>
    <w:p w14:paraId="03B741FD">
      <w:pPr>
        <w:pStyle w:val="19"/>
        <w:widowControl/>
        <w:rPr>
          <w:rFonts w:hint="default" w:ascii="微软雅黑" w:hAnsi="微软雅黑" w:eastAsia="微软雅黑" w:cs="微软雅黑"/>
          <w:sz w:val="21"/>
          <w:szCs w:val="24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注：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 xml:space="preserve"> 2026-2027年增速较慢，因处于产品化转型期；2028年起随SaaS平台成熟进入加速增长阶段。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  <w:lang w:val="en-US" w:eastAsia="zh-CN"/>
        </w:rPr>
        <w:t>净利润率估算依据规模效应，固定成本不变，收益增大，利润率增大</w:t>
      </w:r>
    </w:p>
    <w:p w14:paraId="546B4962">
      <w:pPr>
        <w:pStyle w:val="5"/>
        <w:bidi w:val="0"/>
        <w:rPr>
          <w:rFonts w:hint="eastAsia" w:ascii="微软雅黑" w:hAnsi="微软雅黑" w:eastAsia="微软雅黑" w:cs="微软雅黑"/>
          <w:b/>
          <w:highlight w:val="none"/>
        </w:rPr>
      </w:pPr>
      <w:bookmarkStart w:id="49" w:name="_Toc1491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收入结构演变</w:t>
      </w:r>
      <w:bookmarkEnd w:id="4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40095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F2F2F2"/>
          </w:tcPr>
          <w:p w14:paraId="7B0B7A7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年份</w:t>
            </w:r>
          </w:p>
        </w:tc>
        <w:tc>
          <w:tcPr>
            <w:tcW w:w="1662" w:type="dxa"/>
            <w:shd w:val="clear" w:color="auto" w:fill="F2F2F2"/>
          </w:tcPr>
          <w:p w14:paraId="518A7FB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项目制收入</w:t>
            </w:r>
          </w:p>
        </w:tc>
        <w:tc>
          <w:tcPr>
            <w:tcW w:w="1662" w:type="dxa"/>
            <w:shd w:val="clear" w:color="auto" w:fill="F2F2F2"/>
          </w:tcPr>
          <w:p w14:paraId="7DEDFF5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订阅收入</w:t>
            </w:r>
          </w:p>
        </w:tc>
        <w:tc>
          <w:tcPr>
            <w:tcW w:w="1662" w:type="dxa"/>
            <w:shd w:val="clear" w:color="auto" w:fill="F2F2F2"/>
          </w:tcPr>
          <w:p w14:paraId="31786F2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运维收入</w:t>
            </w:r>
          </w:p>
        </w:tc>
        <w:tc>
          <w:tcPr>
            <w:tcW w:w="1662" w:type="dxa"/>
            <w:shd w:val="clear" w:color="auto" w:fill="F2F2F2"/>
          </w:tcPr>
          <w:p w14:paraId="39A440A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咨询收入</w:t>
            </w:r>
          </w:p>
        </w:tc>
      </w:tr>
      <w:tr w14:paraId="7B655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3BDC0D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2025</w:t>
            </w:r>
          </w:p>
        </w:tc>
        <w:tc>
          <w:tcPr>
            <w:tcW w:w="1662" w:type="dxa"/>
          </w:tcPr>
          <w:p w14:paraId="68AEB7F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3,250万（65%）</w:t>
            </w:r>
          </w:p>
        </w:tc>
        <w:tc>
          <w:tcPr>
            <w:tcW w:w="1662" w:type="dxa"/>
          </w:tcPr>
          <w:p w14:paraId="2E5C70D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500万（10%）</w:t>
            </w:r>
          </w:p>
        </w:tc>
        <w:tc>
          <w:tcPr>
            <w:tcW w:w="1662" w:type="dxa"/>
          </w:tcPr>
          <w:p w14:paraId="456C519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250万（5%）</w:t>
            </w:r>
          </w:p>
        </w:tc>
        <w:tc>
          <w:tcPr>
            <w:tcW w:w="1662" w:type="dxa"/>
          </w:tcPr>
          <w:p w14:paraId="64595E3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1,000万（20%）</w:t>
            </w:r>
          </w:p>
        </w:tc>
      </w:tr>
      <w:tr w14:paraId="5F72E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5BC3979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2027</w:t>
            </w:r>
          </w:p>
        </w:tc>
        <w:tc>
          <w:tcPr>
            <w:tcW w:w="1662" w:type="dxa"/>
          </w:tcPr>
          <w:p w14:paraId="382F944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3,850万（55%）</w:t>
            </w:r>
          </w:p>
        </w:tc>
        <w:tc>
          <w:tcPr>
            <w:tcW w:w="1662" w:type="dxa"/>
          </w:tcPr>
          <w:p w14:paraId="6D7A976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1,400万（20%）</w:t>
            </w:r>
          </w:p>
        </w:tc>
        <w:tc>
          <w:tcPr>
            <w:tcW w:w="1662" w:type="dxa"/>
          </w:tcPr>
          <w:p w14:paraId="5456DE3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700万（10%）</w:t>
            </w:r>
          </w:p>
        </w:tc>
        <w:tc>
          <w:tcPr>
            <w:tcW w:w="1662" w:type="dxa"/>
          </w:tcPr>
          <w:p w14:paraId="2D8BA89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1,050万（15%）</w:t>
            </w:r>
          </w:p>
        </w:tc>
      </w:tr>
      <w:tr w14:paraId="05404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2BCB120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2030</w:t>
            </w:r>
          </w:p>
        </w:tc>
        <w:tc>
          <w:tcPr>
            <w:tcW w:w="1662" w:type="dxa"/>
          </w:tcPr>
          <w:p w14:paraId="6BB1AE9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6,400万（40%）</w:t>
            </w:r>
          </w:p>
        </w:tc>
        <w:tc>
          <w:tcPr>
            <w:tcW w:w="1662" w:type="dxa"/>
          </w:tcPr>
          <w:p w14:paraId="5343BF8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5,600万（35%）</w:t>
            </w:r>
          </w:p>
        </w:tc>
        <w:tc>
          <w:tcPr>
            <w:tcW w:w="1662" w:type="dxa"/>
          </w:tcPr>
          <w:p w14:paraId="2F3A29B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2,400万（15%）</w:t>
            </w:r>
          </w:p>
        </w:tc>
        <w:tc>
          <w:tcPr>
            <w:tcW w:w="1662" w:type="dxa"/>
          </w:tcPr>
          <w:p w14:paraId="5E16451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1,600万（10%）</w:t>
            </w:r>
          </w:p>
        </w:tc>
      </w:tr>
    </w:tbl>
    <w:p w14:paraId="7CD75AB3">
      <w:pPr>
        <w:pStyle w:val="4"/>
        <w:keepNext/>
        <w:widowControl/>
        <w:numPr>
          <w:ilvl w:val="0"/>
          <w:numId w:val="0"/>
        </w:numPr>
        <w:topLinePunct w:val="0"/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50" w:name="_Toc26803"/>
      <w:r>
        <w:rPr>
          <w:rFonts w:hint="eastAsia" w:ascii="微软雅黑" w:hAnsi="微软雅黑" w:eastAsia="微软雅黑" w:cs="微软雅黑"/>
          <w:highlight w:val="none"/>
          <w:lang w:eastAsia="zh-CN"/>
        </w:rPr>
        <w:t>七、</w:t>
      </w:r>
      <w:r>
        <w:rPr>
          <w:rFonts w:hint="eastAsia" w:ascii="微软雅黑" w:hAnsi="微软雅黑" w:eastAsia="微软雅黑" w:cs="微软雅黑"/>
          <w:highlight w:val="none"/>
        </w:rPr>
        <w:t>运营及管理能力提升建议</w:t>
      </w:r>
      <w:bookmarkEnd w:id="50"/>
    </w:p>
    <w:p w14:paraId="1137AD53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51" w:name="_Toc7039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highlight w:val="none"/>
        </w:rPr>
        <w:t>能力提升框架</w:t>
      </w:r>
      <w:bookmarkEnd w:id="5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C057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623C02C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能力维度</w:t>
            </w:r>
          </w:p>
        </w:tc>
        <w:tc>
          <w:tcPr>
            <w:tcW w:w="2078" w:type="dxa"/>
            <w:shd w:val="clear" w:color="auto" w:fill="F2F2F2"/>
          </w:tcPr>
          <w:p w14:paraId="4F2183D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当前状态</w:t>
            </w:r>
          </w:p>
        </w:tc>
        <w:tc>
          <w:tcPr>
            <w:tcW w:w="2078" w:type="dxa"/>
            <w:shd w:val="clear" w:color="auto" w:fill="F2F2F2"/>
          </w:tcPr>
          <w:p w14:paraId="369263E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目标状态</w:t>
            </w:r>
          </w:p>
        </w:tc>
        <w:tc>
          <w:tcPr>
            <w:tcW w:w="2078" w:type="dxa"/>
            <w:shd w:val="clear" w:color="auto" w:fill="F2F2F2"/>
          </w:tcPr>
          <w:p w14:paraId="7ABFD9D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提升路径</w:t>
            </w:r>
          </w:p>
        </w:tc>
      </w:tr>
      <w:tr w14:paraId="56ED4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3EAAB2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项目管理与交付</w:t>
            </w:r>
          </w:p>
        </w:tc>
        <w:tc>
          <w:tcPr>
            <w:tcW w:w="2078" w:type="dxa"/>
          </w:tcPr>
          <w:p w14:paraId="63300DA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依赖核心团队</w:t>
            </w:r>
          </w:p>
        </w:tc>
        <w:tc>
          <w:tcPr>
            <w:tcW w:w="2078" w:type="dxa"/>
          </w:tcPr>
          <w:p w14:paraId="7ECF00B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标准化、可复制</w:t>
            </w:r>
          </w:p>
        </w:tc>
        <w:tc>
          <w:tcPr>
            <w:tcW w:w="2078" w:type="dxa"/>
          </w:tcPr>
          <w:p w14:paraId="4149622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建立方法论、知识库、人才培养体系</w:t>
            </w:r>
          </w:p>
        </w:tc>
      </w:tr>
      <w:tr w14:paraId="235E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F2F580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算法与技术平台</w:t>
            </w:r>
          </w:p>
        </w:tc>
        <w:tc>
          <w:tcPr>
            <w:tcW w:w="2078" w:type="dxa"/>
          </w:tcPr>
          <w:p w14:paraId="36A7F3B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单项目复用</w:t>
            </w:r>
          </w:p>
        </w:tc>
        <w:tc>
          <w:tcPr>
            <w:tcW w:w="2078" w:type="dxa"/>
          </w:tcPr>
          <w:p w14:paraId="3622F52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平台化、产品化</w:t>
            </w:r>
          </w:p>
        </w:tc>
        <w:tc>
          <w:tcPr>
            <w:tcW w:w="2078" w:type="dxa"/>
          </w:tcPr>
          <w:p w14:paraId="4D78823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持续研发投入、模块化架构</w:t>
            </w:r>
          </w:p>
        </w:tc>
      </w:tr>
      <w:tr w14:paraId="52565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9B42CE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产品化能力</w:t>
            </w:r>
          </w:p>
        </w:tc>
        <w:tc>
          <w:tcPr>
            <w:tcW w:w="2078" w:type="dxa"/>
          </w:tcPr>
          <w:p w14:paraId="49E7A72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定制开发</w:t>
            </w:r>
          </w:p>
        </w:tc>
        <w:tc>
          <w:tcPr>
            <w:tcW w:w="2078" w:type="dxa"/>
          </w:tcPr>
          <w:p w14:paraId="59E3A64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标准产品+SaaS</w:t>
            </w:r>
          </w:p>
        </w:tc>
        <w:tc>
          <w:tcPr>
            <w:tcW w:w="2078" w:type="dxa"/>
          </w:tcPr>
          <w:p w14:paraId="61675D7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产品团队组建、用户研究</w:t>
            </w:r>
          </w:p>
        </w:tc>
      </w:tr>
      <w:tr w14:paraId="1D578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937759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客户服务与成功</w:t>
            </w:r>
          </w:p>
        </w:tc>
        <w:tc>
          <w:tcPr>
            <w:tcW w:w="2078" w:type="dxa"/>
          </w:tcPr>
          <w:p w14:paraId="284B440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被动响应</w:t>
            </w:r>
          </w:p>
        </w:tc>
        <w:tc>
          <w:tcPr>
            <w:tcW w:w="2078" w:type="dxa"/>
          </w:tcPr>
          <w:p w14:paraId="3B4E735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主动价值运营</w:t>
            </w:r>
          </w:p>
        </w:tc>
        <w:tc>
          <w:tcPr>
            <w:tcW w:w="2078" w:type="dxa"/>
          </w:tcPr>
          <w:p w14:paraId="1839E9A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客户成功团队、客户健康度体系</w:t>
            </w:r>
          </w:p>
        </w:tc>
      </w:tr>
      <w:tr w14:paraId="5A570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264110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组织与管理</w:t>
            </w:r>
          </w:p>
        </w:tc>
        <w:tc>
          <w:tcPr>
            <w:tcW w:w="2078" w:type="dxa"/>
          </w:tcPr>
          <w:p w14:paraId="14DD300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扁平高效</w:t>
            </w:r>
          </w:p>
        </w:tc>
        <w:tc>
          <w:tcPr>
            <w:tcW w:w="2078" w:type="dxa"/>
          </w:tcPr>
          <w:p w14:paraId="0AAF114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专业化、流程化</w:t>
            </w:r>
          </w:p>
        </w:tc>
        <w:tc>
          <w:tcPr>
            <w:tcW w:w="2078" w:type="dxa"/>
          </w:tcPr>
          <w:p w14:paraId="5743456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管理体系建设、数字化办公</w:t>
            </w:r>
          </w:p>
        </w:tc>
      </w:tr>
    </w:tbl>
    <w:p w14:paraId="7E33DD7F">
      <w:pPr>
        <w:pStyle w:val="5"/>
        <w:keepNext/>
        <w:widowControl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highlight w:val="none"/>
        </w:rPr>
      </w:pPr>
      <w:bookmarkStart w:id="52" w:name="_Toc1732"/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highlight w:val="none"/>
        </w:rPr>
        <w:t>重点能力提升计划</w:t>
      </w:r>
      <w:bookmarkEnd w:id="52"/>
    </w:p>
    <w:p w14:paraId="3137252B">
      <w:pPr>
        <w:pStyle w:val="6"/>
        <w:keepNext/>
        <w:widowControl/>
        <w:numPr>
          <w:ilvl w:val="0"/>
          <w:numId w:val="0"/>
        </w:numPr>
        <w:ind w:left="0" w:leftChars="0" w:firstLine="482"/>
        <w:outlineLvl w:val="9"/>
        <w:rPr>
          <w:rFonts w:hint="eastAsia" w:ascii="微软雅黑" w:hAnsi="微软雅黑" w:eastAsia="微软雅黑" w:cs="微软雅黑"/>
          <w:b/>
          <w:highlight w:val="none"/>
        </w:rPr>
      </w:pP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A. </w:t>
      </w:r>
      <w:r>
        <w:rPr>
          <w:rFonts w:hint="eastAsia" w:ascii="微软雅黑" w:hAnsi="微软雅黑" w:eastAsia="微软雅黑" w:cs="微软雅黑"/>
          <w:highlight w:val="none"/>
        </w:rPr>
        <w:t>项目管理与交付能力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CDCE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611A41E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举措</w:t>
            </w:r>
          </w:p>
        </w:tc>
        <w:tc>
          <w:tcPr>
            <w:tcW w:w="2771" w:type="dxa"/>
            <w:shd w:val="clear" w:color="auto" w:fill="F2F2F2"/>
          </w:tcPr>
          <w:p w14:paraId="7A2ADF1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具体做法</w:t>
            </w:r>
          </w:p>
        </w:tc>
        <w:tc>
          <w:tcPr>
            <w:tcW w:w="2771" w:type="dxa"/>
            <w:shd w:val="clear" w:color="auto" w:fill="F2F2F2"/>
          </w:tcPr>
          <w:p w14:paraId="2FC5DCE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时间节点</w:t>
            </w:r>
          </w:p>
        </w:tc>
      </w:tr>
      <w:tr w14:paraId="0F921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903C85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项目管理方法论</w:t>
            </w:r>
          </w:p>
        </w:tc>
        <w:tc>
          <w:tcPr>
            <w:tcW w:w="2771" w:type="dxa"/>
          </w:tcPr>
          <w:p w14:paraId="216E0A5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建立"启动-规划-执行-监控-收尾"标准化流程</w:t>
            </w:r>
          </w:p>
        </w:tc>
        <w:tc>
          <w:tcPr>
            <w:tcW w:w="2771" w:type="dxa"/>
          </w:tcPr>
          <w:p w14:paraId="78D4511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2026Q2</w:t>
            </w:r>
          </w:p>
        </w:tc>
      </w:tr>
      <w:tr w14:paraId="6014C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3652BE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知识库建设</w:t>
            </w:r>
          </w:p>
        </w:tc>
        <w:tc>
          <w:tcPr>
            <w:tcW w:w="2771" w:type="dxa"/>
          </w:tcPr>
          <w:p w14:paraId="04DFB37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沉淀算法模块、解决方案模板、案例文档</w:t>
            </w:r>
          </w:p>
        </w:tc>
        <w:tc>
          <w:tcPr>
            <w:tcW w:w="2771" w:type="dxa"/>
          </w:tcPr>
          <w:p w14:paraId="286E2B9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持续</w:t>
            </w:r>
          </w:p>
        </w:tc>
      </w:tr>
      <w:tr w14:paraId="40E2B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819ED9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人才培养</w:t>
            </w:r>
          </w:p>
        </w:tc>
        <w:tc>
          <w:tcPr>
            <w:tcW w:w="2771" w:type="dxa"/>
          </w:tcPr>
          <w:p w14:paraId="2A9EC20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建立项目经理认证体系，3年内培养5名高级PM</w:t>
            </w:r>
          </w:p>
        </w:tc>
        <w:tc>
          <w:tcPr>
            <w:tcW w:w="2771" w:type="dxa"/>
          </w:tcPr>
          <w:p w14:paraId="4A23A01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2026-2028</w:t>
            </w:r>
          </w:p>
        </w:tc>
      </w:tr>
      <w:tr w14:paraId="3B982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F07A9B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工具支撑</w:t>
            </w:r>
          </w:p>
        </w:tc>
        <w:tc>
          <w:tcPr>
            <w:tcW w:w="2771" w:type="dxa"/>
          </w:tcPr>
          <w:p w14:paraId="7D262FA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引入项目管理工具（Notion/Jira）</w:t>
            </w:r>
          </w:p>
        </w:tc>
        <w:tc>
          <w:tcPr>
            <w:tcW w:w="2771" w:type="dxa"/>
          </w:tcPr>
          <w:p w14:paraId="73FE486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2026Q1</w:t>
            </w:r>
          </w:p>
        </w:tc>
      </w:tr>
    </w:tbl>
    <w:p w14:paraId="6CA2B1DE">
      <w:pPr>
        <w:pStyle w:val="6"/>
        <w:keepNext/>
        <w:widowControl/>
        <w:numPr>
          <w:ilvl w:val="0"/>
          <w:numId w:val="0"/>
        </w:numPr>
        <w:ind w:left="0" w:leftChars="0" w:firstLine="482"/>
        <w:outlineLvl w:val="9"/>
        <w:rPr>
          <w:rFonts w:hint="eastAsia" w:ascii="微软雅黑" w:hAnsi="微软雅黑" w:eastAsia="微软雅黑" w:cs="微软雅黑"/>
          <w:b/>
          <w:highlight w:val="none"/>
        </w:rPr>
      </w:pP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B. </w:t>
      </w:r>
      <w:r>
        <w:rPr>
          <w:rFonts w:hint="eastAsia" w:ascii="微软雅黑" w:hAnsi="微软雅黑" w:eastAsia="微软雅黑" w:cs="微软雅黑"/>
          <w:highlight w:val="none"/>
        </w:rPr>
        <w:t>算法与技术平台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3EC7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1CB351A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举措</w:t>
            </w:r>
          </w:p>
        </w:tc>
        <w:tc>
          <w:tcPr>
            <w:tcW w:w="2771" w:type="dxa"/>
            <w:shd w:val="clear" w:color="auto" w:fill="F2F2F2"/>
          </w:tcPr>
          <w:p w14:paraId="6748956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具体做法</w:t>
            </w:r>
          </w:p>
        </w:tc>
        <w:tc>
          <w:tcPr>
            <w:tcW w:w="2771" w:type="dxa"/>
            <w:shd w:val="clear" w:color="auto" w:fill="F2F2F2"/>
          </w:tcPr>
          <w:p w14:paraId="43D1A59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时间节点</w:t>
            </w:r>
          </w:p>
        </w:tc>
      </w:tr>
      <w:tr w14:paraId="570EC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508F78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研发投入</w:t>
            </w:r>
          </w:p>
        </w:tc>
        <w:tc>
          <w:tcPr>
            <w:tcW w:w="2771" w:type="dxa"/>
          </w:tcPr>
          <w:p w14:paraId="2421F4E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研发费用占比维持在15-20%</w:t>
            </w:r>
          </w:p>
        </w:tc>
        <w:tc>
          <w:tcPr>
            <w:tcW w:w="2771" w:type="dxa"/>
          </w:tcPr>
          <w:p w14:paraId="106CD95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持续</w:t>
            </w:r>
          </w:p>
        </w:tc>
      </w:tr>
      <w:tr w14:paraId="279CC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B60336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算法模块化</w:t>
            </w:r>
          </w:p>
        </w:tc>
        <w:tc>
          <w:tcPr>
            <w:tcW w:w="2771" w:type="dxa"/>
          </w:tcPr>
          <w:p w14:paraId="10CDB98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将项目中验证的算法封装为可复用模块</w:t>
            </w:r>
          </w:p>
        </w:tc>
        <w:tc>
          <w:tcPr>
            <w:tcW w:w="2771" w:type="dxa"/>
          </w:tcPr>
          <w:p w14:paraId="6E43A0F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2026-2027</w:t>
            </w:r>
          </w:p>
        </w:tc>
      </w:tr>
      <w:tr w14:paraId="216BE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A92497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平台架构</w:t>
            </w:r>
          </w:p>
        </w:tc>
        <w:tc>
          <w:tcPr>
            <w:tcW w:w="2771" w:type="dxa"/>
          </w:tcPr>
          <w:p w14:paraId="3F9F0A1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开发统一的能源优化SaaS平台</w:t>
            </w:r>
          </w:p>
        </w:tc>
        <w:tc>
          <w:tcPr>
            <w:tcW w:w="2771" w:type="dxa"/>
          </w:tcPr>
          <w:p w14:paraId="4F42A44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2027-2028</w:t>
            </w:r>
          </w:p>
        </w:tc>
      </w:tr>
      <w:tr w14:paraId="79A17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0078DD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数据积累</w:t>
            </w:r>
          </w:p>
        </w:tc>
        <w:tc>
          <w:tcPr>
            <w:tcW w:w="2771" w:type="dxa"/>
          </w:tcPr>
          <w:p w14:paraId="5E27D04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建立行业数据集，提升模型精度</w:t>
            </w:r>
          </w:p>
        </w:tc>
        <w:tc>
          <w:tcPr>
            <w:tcW w:w="2771" w:type="dxa"/>
          </w:tcPr>
          <w:p w14:paraId="2D28207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持续</w:t>
            </w:r>
          </w:p>
        </w:tc>
      </w:tr>
    </w:tbl>
    <w:p w14:paraId="3D1CB58A">
      <w:pPr>
        <w:pStyle w:val="6"/>
        <w:keepNext/>
        <w:widowControl/>
        <w:numPr>
          <w:ilvl w:val="0"/>
          <w:numId w:val="0"/>
        </w:numPr>
        <w:ind w:left="0" w:leftChars="0" w:firstLine="482"/>
        <w:outlineLvl w:val="9"/>
        <w:rPr>
          <w:rFonts w:hint="eastAsia" w:ascii="微软雅黑" w:hAnsi="微软雅黑" w:eastAsia="微软雅黑" w:cs="微软雅黑"/>
          <w:b/>
          <w:highlight w:val="none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C</w:t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. </w:t>
      </w:r>
      <w:r>
        <w:rPr>
          <w:rFonts w:hint="eastAsia" w:ascii="微软雅黑" w:hAnsi="微软雅黑" w:eastAsia="微软雅黑" w:cs="微软雅黑"/>
          <w:highlight w:val="none"/>
        </w:rPr>
        <w:t>客户服务与客户成功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B5ED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56073CB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举措</w:t>
            </w:r>
          </w:p>
        </w:tc>
        <w:tc>
          <w:tcPr>
            <w:tcW w:w="2771" w:type="dxa"/>
            <w:shd w:val="clear" w:color="auto" w:fill="F2F2F2"/>
          </w:tcPr>
          <w:p w14:paraId="6E5D29C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具体做法</w:t>
            </w:r>
          </w:p>
        </w:tc>
        <w:tc>
          <w:tcPr>
            <w:tcW w:w="2771" w:type="dxa"/>
            <w:shd w:val="clear" w:color="auto" w:fill="F2F2F2"/>
          </w:tcPr>
          <w:p w14:paraId="4FA9478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时间节点</w:t>
            </w:r>
          </w:p>
        </w:tc>
      </w:tr>
      <w:tr w14:paraId="51E04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78EB49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客户分层</w:t>
            </w:r>
          </w:p>
        </w:tc>
        <w:tc>
          <w:tcPr>
            <w:tcW w:w="2771" w:type="dxa"/>
          </w:tcPr>
          <w:p w14:paraId="62B0050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建立ABC客户分层体系</w:t>
            </w:r>
          </w:p>
        </w:tc>
        <w:tc>
          <w:tcPr>
            <w:tcW w:w="2771" w:type="dxa"/>
          </w:tcPr>
          <w:p w14:paraId="664FF3B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2026Q2</w:t>
            </w:r>
          </w:p>
        </w:tc>
      </w:tr>
      <w:tr w14:paraId="43406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D41F09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健康度体系</w:t>
            </w:r>
          </w:p>
        </w:tc>
        <w:tc>
          <w:tcPr>
            <w:tcW w:w="2771" w:type="dxa"/>
          </w:tcPr>
          <w:p w14:paraId="487209F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开发客户健康度评分模型</w:t>
            </w:r>
          </w:p>
        </w:tc>
        <w:tc>
          <w:tcPr>
            <w:tcW w:w="2771" w:type="dxa"/>
          </w:tcPr>
          <w:p w14:paraId="7018C7F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2027</w:t>
            </w:r>
          </w:p>
        </w:tc>
      </w:tr>
      <w:tr w14:paraId="5E380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8266B3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客户成功团队</w:t>
            </w:r>
          </w:p>
        </w:tc>
        <w:tc>
          <w:tcPr>
            <w:tcW w:w="2771" w:type="dxa"/>
          </w:tcPr>
          <w:p w14:paraId="1E993290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招聘2-3名客户成功经理</w:t>
            </w:r>
          </w:p>
        </w:tc>
        <w:tc>
          <w:tcPr>
            <w:tcW w:w="2771" w:type="dxa"/>
          </w:tcPr>
          <w:p w14:paraId="6186992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2027</w:t>
            </w:r>
          </w:p>
        </w:tc>
      </w:tr>
      <w:tr w14:paraId="25A71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21E7A4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续约机制</w:t>
            </w:r>
          </w:p>
        </w:tc>
        <w:tc>
          <w:tcPr>
            <w:tcW w:w="2771" w:type="dxa"/>
          </w:tcPr>
          <w:p w14:paraId="5CA5783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建立年度客户回顾与续约流程</w:t>
            </w:r>
          </w:p>
        </w:tc>
        <w:tc>
          <w:tcPr>
            <w:tcW w:w="2771" w:type="dxa"/>
          </w:tcPr>
          <w:p w14:paraId="3E2327D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2027</w:t>
            </w:r>
          </w:p>
        </w:tc>
      </w:tr>
    </w:tbl>
    <w:p w14:paraId="1E22BABD">
      <w:pPr>
        <w:pStyle w:val="6"/>
        <w:keepNext/>
        <w:widowControl/>
        <w:numPr>
          <w:ilvl w:val="0"/>
          <w:numId w:val="0"/>
        </w:numPr>
        <w:ind w:left="0" w:leftChars="0" w:firstLine="482"/>
        <w:outlineLvl w:val="9"/>
        <w:rPr>
          <w:rFonts w:hint="eastAsia" w:ascii="微软雅黑" w:hAnsi="微软雅黑" w:eastAsia="微软雅黑" w:cs="微软雅黑"/>
          <w:b/>
          <w:highlight w:val="none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D</w:t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. </w:t>
      </w:r>
      <w:r>
        <w:rPr>
          <w:rFonts w:hint="eastAsia" w:ascii="微软雅黑" w:hAnsi="微软雅黑" w:eastAsia="微软雅黑" w:cs="微软雅黑"/>
          <w:highlight w:val="none"/>
        </w:rPr>
        <w:t>组织与管理能力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3750"/>
        <w:gridCol w:w="2475"/>
      </w:tblGrid>
      <w:tr w14:paraId="49D28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2F2F2"/>
          </w:tcPr>
          <w:p w14:paraId="49024B0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举措</w:t>
            </w:r>
          </w:p>
        </w:tc>
        <w:tc>
          <w:tcPr>
            <w:tcW w:w="3750" w:type="dxa"/>
            <w:shd w:val="clear" w:color="auto" w:fill="F2F2F2"/>
          </w:tcPr>
          <w:p w14:paraId="00358AB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具体做法</w:t>
            </w:r>
          </w:p>
        </w:tc>
        <w:tc>
          <w:tcPr>
            <w:tcW w:w="2475" w:type="dxa"/>
            <w:shd w:val="clear" w:color="auto" w:fill="F2F2F2"/>
          </w:tcPr>
          <w:p w14:paraId="1905190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时间节点</w:t>
            </w:r>
          </w:p>
        </w:tc>
      </w:tr>
      <w:tr w14:paraId="0B642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</w:tcPr>
          <w:p w14:paraId="502A21F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治理结构</w:t>
            </w:r>
          </w:p>
        </w:tc>
        <w:tc>
          <w:tcPr>
            <w:tcW w:w="3750" w:type="dxa"/>
          </w:tcPr>
          <w:p w14:paraId="1660335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完善董事会、引入外部顾问</w:t>
            </w:r>
          </w:p>
        </w:tc>
        <w:tc>
          <w:tcPr>
            <w:tcW w:w="2475" w:type="dxa"/>
          </w:tcPr>
          <w:p w14:paraId="131F6F5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2026</w:t>
            </w:r>
          </w:p>
        </w:tc>
      </w:tr>
      <w:tr w14:paraId="36CB6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</w:tcPr>
          <w:p w14:paraId="125DDC8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绩效体系</w:t>
            </w:r>
          </w:p>
        </w:tc>
        <w:tc>
          <w:tcPr>
            <w:tcW w:w="3750" w:type="dxa"/>
          </w:tcPr>
          <w:p w14:paraId="67B2EF5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建立OKR+KPI绩效管理体系</w:t>
            </w:r>
          </w:p>
        </w:tc>
        <w:tc>
          <w:tcPr>
            <w:tcW w:w="2475" w:type="dxa"/>
          </w:tcPr>
          <w:p w14:paraId="3E7F1924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2026</w:t>
            </w:r>
          </w:p>
        </w:tc>
      </w:tr>
      <w:tr w14:paraId="03367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</w:tcPr>
          <w:p w14:paraId="339AD59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数字化办公</w:t>
            </w:r>
          </w:p>
        </w:tc>
        <w:tc>
          <w:tcPr>
            <w:tcW w:w="3750" w:type="dxa"/>
          </w:tcPr>
          <w:p w14:paraId="30DD260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引入CRM、ERP、财务系统</w:t>
            </w:r>
          </w:p>
        </w:tc>
        <w:tc>
          <w:tcPr>
            <w:tcW w:w="2475" w:type="dxa"/>
          </w:tcPr>
          <w:p w14:paraId="4CD5945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2026-2027</w:t>
            </w:r>
          </w:p>
        </w:tc>
      </w:tr>
      <w:tr w14:paraId="7AFE6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</w:tcPr>
          <w:p w14:paraId="7E15254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企业文化</w:t>
            </w:r>
          </w:p>
        </w:tc>
        <w:tc>
          <w:tcPr>
            <w:tcW w:w="3750" w:type="dxa"/>
          </w:tcPr>
          <w:p w14:paraId="4A24EAE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建立"客户导向、创新、协作"文化</w:t>
            </w:r>
          </w:p>
        </w:tc>
        <w:tc>
          <w:tcPr>
            <w:tcW w:w="2475" w:type="dxa"/>
          </w:tcPr>
          <w:p w14:paraId="59D0673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持续</w:t>
            </w:r>
          </w:p>
        </w:tc>
      </w:tr>
    </w:tbl>
    <w:p w14:paraId="352939E7">
      <w:pPr>
        <w:pStyle w:val="3"/>
        <w:keepNext/>
        <w:widowControl/>
        <w:rPr>
          <w:rFonts w:hint="eastAsia" w:ascii="微软雅黑" w:hAnsi="微软雅黑" w:eastAsia="微软雅黑" w:cs="微软雅黑"/>
          <w:highlight w:val="none"/>
        </w:rPr>
      </w:pPr>
      <w:bookmarkStart w:id="53" w:name="_Toc14377"/>
      <w:r>
        <w:rPr>
          <w:rFonts w:hint="eastAsia" w:ascii="微软雅黑" w:hAnsi="微软雅黑" w:eastAsia="微软雅黑" w:cs="微软雅黑"/>
          <w:highlight w:val="none"/>
        </w:rPr>
        <w:t>关键成功因素与风险提示</w:t>
      </w:r>
      <w:bookmarkEnd w:id="53"/>
    </w:p>
    <w:p w14:paraId="3BA46605">
      <w:pPr>
        <w:pStyle w:val="4"/>
        <w:keepNext/>
        <w:widowControl/>
        <w:rPr>
          <w:rFonts w:hint="eastAsia" w:ascii="微软雅黑" w:hAnsi="微软雅黑" w:eastAsia="微软雅黑" w:cs="微软雅黑"/>
          <w:highlight w:val="none"/>
        </w:rPr>
      </w:pPr>
      <w:bookmarkStart w:id="54" w:name="_Toc4050"/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highlight w:val="none"/>
        </w:rPr>
        <w:t>关键成功因素</w:t>
      </w:r>
      <w:bookmarkEnd w:id="54"/>
    </w:p>
    <w:p w14:paraId="052A5C61">
      <w:pPr>
        <w:pStyle w:val="19"/>
        <w:widowControl/>
        <w:numPr>
          <w:ilvl w:val="0"/>
          <w:numId w:val="0"/>
        </w:numPr>
        <w:ind w:left="0" w:leftChars="0" w:firstLine="42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标杆客户突破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：成功拿下1-2家锂电/光伏龙头企业的战略合作，形成行业背书；</w:t>
      </w:r>
    </w:p>
    <w:p w14:paraId="3C3DEE09">
      <w:pPr>
        <w:pStyle w:val="19"/>
        <w:widowControl/>
        <w:numPr>
          <w:ilvl w:val="0"/>
          <w:numId w:val="0"/>
        </w:numPr>
        <w:ind w:left="0" w:leftChars="0" w:firstLine="42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产品化转型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：在2027年前推出可规模化的SaaS产品，摆脱人力依赖；</w:t>
      </w:r>
    </w:p>
    <w:p w14:paraId="49441FBD">
      <w:pPr>
        <w:pStyle w:val="19"/>
        <w:widowControl/>
        <w:numPr>
          <w:ilvl w:val="0"/>
          <w:numId w:val="0"/>
        </w:numPr>
        <w:ind w:left="0" w:leftChars="0" w:firstLine="42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  <w:lang w:eastAsia="zh-CN"/>
        </w:rPr>
        <w:t xml:space="preserve">3. </w:t>
      </w: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现金流平衡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：在扩张期保持健康的经营性现金流，避免资金链断裂；</w:t>
      </w:r>
    </w:p>
    <w:p w14:paraId="36FC6069">
      <w:pPr>
        <w:pStyle w:val="19"/>
        <w:widowControl/>
        <w:numPr>
          <w:ilvl w:val="0"/>
          <w:numId w:val="0"/>
        </w:numPr>
        <w:ind w:left="0" w:leftChars="0" w:firstLine="420"/>
        <w:rPr>
          <w:rFonts w:hint="eastAsia" w:ascii="微软雅黑" w:hAnsi="微软雅黑" w:eastAsia="微软雅黑" w:cs="微软雅黑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  <w:lang w:eastAsia="zh-CN"/>
        </w:rPr>
        <w:t xml:space="preserve">4. </w:t>
      </w: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人才队伍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：持续引进算法、产品、销售核心人才，保持团队竞争力。</w:t>
      </w:r>
    </w:p>
    <w:p w14:paraId="6597D3B1">
      <w:pPr>
        <w:pStyle w:val="4"/>
        <w:bidi w:val="0"/>
        <w:rPr>
          <w:rFonts w:hint="eastAsia" w:ascii="微软雅黑" w:hAnsi="微软雅黑" w:eastAsia="微软雅黑" w:cs="微软雅黑"/>
          <w:highlight w:val="none"/>
        </w:rPr>
      </w:pPr>
      <w:bookmarkStart w:id="55" w:name="_Toc13565"/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highlight w:val="none"/>
        </w:rPr>
        <w:t>主要风险与应对</w:t>
      </w:r>
      <w:bookmarkEnd w:id="5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1306"/>
        <w:gridCol w:w="2850"/>
      </w:tblGrid>
      <w:tr w14:paraId="55109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38FE9EC9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风险类型</w:t>
            </w:r>
          </w:p>
        </w:tc>
        <w:tc>
          <w:tcPr>
            <w:tcW w:w="2078" w:type="dxa"/>
            <w:shd w:val="clear" w:color="auto" w:fill="F2F2F2"/>
          </w:tcPr>
          <w:p w14:paraId="10175E5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具体风险</w:t>
            </w:r>
          </w:p>
        </w:tc>
        <w:tc>
          <w:tcPr>
            <w:tcW w:w="1306" w:type="dxa"/>
            <w:shd w:val="clear" w:color="auto" w:fill="F2F2F2"/>
          </w:tcPr>
          <w:p w14:paraId="7BE5707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影响程度</w:t>
            </w:r>
          </w:p>
        </w:tc>
        <w:tc>
          <w:tcPr>
            <w:tcW w:w="2850" w:type="dxa"/>
            <w:shd w:val="clear" w:color="auto" w:fill="F2F2F2"/>
          </w:tcPr>
          <w:p w14:paraId="551EEA5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应对策略</w:t>
            </w:r>
          </w:p>
        </w:tc>
      </w:tr>
      <w:tr w14:paraId="2B929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278464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市场风险</w:t>
            </w:r>
          </w:p>
        </w:tc>
        <w:tc>
          <w:tcPr>
            <w:tcW w:w="2078" w:type="dxa"/>
          </w:tcPr>
          <w:p w14:paraId="2C447A1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碳市场政策推进不及预期</w:t>
            </w:r>
          </w:p>
        </w:tc>
        <w:tc>
          <w:tcPr>
            <w:tcW w:w="1306" w:type="dxa"/>
          </w:tcPr>
          <w:p w14:paraId="77516CD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中</w:t>
            </w:r>
          </w:p>
        </w:tc>
        <w:tc>
          <w:tcPr>
            <w:tcW w:w="2850" w:type="dxa"/>
          </w:tcPr>
          <w:p w14:paraId="26C59CF8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多元化收入来源，加强企业自主节能需求</w:t>
            </w:r>
          </w:p>
        </w:tc>
      </w:tr>
      <w:tr w14:paraId="4D329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78D91C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竞争风险</w:t>
            </w:r>
          </w:p>
        </w:tc>
        <w:tc>
          <w:tcPr>
            <w:tcW w:w="2078" w:type="dxa"/>
          </w:tcPr>
          <w:p w14:paraId="380F3DB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工业巨头加大投入，价格战加剧</w:t>
            </w:r>
          </w:p>
        </w:tc>
        <w:tc>
          <w:tcPr>
            <w:tcW w:w="1306" w:type="dxa"/>
          </w:tcPr>
          <w:p w14:paraId="5663AB4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高</w:t>
            </w:r>
          </w:p>
        </w:tc>
        <w:tc>
          <w:tcPr>
            <w:tcW w:w="2850" w:type="dxa"/>
          </w:tcPr>
          <w:p w14:paraId="5AA9FA7F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差异化聚焦、行业深耕</w:t>
            </w:r>
          </w:p>
        </w:tc>
      </w:tr>
      <w:tr w14:paraId="799D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3C147D5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技术风险</w:t>
            </w:r>
          </w:p>
        </w:tc>
        <w:tc>
          <w:tcPr>
            <w:tcW w:w="2078" w:type="dxa"/>
          </w:tcPr>
          <w:p w14:paraId="744C22A7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核心算法被竞争对手赶超</w:t>
            </w:r>
          </w:p>
        </w:tc>
        <w:tc>
          <w:tcPr>
            <w:tcW w:w="1306" w:type="dxa"/>
          </w:tcPr>
          <w:p w14:paraId="0F84743E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中</w:t>
            </w:r>
          </w:p>
        </w:tc>
        <w:tc>
          <w:tcPr>
            <w:tcW w:w="2850" w:type="dxa"/>
          </w:tcPr>
          <w:p w14:paraId="62919B7D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持续研发投入，保持技术领先</w:t>
            </w:r>
          </w:p>
        </w:tc>
      </w:tr>
      <w:tr w14:paraId="3C971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7ED0462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运营风险</w:t>
            </w:r>
          </w:p>
        </w:tc>
        <w:tc>
          <w:tcPr>
            <w:tcW w:w="2078" w:type="dxa"/>
          </w:tcPr>
          <w:p w14:paraId="561C9C83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项目交付质量下滑，损害口碑</w:t>
            </w:r>
          </w:p>
        </w:tc>
        <w:tc>
          <w:tcPr>
            <w:tcW w:w="1306" w:type="dxa"/>
          </w:tcPr>
          <w:p w14:paraId="66E5C76B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高</w:t>
            </w:r>
          </w:p>
        </w:tc>
        <w:tc>
          <w:tcPr>
            <w:tcW w:w="2850" w:type="dxa"/>
          </w:tcPr>
          <w:p w14:paraId="425BD4A6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建立质量管控体系</w:t>
            </w:r>
          </w:p>
        </w:tc>
      </w:tr>
      <w:tr w14:paraId="22AF9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896F6CA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highlight w:val="none"/>
              </w:rPr>
              <w:t>资金风险</w:t>
            </w:r>
          </w:p>
        </w:tc>
        <w:tc>
          <w:tcPr>
            <w:tcW w:w="2078" w:type="dxa"/>
          </w:tcPr>
          <w:p w14:paraId="13621EBC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扩张期现金流紧张</w:t>
            </w:r>
          </w:p>
        </w:tc>
        <w:tc>
          <w:tcPr>
            <w:tcW w:w="1306" w:type="dxa"/>
          </w:tcPr>
          <w:p w14:paraId="711F720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高</w:t>
            </w:r>
          </w:p>
        </w:tc>
        <w:tc>
          <w:tcPr>
            <w:tcW w:w="2850" w:type="dxa"/>
          </w:tcPr>
          <w:p w14:paraId="539004F1">
            <w:pPr>
              <w:jc w:val="left"/>
              <w:rPr>
                <w:rFonts w:hint="eastAsia" w:ascii="微软雅黑" w:hAnsi="微软雅黑" w:eastAsia="微软雅黑" w:cs="微软雅黑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</w:rPr>
              <w:t>控制扩张节奏，保持6个月现金储备</w:t>
            </w:r>
          </w:p>
        </w:tc>
      </w:tr>
    </w:tbl>
    <w:p w14:paraId="30DA0A8A">
      <w:pPr>
        <w:pStyle w:val="175"/>
        <w:keepNext/>
        <w:widowControl/>
        <w:rPr>
          <w:rFonts w:hint="eastAsia" w:ascii="微软雅黑" w:hAnsi="微软雅黑" w:eastAsia="微软雅黑" w:cs="微软雅黑"/>
          <w:highlight w:val="none"/>
        </w:rPr>
      </w:pPr>
      <w:bookmarkStart w:id="56" w:name="_Toc12790"/>
      <w:r>
        <w:rPr>
          <w:rFonts w:hint="eastAsia" w:ascii="微软雅黑" w:hAnsi="微软雅黑" w:eastAsia="微软雅黑" w:cs="微软雅黑"/>
          <w:highlight w:val="none"/>
        </w:rPr>
        <w:t>结</w:t>
      </w:r>
      <w:r>
        <w:rPr>
          <w:rFonts w:hint="eastAsia" w:ascii="微软雅黑" w:hAnsi="微软雅黑" w:eastAsia="微软雅黑" w:cs="微软雅黑"/>
          <w:highlight w:val="none"/>
          <w:lang w:eastAsia="zh-CN"/>
        </w:rPr>
        <w:t xml:space="preserve">    </w:t>
      </w:r>
      <w:r>
        <w:rPr>
          <w:rFonts w:hint="eastAsia" w:ascii="微软雅黑" w:hAnsi="微软雅黑" w:eastAsia="微软雅黑" w:cs="微软雅黑"/>
          <w:highlight w:val="none"/>
        </w:rPr>
        <w:t>论</w:t>
      </w:r>
      <w:bookmarkEnd w:id="56"/>
    </w:p>
    <w:p w14:paraId="2408C42E">
      <w:pPr>
        <w:pStyle w:val="19"/>
        <w:widowControl/>
        <w:rPr>
          <w:rFonts w:hint="eastAsia" w:ascii="微软雅黑" w:hAnsi="微软雅黑" w:eastAsia="微软雅黑" w:cs="微软雅黑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绿碳智汇正处于"技术验证完成、商业模式探索中"的关键发展期。面向未来5年，公司应坚定以下战略方向：</w:t>
      </w:r>
    </w:p>
    <w:p w14:paraId="4E1AEED4">
      <w:pPr>
        <w:pStyle w:val="19"/>
        <w:widowControl/>
        <w:numPr>
          <w:ilvl w:val="0"/>
          <w:numId w:val="0"/>
        </w:numPr>
        <w:ind w:left="0" w:leftChars="0" w:firstLine="42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  <w:lang w:eastAsia="zh-CN"/>
        </w:rPr>
        <w:t xml:space="preserve">1. </w:t>
      </w: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聚焦高端制造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：以锂电、光伏、新能源汽车为战略行业，以A/B类客户为核心目标；</w:t>
      </w:r>
    </w:p>
    <w:p w14:paraId="778305D7">
      <w:pPr>
        <w:pStyle w:val="19"/>
        <w:widowControl/>
        <w:numPr>
          <w:ilvl w:val="0"/>
          <w:numId w:val="0"/>
        </w:numPr>
        <w:ind w:left="0" w:leftChars="0" w:firstLine="42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加速产品化转型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：从定制项目向"产品+订阅"模式演进，突破增长瓶颈；</w:t>
      </w:r>
    </w:p>
    <w:p w14:paraId="3A319648">
      <w:pPr>
        <w:pStyle w:val="19"/>
        <w:widowControl/>
        <w:numPr>
          <w:ilvl w:val="0"/>
          <w:numId w:val="0"/>
        </w:numPr>
        <w:ind w:left="0" w:leftChars="0" w:firstLine="42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  <w:lang w:eastAsia="zh-CN"/>
        </w:rPr>
        <w:t xml:space="preserve">3. </w:t>
      </w: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构建差异化壁垒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：强化"AI算法+工程落地"双能力，形成竞争对手难以复制的复合优势；</w:t>
      </w:r>
    </w:p>
    <w:p w14:paraId="77CDFE33">
      <w:pPr>
        <w:pStyle w:val="19"/>
        <w:widowControl/>
        <w:numPr>
          <w:ilvl w:val="0"/>
          <w:numId w:val="0"/>
        </w:numPr>
        <w:ind w:left="0" w:leftChars="0" w:firstLine="420"/>
        <w:rPr>
          <w:rFonts w:hint="eastAsia" w:ascii="微软雅黑" w:hAnsi="微软雅黑" w:eastAsia="微软雅黑" w:cs="微软雅黑"/>
          <w:b w:val="0"/>
          <w:color w:val="000000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  <w:lang w:eastAsia="zh-CN"/>
        </w:rPr>
        <w:t xml:space="preserve">4. </w:t>
      </w:r>
      <w:r>
        <w:rPr>
          <w:rFonts w:hint="eastAsia" w:ascii="微软雅黑" w:hAnsi="微软雅黑" w:eastAsia="微软雅黑" w:cs="微软雅黑"/>
          <w:b/>
          <w:sz w:val="21"/>
          <w:szCs w:val="24"/>
          <w:highlight w:val="none"/>
        </w:rPr>
        <w:t>稳健扩张</w:t>
      </w: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：保持健康的现金流与利润率，避免盲目扩张带来的系统性风险。</w:t>
      </w:r>
    </w:p>
    <w:p w14:paraId="28415AF7">
      <w:pPr>
        <w:pStyle w:val="19"/>
        <w:widowControl/>
        <w:rPr>
          <w:rFonts w:hint="eastAsia" w:ascii="微软雅黑" w:hAnsi="微软雅黑" w:eastAsia="微软雅黑" w:cs="微软雅黑"/>
          <w:sz w:val="21"/>
          <w:szCs w:val="24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4"/>
          <w:highlight w:val="none"/>
        </w:rPr>
        <w:t>通过上述战略举措，绿碳智汇有望在未来5年实现营收3倍增长，成长为高端制造能效优化领域的领先企业。</w:t>
      </w:r>
    </w:p>
    <w:p w14:paraId="394C6C7D">
      <w:pPr>
        <w:pStyle w:val="3"/>
        <w:bidi w:val="0"/>
        <w:rPr>
          <w:rFonts w:hint="eastAsia"/>
          <w:highlight w:val="none"/>
          <w:lang w:val="en-US" w:eastAsia="zh-CN"/>
        </w:rPr>
      </w:pPr>
      <w:bookmarkStart w:id="57" w:name="_Toc25294"/>
      <w:r>
        <w:rPr>
          <w:rFonts w:hint="eastAsia"/>
          <w:highlight w:val="none"/>
          <w:lang w:val="en-US" w:eastAsia="zh-CN"/>
        </w:rPr>
        <w:t>假设和相关依据</w:t>
      </w:r>
      <w:bookmarkEnd w:id="57"/>
    </w:p>
    <w:p w14:paraId="70AD3439">
      <w:pPr>
        <w:rPr>
          <w:rFonts w:hint="default"/>
          <w:highlight w:val="none"/>
          <w:lang w:val="en-US" w:eastAsia="zh-CN"/>
        </w:rPr>
      </w:pPr>
      <w:r>
        <w:rPr>
          <w:highlight w:val="none"/>
        </w:rPr>
        <w:drawing>
          <wp:inline distT="0" distB="0" distL="114300" distR="114300">
            <wp:extent cx="5271770" cy="2552700"/>
            <wp:effectExtent l="0" t="0" r="1143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37EAE"/>
    <w:multiLevelType w:val="singleLevel"/>
    <w:tmpl w:val="81237EAE"/>
    <w:lvl w:ilvl="0" w:tentative="0">
      <w:start w:val="1"/>
      <w:numFmt w:val="decimal"/>
      <w:suff w:val="space"/>
      <w:lvlText w:val=""/>
      <w:lvlJc w:val="left"/>
      <w:pPr>
        <w:ind w:left="0" w:firstLine="420"/>
      </w:pPr>
      <w:rPr>
        <w:rFonts w:hint="default"/>
      </w:rPr>
    </w:lvl>
  </w:abstractNum>
  <w:abstractNum w:abstractNumId="1">
    <w:nsid w:val="A3955EA2"/>
    <w:multiLevelType w:val="singleLevel"/>
    <w:tmpl w:val="A3955EA2"/>
    <w:lvl w:ilvl="0" w:tentative="0">
      <w:start w:val="1"/>
      <w:numFmt w:val="decimal"/>
      <w:suff w:val="space"/>
      <w:lvlText w:val=""/>
      <w:lvlJc w:val="left"/>
      <w:pPr>
        <w:ind w:left="0" w:firstLine="420"/>
      </w:pPr>
      <w:rPr>
        <w:rFonts w:hint="default"/>
      </w:rPr>
    </w:lvl>
  </w:abstractNum>
  <w:abstractNum w:abstractNumId="2">
    <w:nsid w:val="A85711B3"/>
    <w:multiLevelType w:val="singleLevel"/>
    <w:tmpl w:val="A85711B3"/>
    <w:lvl w:ilvl="0" w:tentative="0">
      <w:start w:val="1"/>
      <w:numFmt w:val="decimal"/>
      <w:suff w:val="space"/>
      <w:lvlText w:val=""/>
      <w:lvlJc w:val="left"/>
      <w:pPr>
        <w:ind w:left="0" w:firstLine="420"/>
      </w:pPr>
      <w:rPr>
        <w:rFonts w:hint="default"/>
      </w:rPr>
    </w:lvl>
  </w:abstractNum>
  <w:abstractNum w:abstractNumId="3">
    <w:nsid w:val="AAEF91B3"/>
    <w:multiLevelType w:val="singleLevel"/>
    <w:tmpl w:val="AAEF91B3"/>
    <w:lvl w:ilvl="0" w:tentative="0">
      <w:start w:val="1"/>
      <w:numFmt w:val="decimal"/>
      <w:suff w:val="space"/>
      <w:lvlText w:val=""/>
      <w:lvlJc w:val="left"/>
      <w:pPr>
        <w:ind w:left="0" w:firstLine="420"/>
      </w:pPr>
      <w:rPr>
        <w:rFonts w:hint="default"/>
      </w:rPr>
    </w:lvl>
  </w:abstractNum>
  <w:abstractNum w:abstractNumId="4">
    <w:nsid w:val="AE1F4A54"/>
    <w:multiLevelType w:val="singleLevel"/>
    <w:tmpl w:val="AE1F4A54"/>
    <w:lvl w:ilvl="0" w:tentative="0">
      <w:start w:val="1"/>
      <w:numFmt w:val="decimal"/>
      <w:suff w:val="space"/>
      <w:lvlText w:val=""/>
      <w:lvlJc w:val="left"/>
      <w:pPr>
        <w:ind w:left="0" w:firstLine="420"/>
      </w:pPr>
      <w:rPr>
        <w:rFonts w:hint="default"/>
      </w:rPr>
    </w:lvl>
  </w:abstractNum>
  <w:abstractNum w:abstractNumId="5">
    <w:nsid w:val="CAF33EB3"/>
    <w:multiLevelType w:val="singleLevel"/>
    <w:tmpl w:val="CAF33EB3"/>
    <w:lvl w:ilvl="0" w:tentative="0">
      <w:start w:val="1"/>
      <w:numFmt w:val="decimal"/>
      <w:suff w:val="space"/>
      <w:lvlText w:val=""/>
      <w:lvlJc w:val="left"/>
      <w:pPr>
        <w:ind w:left="0" w:firstLine="420"/>
      </w:pPr>
      <w:rPr>
        <w:rFonts w:hint="default"/>
      </w:rPr>
    </w:lvl>
  </w:abstractNum>
  <w:abstractNum w:abstractNumId="6">
    <w:nsid w:val="D1410CB4"/>
    <w:multiLevelType w:val="singleLevel"/>
    <w:tmpl w:val="D1410CB4"/>
    <w:lvl w:ilvl="0" w:tentative="0">
      <w:start w:val="1"/>
      <w:numFmt w:val="decimal"/>
      <w:suff w:val="space"/>
      <w:lvlText w:val=""/>
      <w:lvlJc w:val="left"/>
      <w:pPr>
        <w:ind w:left="0" w:firstLine="420"/>
      </w:pPr>
      <w:rPr>
        <w:rFonts w:hint="default"/>
      </w:rPr>
    </w:lvl>
  </w:abstractNum>
  <w:abstractNum w:abstractNumId="7">
    <w:nsid w:val="D89B42B8"/>
    <w:multiLevelType w:val="singleLevel"/>
    <w:tmpl w:val="D89B42B8"/>
    <w:lvl w:ilvl="0" w:tentative="0">
      <w:start w:val="1"/>
      <w:numFmt w:val="decimal"/>
      <w:suff w:val="space"/>
      <w:lvlText w:val=""/>
      <w:lvlJc w:val="left"/>
      <w:pPr>
        <w:ind w:left="0" w:firstLine="420"/>
      </w:pPr>
      <w:rPr>
        <w:rFonts w:hint="default"/>
      </w:rPr>
    </w:lvl>
  </w:abstractNum>
  <w:abstractNum w:abstractNumId="8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9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4">
    <w:nsid w:val="110F9A2D"/>
    <w:multiLevelType w:val="singleLevel"/>
    <w:tmpl w:val="110F9A2D"/>
    <w:lvl w:ilvl="0" w:tentative="0">
      <w:start w:val="1"/>
      <w:numFmt w:val="decimal"/>
      <w:suff w:val="space"/>
      <w:lvlText w:val=""/>
      <w:lvlJc w:val="left"/>
      <w:pPr>
        <w:ind w:left="0" w:firstLine="420"/>
      </w:pPr>
      <w:rPr>
        <w:rFonts w:hint="default"/>
      </w:rPr>
    </w:lvl>
  </w:abstractNum>
  <w:abstractNum w:abstractNumId="15">
    <w:nsid w:val="14790732"/>
    <w:multiLevelType w:val="singleLevel"/>
    <w:tmpl w:val="1479073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6">
    <w:nsid w:val="24DB2BFF"/>
    <w:multiLevelType w:val="singleLevel"/>
    <w:tmpl w:val="24DB2BFF"/>
    <w:lvl w:ilvl="0" w:tentative="0">
      <w:start w:val="1"/>
      <w:numFmt w:val="decimal"/>
      <w:suff w:val="space"/>
      <w:lvlText w:val=""/>
      <w:lvlJc w:val="left"/>
      <w:pPr>
        <w:ind w:left="0" w:firstLine="420"/>
      </w:pPr>
      <w:rPr>
        <w:rFonts w:hint="default"/>
      </w:rPr>
    </w:lvl>
  </w:abstractNum>
  <w:abstractNum w:abstractNumId="17">
    <w:nsid w:val="3F3382F1"/>
    <w:multiLevelType w:val="singleLevel"/>
    <w:tmpl w:val="3F3382F1"/>
    <w:lvl w:ilvl="0" w:tentative="0">
      <w:start w:val="1"/>
      <w:numFmt w:val="decimal"/>
      <w:suff w:val="space"/>
      <w:lvlText w:val=""/>
      <w:lvlJc w:val="left"/>
      <w:pPr>
        <w:ind w:left="0" w:firstLine="420"/>
      </w:pPr>
      <w:rPr>
        <w:rFonts w:hint="default"/>
      </w:rPr>
    </w:lvl>
  </w:abstractNum>
  <w:abstractNum w:abstractNumId="18">
    <w:nsid w:val="6614E1A9"/>
    <w:multiLevelType w:val="singleLevel"/>
    <w:tmpl w:val="6614E1A9"/>
    <w:lvl w:ilvl="0" w:tentative="0">
      <w:start w:val="1"/>
      <w:numFmt w:val="decimal"/>
      <w:suff w:val="space"/>
      <w:lvlText w:val=""/>
      <w:lvlJc w:val="left"/>
      <w:pPr>
        <w:ind w:left="0" w:firstLine="420"/>
      </w:pPr>
      <w:rPr>
        <w:rFonts w:hint="default"/>
      </w:rPr>
    </w:lvl>
  </w:abstractNum>
  <w:abstractNum w:abstractNumId="19">
    <w:nsid w:val="7C952A68"/>
    <w:multiLevelType w:val="singleLevel"/>
    <w:tmpl w:val="7C952A68"/>
    <w:lvl w:ilvl="0" w:tentative="0">
      <w:start w:val="1"/>
      <w:numFmt w:val="decimal"/>
      <w:suff w:val="space"/>
      <w:lvlText w:val=""/>
      <w:lvlJc w:val="left"/>
      <w:pPr>
        <w:ind w:left="0" w:firstLine="420"/>
      </w:pPr>
      <w:rPr>
        <w:rFonts w:hint="default"/>
      </w:rPr>
    </w:lvl>
  </w:abstractNum>
  <w:num w:numId="1">
    <w:abstractNumId w:val="9"/>
  </w:num>
  <w:num w:numId="2">
    <w:abstractNumId w:val="12"/>
  </w:num>
  <w:num w:numId="3">
    <w:abstractNumId w:val="13"/>
  </w:num>
  <w:num w:numId="4">
    <w:abstractNumId w:val="10"/>
  </w:num>
  <w:num w:numId="5">
    <w:abstractNumId w:val="8"/>
  </w:num>
  <w:num w:numId="6">
    <w:abstractNumId w:val="11"/>
  </w:num>
  <w:num w:numId="7">
    <w:abstractNumId w:val="5"/>
  </w:num>
  <w:num w:numId="8">
    <w:abstractNumId w:val="4"/>
  </w:num>
  <w:num w:numId="9">
    <w:abstractNumId w:val="18"/>
  </w:num>
  <w:num w:numId="10">
    <w:abstractNumId w:val="19"/>
  </w:num>
  <w:num w:numId="11">
    <w:abstractNumId w:val="3"/>
  </w:num>
  <w:num w:numId="12">
    <w:abstractNumId w:val="6"/>
  </w:num>
  <w:num w:numId="13">
    <w:abstractNumId w:val="16"/>
  </w:num>
  <w:num w:numId="14">
    <w:abstractNumId w:val="14"/>
  </w:num>
  <w:num w:numId="15">
    <w:abstractNumId w:val="15"/>
  </w:num>
  <w:num w:numId="16">
    <w:abstractNumId w:val="17"/>
  </w:num>
  <w:num w:numId="17">
    <w:abstractNumId w:val="7"/>
  </w:num>
  <w:num w:numId="18">
    <w:abstractNumId w:val="2"/>
  </w:num>
  <w:num w:numId="19">
    <w:abstractNumId w:val="0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6338B5"/>
    <w:rsid w:val="08FA0EB6"/>
    <w:rsid w:val="097B2A83"/>
    <w:rsid w:val="239E58AF"/>
    <w:rsid w:val="25DE1BBE"/>
    <w:rsid w:val="2DAF5BEE"/>
    <w:rsid w:val="3DD137F2"/>
    <w:rsid w:val="4B1F21AD"/>
    <w:rsid w:val="50B86916"/>
    <w:rsid w:val="6F262CA2"/>
    <w:rsid w:val="76D41E35"/>
    <w:rsid w:val="79DC4CC5"/>
    <w:rsid w:val="7E89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next w:val="1"/>
    <w:qFormat/>
    <w:uiPriority w:val="9"/>
    <w:pPr>
      <w:keepNext w:val="0"/>
      <w:keepLines w:val="0"/>
      <w:widowControl w:val="0"/>
      <w:adjustRightInd w:val="0"/>
      <w:spacing w:beforeLines="50" w:afterLines="50" w:line="240" w:lineRule="auto"/>
      <w:jc w:val="both"/>
      <w:outlineLvl w:val="0"/>
    </w:pPr>
    <w:rPr>
      <w:rFonts w:ascii="Times New Roman" w:hAnsi="Times New Roman" w:eastAsia="黑体" w:cs="Times New Roman"/>
      <w:b/>
      <w:kern w:val="44"/>
      <w:sz w:val="32"/>
      <w:szCs w:val="32"/>
      <w:lang w:bidi="ar-SA"/>
    </w:rPr>
  </w:style>
  <w:style w:type="paragraph" w:styleId="4">
    <w:name w:val="heading 2"/>
    <w:next w:val="1"/>
    <w:unhideWhenUsed/>
    <w:qFormat/>
    <w:uiPriority w:val="9"/>
    <w:pPr>
      <w:keepNext w:val="0"/>
      <w:keepLines w:val="0"/>
      <w:widowControl w:val="0"/>
      <w:adjustRightInd w:val="0"/>
      <w:spacing w:beforeLines="50" w:afterLines="50" w:line="240" w:lineRule="auto"/>
      <w:jc w:val="both"/>
      <w:outlineLvl w:val="1"/>
    </w:pPr>
    <w:rPr>
      <w:rFonts w:ascii="Times New Roman" w:hAnsi="Times New Roman" w:eastAsia="黑体" w:cs="Times New Roman"/>
      <w:b/>
      <w:kern w:val="2"/>
      <w:sz w:val="30"/>
      <w:szCs w:val="28"/>
      <w:lang w:bidi="ar-SA"/>
    </w:rPr>
  </w:style>
  <w:style w:type="paragraph" w:styleId="5">
    <w:name w:val="heading 3"/>
    <w:next w:val="1"/>
    <w:link w:val="176"/>
    <w:unhideWhenUsed/>
    <w:qFormat/>
    <w:uiPriority w:val="9"/>
    <w:pPr>
      <w:keepNext w:val="0"/>
      <w:keepLines w:val="0"/>
      <w:widowControl w:val="0"/>
      <w:adjustRightInd w:val="0"/>
      <w:spacing w:beforeLines="50" w:afterLines="50" w:line="240" w:lineRule="auto"/>
      <w:jc w:val="both"/>
      <w:outlineLvl w:val="2"/>
    </w:pPr>
    <w:rPr>
      <w:rFonts w:ascii="Times New Roman" w:hAnsi="Times New Roman" w:eastAsia="黑体" w:cs="Times New Roman"/>
      <w:b/>
      <w:kern w:val="2"/>
      <w:sz w:val="28"/>
      <w:szCs w:val="24"/>
      <w:lang w:bidi="ar-SA"/>
    </w:rPr>
  </w:style>
  <w:style w:type="paragraph" w:styleId="6">
    <w:name w:val="heading 4"/>
    <w:next w:val="1"/>
    <w:unhideWhenUsed/>
    <w:qFormat/>
    <w:uiPriority w:val="9"/>
    <w:pPr>
      <w:keepNext w:val="0"/>
      <w:keepLines w:val="0"/>
      <w:widowControl w:val="0"/>
      <w:adjustRightInd w:val="0"/>
      <w:spacing w:beforeLines="50" w:afterLines="50" w:line="240" w:lineRule="auto"/>
      <w:ind w:firstLine="480" w:firstLineChars="200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7">
    <w:name w:val="heading 5"/>
    <w:next w:val="1"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6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7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8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1">
    <w:name w:val="heading 9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qFormat/>
    <w:uiPriority w:val="99"/>
    <w:pPr>
      <w:widowControl w:val="0"/>
      <w:adjustRightInd w:val="0"/>
      <w:spacing w:line="240" w:lineRule="auto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1"/>
      <w:szCs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next w:val="1"/>
    <w:semiHidden/>
    <w:unhideWhenUsed/>
    <w:uiPriority w:val="39"/>
    <w:pPr>
      <w:adjustRightInd w:val="0"/>
      <w:spacing w:line="360" w:lineRule="auto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next w:val="1"/>
    <w:semiHidden/>
    <w:unhideWhenUsed/>
    <w:qFormat/>
    <w:uiPriority w:val="39"/>
    <w:pPr>
      <w:adjustRightInd w:val="0"/>
      <w:spacing w:line="360" w:lineRule="auto"/>
      <w:ind w:firstLine="0" w:firstLineChars="0"/>
    </w:pPr>
    <w:rPr>
      <w:rFonts w:ascii="Times New Roman" w:hAnsi="Times New Roman" w:eastAsia="宋体" w:cs="Times New Roman"/>
      <w:sz w:val="24"/>
      <w:szCs w:val="24"/>
    </w:rPr>
  </w:style>
  <w:style w:type="paragraph" w:styleId="28">
    <w:name w:val="Subtitle"/>
    <w:next w:val="1"/>
    <w:qFormat/>
    <w:uiPriority w:val="11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宋体" w:cs="Times New Roman"/>
      <w:kern w:val="28"/>
      <w:sz w:val="24"/>
      <w:szCs w:val="32"/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next w:val="1"/>
    <w:semiHidden/>
    <w:unhideWhenUsed/>
    <w:uiPriority w:val="39"/>
    <w:pPr>
      <w:adjustRightInd w:val="0"/>
      <w:spacing w:line="360" w:lineRule="auto"/>
      <w:ind w:left="0" w:leftChars="0" w:firstLine="240" w:firstLineChars="100"/>
    </w:pPr>
    <w:rPr>
      <w:rFonts w:ascii="Times New Roman" w:hAnsi="Times New Roman" w:eastAsia="宋体" w:cs="Times New Roman"/>
      <w:sz w:val="24"/>
      <w:szCs w:val="24"/>
    </w:r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next w:val="1"/>
    <w:qFormat/>
    <w:uiPriority w:val="10"/>
    <w:pPr>
      <w:widowControl w:val="0"/>
      <w:adjustRightInd w:val="0"/>
      <w:spacing w:line="360" w:lineRule="auto"/>
      <w:ind w:right="0" w:rightChars="0"/>
      <w:jc w:val="center"/>
      <w:outlineLvl w:val="9"/>
    </w:pPr>
    <w:rPr>
      <w:rFonts w:ascii="Times New Roman" w:hAnsi="Times New Roman" w:eastAsia="华文中宋" w:cs="Times New Roman"/>
      <w:b/>
      <w:kern w:val="2"/>
      <w:sz w:val="36"/>
      <w:szCs w:val="36"/>
      <w:lang w:bidi="ar-SA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42">
    <w:name w:val="Heading 2 Char"/>
    <w:basedOn w:val="135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5">
    <w:name w:val="Heading 6 Char"/>
    <w:basedOn w:val="135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6">
    <w:name w:val="Heading 7 Char"/>
    <w:basedOn w:val="135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8">
    <w:name w:val="CodeChar"/>
    <w:basedOn w:val="135"/>
    <w:uiPriority w:val="0"/>
    <w:rPr>
      <w:rFonts w:ascii="Courier New" w:hAnsi="Courier New" w:eastAsia="Courier New"/>
      <w:color w:val="000000"/>
      <w:sz w:val="20"/>
    </w:rPr>
  </w:style>
  <w:style w:type="paragraph" w:customStyle="1" w:styleId="169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70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71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72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3">
    <w:name w:val="Footnote"/>
    <w:basedOn w:val="1"/>
    <w:uiPriority w:val="0"/>
    <w:rPr>
      <w:rFonts w:ascii="宋体" w:hAnsi="宋体" w:eastAsia="宋体"/>
      <w:color w:val="666666"/>
      <w:sz w:val="20"/>
    </w:rPr>
  </w:style>
  <w:style w:type="paragraph" w:customStyle="1" w:styleId="174">
    <w:name w:val="目录标题"/>
    <w:next w:val="1"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32"/>
      <w:lang w:bidi="ar-SA"/>
    </w:rPr>
  </w:style>
  <w:style w:type="paragraph" w:customStyle="1" w:styleId="175">
    <w:name w:val="结语标题"/>
    <w:next w:val="1"/>
    <w:uiPriority w:val="0"/>
    <w:pPr>
      <w:adjustRightInd w:val="0"/>
      <w:spacing w:beforeLines="50" w:afterLines="50" w:line="240" w:lineRule="auto"/>
      <w:ind w:firstLine="0" w:firstLineChars="0"/>
      <w:jc w:val="center"/>
      <w:outlineLvl w:val="0"/>
    </w:pPr>
    <w:rPr>
      <w:rFonts w:ascii="Times New Roman" w:hAnsi="Times New Roman" w:eastAsia="黑体" w:cs="Times New Roman"/>
      <w:b/>
      <w:sz w:val="32"/>
      <w:szCs w:val="32"/>
    </w:rPr>
  </w:style>
  <w:style w:type="character" w:customStyle="1" w:styleId="176">
    <w:name w:val="标题 3 Char"/>
    <w:link w:val="5"/>
    <w:uiPriority w:val="9"/>
    <w:rPr>
      <w:rFonts w:ascii="Times New Roman" w:hAnsi="Times New Roman" w:eastAsia="黑体" w:cs="Times New Roman"/>
      <w:b/>
      <w:kern w:val="2"/>
      <w:sz w:val="28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2074</Words>
  <Characters>2341</Characters>
  <Lines>0</Lines>
  <Paragraphs>0</Paragraphs>
  <TotalTime>57</TotalTime>
  <ScaleCrop>false</ScaleCrop>
  <LinksUpToDate>false</LinksUpToDate>
  <CharactersWithSpaces>2515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MarkdownToDocx Converter</dc:creator>
  <dc:description>Converted from Markdown to DOCX</dc:description>
  <cp:lastModifiedBy>袁裕杰</cp:lastModifiedBy>
  <dcterms:modified xsi:type="dcterms:W3CDTF">2026-04-15T15:57:44Z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eyJoZGlkIjoiNGQ2ZGE3ZjdjYjQzNmJiOTJjZjQ0Mjc2YjYxM2M1YmEiLCJ1c2VySWQiOiIxNzYzOTg5ODE4In0=</vt:lpwstr>
  </property>
  <property fmtid="{D5CDD505-2E9C-101B-9397-08002B2CF9AE}" pid="3" name="KSOProductBuildVer">
    <vt:lpwstr>2052-12.1.0.25225</vt:lpwstr>
  </property>
  <property fmtid="{D5CDD505-2E9C-101B-9397-08002B2CF9AE}" pid="4" name="ICV">
    <vt:lpwstr>D81F90987BE542FFAD4A24526A9404E2_12</vt:lpwstr>
  </property>
</Properties>
</file>