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78CDE">
      <w:pPr>
        <w:pStyle w:val="17"/>
        <w:outlineLvl w:val="9"/>
      </w:pPr>
      <w:r>
        <w:t>关于</w:t>
      </w:r>
      <w:r>
        <w:rPr>
          <w:rFonts w:hint="eastAsia"/>
          <w:lang w:val="en-US" w:eastAsia="zh-CN"/>
        </w:rPr>
        <w:t>C</w:t>
      </w:r>
      <w:r>
        <w:t>公司构建</w:t>
      </w:r>
      <w:r>
        <w:rPr>
          <w:rFonts w:hint="eastAsia"/>
          <w:lang w:val="en-US" w:eastAsia="zh-CN"/>
        </w:rPr>
        <w:t>AI</w:t>
      </w:r>
      <w:r>
        <w:t>驱动供应链碳管理体系的战略实施方案报告</w:t>
      </w:r>
    </w:p>
    <w:p w14:paraId="6279C8FD">
      <w:pPr>
        <w:pStyle w:val="20"/>
        <w:keepNext/>
        <w:jc w:val="both"/>
        <w:outlineLvl w:val="9"/>
      </w:pPr>
    </w:p>
    <w:p w14:paraId="2D3C0F24">
      <w:pPr>
        <w:pStyle w:val="20"/>
        <w:keepNext/>
        <w:outlineLvl w:val="9"/>
        <w:rPr>
          <w:rFonts w:hint="eastAsia" w:eastAsia="黑体"/>
          <w:lang w:eastAsia="zh-CN"/>
        </w:rPr>
      </w:pPr>
      <w:r>
        <w:rPr>
          <w:rFonts w:hint="eastAsia"/>
          <w:lang w:eastAsia="zh-CN"/>
        </w:rPr>
        <w:t>摘    要</w:t>
      </w:r>
    </w:p>
    <w:p w14:paraId="3716FA9D">
      <w:pPr>
        <w:pStyle w:val="21"/>
      </w:pPr>
      <w:r>
        <w:rPr>
          <w:rFonts w:ascii="Times New Roman" w:hAnsi="Times New Roman" w:eastAsia="楷体" w:cs="Times New Roman"/>
          <w:sz w:val="21"/>
          <w:szCs w:val="24"/>
        </w:rPr>
        <w:t>C 公司作为全球消费电子代工巨头，2025 财年营收 2,300 亿元，但 72%营收（1,656 亿元）依赖北美 B 公司。2026 年 4 月，B 公司发出合规通牒：要求 2026 年底前将范围 3 供应链碳数据溯源准确率从 62%提升至 95%以上，并出具符合 ISSB 标准的鉴证报告，否则 2027 年削减 15%订单（248.4 亿元）。当前 C 公司范围 3 数据错误率高达 38%，面临生存危机。借鉴工业富联（Fii）"AI 驱动供应链碳管理创新"的成功实践，本报告提出"绿碳智汇"AI+ESG 体系，投资 5,000 万元 CapEx 及 3.89 亿元/年供应商激励，通过五层交叉验证防范供应链漂绿，预计 NPV 达 305.15 亿元，ROI 76,450%。项目 8 个月完成 2,500 家供应商接入，确保 2026 年底合规，保住 153.5 亿元净利润，并构建相对于东南亚代工厂的核心壁垒。核心建议：立即启动基准投资方案，建立跨部门"战情室"，分阶段推进供应商接入，配套三级激励体系化解阻力。</w:t>
      </w:r>
      <w:bookmarkStart w:id="148" w:name="_GoBack"/>
      <w:bookmarkEnd w:id="148"/>
    </w:p>
    <w:p w14:paraId="3BB3B247">
      <w:pPr>
        <w:pStyle w:val="22"/>
        <w:spacing w:afterLines="0"/>
        <w:jc w:val="center"/>
      </w:pPr>
      <w:r>
        <w:t>目</w:t>
      </w:r>
      <w:r>
        <w:rPr>
          <w:rFonts w:hint="eastAsia"/>
          <w:lang w:eastAsia="zh-CN"/>
        </w:rPr>
        <w:t xml:space="preserve">    </w:t>
      </w:r>
      <w:r>
        <w:t>录</w:t>
      </w:r>
    </w:p>
    <w:sdt>
      <w:sdtPr>
        <w:rPr>
          <w:rFonts w:ascii="宋体" w:hAnsi="宋体" w:eastAsia="宋体"/>
          <w:sz w:val="21"/>
          <w:szCs w:val="22"/>
        </w:rPr>
        <w:id w:val="147471282"/>
        <w15:color w:val="DBDBDB"/>
        <w:docPartObj>
          <w:docPartGallery w:val="Table of Contents"/>
          <w:docPartUnique/>
        </w:docPartObj>
      </w:sdtPr>
      <w:sdtContent>
        <w:p w14:paraId="64EECF6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74F2A23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_Toc21572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第一章：</w:t>
          </w:r>
          <w:r>
            <w:t>项目背景与战略必要性分析</w:t>
          </w:r>
          <w:r>
            <w:tab/>
          </w:r>
          <w:r>
            <w:fldChar w:fldCharType="begin"/>
          </w:r>
          <w:r>
            <w:instrText xml:space="preserve"> PAGEREF _Toc21572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BBAC749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_Toc3622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1.1 </w:t>
          </w:r>
          <w:r>
            <w:t>外部压力：客户合规通牒与监管趋势</w:t>
          </w:r>
          <w:r>
            <w:tab/>
          </w:r>
          <w:r>
            <w:fldChar w:fldCharType="begin"/>
          </w:r>
          <w:r>
            <w:instrText xml:space="preserve"> PAGEREF _Toc3622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F6B5DD6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_Toc25083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1.1.1 </w:t>
          </w:r>
          <w:r>
            <w:t>B 公司合规要求</w:t>
          </w:r>
          <w:r>
            <w:tab/>
          </w:r>
          <w:r>
            <w:fldChar w:fldCharType="begin"/>
          </w:r>
          <w:r>
            <w:instrText xml:space="preserve"> PAGEREF _Toc25083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48D8CB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_Toc4927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1.1.2 </w:t>
          </w:r>
          <w:r>
            <w:t>ISSB 标准核心要求</w:t>
          </w:r>
          <w:r>
            <w:tab/>
          </w:r>
          <w:r>
            <w:fldChar w:fldCharType="begin"/>
          </w:r>
          <w:r>
            <w:instrText xml:space="preserve"> PAGEREF _Toc4927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8617F6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_Toc9633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1.1.3 </w:t>
          </w:r>
          <w:r>
            <w:t>欧盟 CBAM 政策影响</w:t>
          </w:r>
          <w:r>
            <w:tab/>
          </w:r>
          <w:r>
            <w:fldChar w:fldCharType="begin"/>
          </w:r>
          <w:r>
            <w:instrText xml:space="preserve"> PAGEREF _Toc9633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0E1EF1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_Toc13980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1.1.4 </w:t>
          </w:r>
          <w:r>
            <w:t>监管趋势</w:t>
          </w:r>
          <w:r>
            <w:tab/>
          </w:r>
          <w:r>
            <w:fldChar w:fldCharType="begin"/>
          </w:r>
          <w:r>
            <w:instrText xml:space="preserve"> PAGEREF _Toc13980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660A93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_Toc15154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1.2 </w:t>
          </w:r>
          <w:r>
            <w:t>内部危机：数据质量现状与订单流失风险量化</w:t>
          </w:r>
          <w:r>
            <w:tab/>
          </w:r>
          <w:r>
            <w:fldChar w:fldCharType="begin"/>
          </w:r>
          <w:r>
            <w:instrText xml:space="preserve"> PAGEREF _Toc15154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85E991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_Toc5901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1.2.1 </w:t>
          </w:r>
          <w:r>
            <w:t>碳排放现状</w:t>
          </w:r>
          <w:r>
            <w:tab/>
          </w:r>
          <w:r>
            <w:fldChar w:fldCharType="begin"/>
          </w:r>
          <w:r>
            <w:instrText xml:space="preserve"> PAGEREF _Toc5901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A2DB06A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_Toc22038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1.2.2 </w:t>
          </w:r>
          <w:r>
            <w:t>核心危机</w:t>
          </w:r>
          <w:r>
            <w:tab/>
          </w:r>
          <w:r>
            <w:fldChar w:fldCharType="begin"/>
          </w:r>
          <w:r>
            <w:instrText xml:space="preserve"> PAGEREF _Toc22038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EDDE18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_Toc13025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1.2.3 </w:t>
          </w:r>
          <w:r>
            <w:t>订单流失风险量化</w:t>
          </w:r>
          <w:r>
            <w:tab/>
          </w:r>
          <w:r>
            <w:fldChar w:fldCharType="begin"/>
          </w:r>
          <w:r>
            <w:instrText xml:space="preserve"> PAGEREF _Toc13025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66758F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_Toc22973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1.2.4 </w:t>
          </w:r>
          <w:r>
            <w:t>核心发现</w:t>
          </w:r>
          <w:r>
            <w:tab/>
          </w:r>
          <w:r>
            <w:fldChar w:fldCharType="begin"/>
          </w:r>
          <w:r>
            <w:instrText xml:space="preserve"> PAGEREF _Toc22973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B4594AF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_Toc19614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1.3 </w:t>
          </w:r>
          <w:r>
            <w:t>战略机遇：从合规成本到绿色价值创造</w:t>
          </w:r>
          <w:r>
            <w:tab/>
          </w:r>
          <w:r>
            <w:fldChar w:fldCharType="begin"/>
          </w:r>
          <w:r>
            <w:instrText xml:space="preserve"> PAGEREF _Toc19614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9AA2C6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_Toc8202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1.3.1 </w:t>
          </w:r>
          <w:r>
            <w:t>绿色金融收益</w:t>
          </w:r>
          <w:r>
            <w:tab/>
          </w:r>
          <w:r>
            <w:fldChar w:fldCharType="begin"/>
          </w:r>
          <w:r>
            <w:instrText xml:space="preserve"> PAGEREF _Toc8202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B9D9682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_Toc14924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1.3.2 </w:t>
          </w:r>
          <w:r>
            <w:t>供应链韧性增强</w:t>
          </w:r>
          <w:r>
            <w:tab/>
          </w:r>
          <w:r>
            <w:fldChar w:fldCharType="begin"/>
          </w:r>
          <w:r>
            <w:instrText xml:space="preserve"> PAGEREF _Toc14924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1AC7B3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_Toc9191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1.3.3 </w:t>
          </w:r>
          <w:r>
            <w:t>市场声誉提升</w:t>
          </w:r>
          <w:r>
            <w:tab/>
          </w:r>
          <w:r>
            <w:fldChar w:fldCharType="begin"/>
          </w:r>
          <w:r>
            <w:instrText xml:space="preserve"> PAGEREF _Toc9191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272AE4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_Toc7200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第二章：</w:t>
          </w:r>
          <w:r>
            <w:t>行业最佳实践借鉴：工业富联模式解构</w:t>
          </w:r>
          <w:r>
            <w:tab/>
          </w:r>
          <w:r>
            <w:fldChar w:fldCharType="begin"/>
          </w:r>
          <w:r>
            <w:instrText xml:space="preserve"> PAGEREF _Toc7200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FF70A3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_Toc14789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2.1 </w:t>
          </w:r>
          <w:r>
            <w:t>标杆选择依据。</w:t>
          </w:r>
          <w:r>
            <w:tab/>
          </w:r>
          <w:r>
            <w:fldChar w:fldCharType="begin"/>
          </w:r>
          <w:r>
            <w:instrText xml:space="preserve"> PAGEREF _Toc14789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A8ACBE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_Toc7574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2.2 </w:t>
          </w:r>
          <w:r>
            <w:t>核心框架解析：落地 ai 追踪碳排放流程图</w:t>
          </w:r>
          <w:r>
            <w:tab/>
          </w:r>
          <w:r>
            <w:fldChar w:fldCharType="begin"/>
          </w:r>
          <w:r>
            <w:instrText xml:space="preserve"> PAGEREF _Toc7574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F1E90C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_Toc3285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2.2.1 </w:t>
          </w:r>
          <w:r>
            <w:t>实施路径：</w:t>
          </w:r>
          <w:r>
            <w:tab/>
          </w:r>
          <w:r>
            <w:fldChar w:fldCharType="begin"/>
          </w:r>
          <w:r>
            <w:instrText xml:space="preserve"> PAGEREF _Toc3285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ACF6B2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_Toc15413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2.2.2 </w:t>
          </w:r>
          <w:r>
            <w:t>技术赋能平台</w:t>
          </w:r>
          <w:r>
            <w:tab/>
          </w:r>
          <w:r>
            <w:fldChar w:fldCharType="begin"/>
          </w:r>
          <w:r>
            <w:instrText xml:space="preserve"> PAGEREF _Toc15413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8C021E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_Toc3891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2.2.3 </w:t>
          </w:r>
          <w:r>
            <w:t>数据治理引擎</w:t>
          </w:r>
          <w:r>
            <w:tab/>
          </w:r>
          <w:r>
            <w:fldChar w:fldCharType="begin"/>
          </w:r>
          <w:r>
            <w:instrText xml:space="preserve"> PAGEREF _Toc3891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11B98B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_Toc10639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2.3 </w:t>
          </w:r>
          <w:r>
            <w:t>关键成果启示。</w:t>
          </w:r>
          <w:r>
            <w:tab/>
          </w:r>
          <w:r>
            <w:fldChar w:fldCharType="begin"/>
          </w:r>
          <w:r>
            <w:instrText xml:space="preserve"> PAGEREF _Toc10639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435861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_Toc15464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第三章：</w:t>
          </w:r>
          <w:r>
            <w:t>C 公司解决方案蓝图——“绿碳智汇”体系</w:t>
          </w:r>
          <w:r>
            <w:tab/>
          </w:r>
          <w:r>
            <w:fldChar w:fldCharType="begin"/>
          </w:r>
          <w:r>
            <w:instrText xml:space="preserve"> PAGEREF _Toc15464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C48F04F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_Toc19013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 </w:t>
          </w:r>
          <w:r>
            <w:t>总体目标与顶层设计原则。</w:t>
          </w:r>
          <w:r>
            <w:tab/>
          </w:r>
          <w:r>
            <w:fldChar w:fldCharType="begin"/>
          </w:r>
          <w:r>
            <w:instrText xml:space="preserve"> PAGEREF _Toc19013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83C5FF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_Toc18660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3.2 </w:t>
          </w:r>
          <w:r>
            <w:t>核心架构：四层实施模型。</w:t>
          </w:r>
          <w:r>
            <w:tab/>
          </w:r>
          <w:r>
            <w:fldChar w:fldCharType="begin"/>
          </w:r>
          <w:r>
            <w:instrText xml:space="preserve"> PAGEREF _Toc18660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73EA24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_Toc8719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3.3 </w:t>
          </w:r>
          <w:r>
            <w:t>技术实施路径详述。</w:t>
          </w:r>
          <w:r>
            <w:tab/>
          </w:r>
          <w:r>
            <w:fldChar w:fldCharType="begin"/>
          </w:r>
          <w:r>
            <w:instrText xml:space="preserve"> PAGEREF _Toc8719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BA1D061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_Toc28259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3.3.1 </w:t>
          </w:r>
          <w:r>
            <w:t>供应商分级与管理策略</w:t>
          </w:r>
          <w:r>
            <w:tab/>
          </w:r>
          <w:r>
            <w:fldChar w:fldCharType="begin"/>
          </w:r>
          <w:r>
            <w:instrText xml:space="preserve"> PAGEREF _Toc28259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B10B8B0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_Toc15640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3.3.2 </w:t>
          </w:r>
          <w:r>
            <w:t>数据采集与验证的全流程控制</w:t>
          </w:r>
          <w:r>
            <w:tab/>
          </w:r>
          <w:r>
            <w:fldChar w:fldCharType="begin"/>
          </w:r>
          <w:r>
            <w:instrText xml:space="preserve"> PAGEREF _Toc15640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FBB97D6">
          <w:pPr>
            <w:pStyle w:val="12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_Toc17496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3.3.2.1 </w:t>
          </w:r>
          <w:r>
            <w:t>数据提取时的初步验证</w:t>
          </w:r>
          <w:r>
            <w:tab/>
          </w:r>
          <w:r>
            <w:fldChar w:fldCharType="begin"/>
          </w:r>
          <w:r>
            <w:instrText xml:space="preserve"> PAGEREF _Toc17496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C783ECF">
          <w:pPr>
            <w:pStyle w:val="12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_Toc26928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3.3.2.2 </w:t>
          </w:r>
          <w:r>
            <w:t>数据提取后的分类与交叉验证</w:t>
          </w:r>
          <w:r>
            <w:tab/>
          </w:r>
          <w:r>
            <w:fldChar w:fldCharType="begin"/>
          </w:r>
          <w:r>
            <w:instrText xml:space="preserve"> PAGEREF _Toc26928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496D75">
          <w:pPr>
            <w:pStyle w:val="12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_Toc19665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3.3.2.3 </w:t>
          </w:r>
          <w:r>
            <w:t>数据调用时的分级获取与溯源</w:t>
          </w:r>
          <w:r>
            <w:tab/>
          </w:r>
          <w:r>
            <w:fldChar w:fldCharType="begin"/>
          </w:r>
          <w:r>
            <w:instrText xml:space="preserve"> PAGEREF _Toc19665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87ED95">
          <w:pPr>
            <w:pStyle w:val="12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_Toc26020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3.3.2.4 </w:t>
          </w:r>
          <w:r>
            <w:t>排放因子来源优先级：</w:t>
          </w:r>
          <w:r>
            <w:tab/>
          </w:r>
          <w:r>
            <w:fldChar w:fldCharType="begin"/>
          </w:r>
          <w:r>
            <w:instrText xml:space="preserve"> PAGEREF _Toc26020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865C44">
          <w:pPr>
            <w:pStyle w:val="12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_Toc24954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3.3.2.5 </w:t>
          </w:r>
          <w:r>
            <w:t>对异常情况的反应措施：</w:t>
          </w:r>
          <w:r>
            <w:tab/>
          </w:r>
          <w:r>
            <w:fldChar w:fldCharType="begin"/>
          </w:r>
          <w:r>
            <w:instrText xml:space="preserve"> PAGEREF _Toc24954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91411A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_Toc9914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第四章：</w:t>
          </w:r>
          <w:r>
            <w:t>实施路线图与资源保障</w:t>
          </w:r>
          <w:r>
            <w:tab/>
          </w:r>
          <w:r>
            <w:fldChar w:fldCharType="begin"/>
          </w:r>
          <w:r>
            <w:instrText xml:space="preserve"> PAGEREF _Toc9914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9DAD43D">
          <w:pPr>
            <w:pStyle w:val="12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_Toc18849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4.1 </w:t>
          </w:r>
          <w:r>
            <w:t>核心阶段与里程碑。</w:t>
          </w:r>
          <w:r>
            <w:tab/>
          </w:r>
          <w:r>
            <w:fldChar w:fldCharType="begin"/>
          </w:r>
          <w:r>
            <w:instrText xml:space="preserve"> PAGEREF _Toc18849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742449">
          <w:pPr>
            <w:pStyle w:val="12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_Toc29219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4.2 </w:t>
          </w:r>
          <w:r>
            <w:t>成本估算。</w:t>
          </w:r>
          <w:r>
            <w:tab/>
          </w:r>
          <w:r>
            <w:fldChar w:fldCharType="begin"/>
          </w:r>
          <w:r>
            <w:instrText xml:space="preserve"> PAGEREF _Toc29219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34AFA1D">
          <w:pPr>
            <w:pStyle w:val="12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_Toc18794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4.3 </w:t>
          </w:r>
          <w:r>
            <w:t>ROI 测算</w:t>
          </w:r>
          <w:r>
            <w:tab/>
          </w:r>
          <w:r>
            <w:fldChar w:fldCharType="begin"/>
          </w:r>
          <w:r>
            <w:instrText xml:space="preserve"> PAGEREF _Toc18794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9E3A956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_Toc991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第五章：</w:t>
          </w:r>
          <w:r>
            <w:t>谈判策略、合同要点与沟通计划</w:t>
          </w:r>
          <w:r>
            <w:tab/>
          </w:r>
          <w:r>
            <w:fldChar w:fldCharType="begin"/>
          </w:r>
          <w:r>
            <w:instrText xml:space="preserve"> PAGEREF _Toc991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A748E4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_Toc15252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5.1 </w:t>
          </w:r>
          <w:r>
            <w:t>供应商评分机制设计</w:t>
          </w:r>
          <w:r>
            <w:tab/>
          </w:r>
          <w:r>
            <w:fldChar w:fldCharType="begin"/>
          </w:r>
          <w:r>
            <w:instrText xml:space="preserve"> PAGEREF _Toc15252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88D2FDB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_Toc10089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5.1.1 </w:t>
          </w:r>
          <w:r>
            <w:t>评分维度与权重（假设的，只是参考）</w:t>
          </w:r>
          <w:r>
            <w:tab/>
          </w:r>
          <w:r>
            <w:fldChar w:fldCharType="begin"/>
          </w:r>
          <w:r>
            <w:instrText xml:space="preserve"> PAGEREF _Toc10089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AC05D5D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_Toc4735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5.1.2 </w:t>
          </w:r>
          <w:r>
            <w:t>评级与结果应用</w:t>
          </w:r>
          <w:r>
            <w:tab/>
          </w:r>
          <w:r>
            <w:fldChar w:fldCharType="begin"/>
          </w:r>
          <w:r>
            <w:instrText xml:space="preserve"> PAGEREF _Toc4735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CAE0D80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_Toc20265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5.2 </w:t>
          </w:r>
          <w:r>
            <w:t>奖惩机制设计（最大化利用 1,500 万元/年）</w:t>
          </w:r>
          <w:r>
            <w:tab/>
          </w:r>
          <w:r>
            <w:fldChar w:fldCharType="begin"/>
          </w:r>
          <w:r>
            <w:instrText xml:space="preserve"> PAGEREF _Toc20265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D84F926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_Toc16985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5.2.1 </w:t>
          </w:r>
          <w:r>
            <w:t>资金池一：供应链金融贴息基金（每年 800 万元）</w:t>
          </w:r>
          <w:r>
            <w:tab/>
          </w:r>
          <w:r>
            <w:fldChar w:fldCharType="begin"/>
          </w:r>
          <w:r>
            <w:instrText xml:space="preserve"> PAGEREF _Toc16985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73C1C2E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_Toc17525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5.2.2 </w:t>
          </w:r>
          <w:r>
            <w:t>资金池二：碳减排奖励基金（每年 500 万元）</w:t>
          </w:r>
          <w:r>
            <w:tab/>
          </w:r>
          <w:r>
            <w:fldChar w:fldCharType="begin"/>
          </w:r>
          <w:r>
            <w:instrText xml:space="preserve"> PAGEREF _Toc17525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5B43E00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_Toc25997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5.2.3 </w:t>
          </w:r>
          <w:r>
            <w:t>资金池三：能力建设与赋能基金（每年 200 万元）</w:t>
          </w:r>
          <w:r>
            <w:tab/>
          </w:r>
          <w:r>
            <w:fldChar w:fldCharType="begin"/>
          </w:r>
          <w:r>
            <w:instrText xml:space="preserve"> PAGEREF _Toc25997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E620AFA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_Toc7344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5.3 </w:t>
          </w:r>
          <w:r>
            <w:t>打消“暴露成本被压价”恐惧的具体机制</w:t>
          </w:r>
          <w:r>
            <w:tab/>
          </w:r>
          <w:r>
            <w:fldChar w:fldCharType="begin"/>
          </w:r>
          <w:r>
            <w:instrText xml:space="preserve"> PAGEREF _Toc7344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8E9D7A0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_Toc13814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5.3.1 </w:t>
          </w:r>
          <w:r>
            <w:t>制度保障：签署“数据用途限定协议”</w:t>
          </w:r>
          <w:r>
            <w:tab/>
          </w:r>
          <w:r>
            <w:fldChar w:fldCharType="begin"/>
          </w:r>
          <w:r>
            <w:instrText xml:space="preserve"> PAGEREF _Toc13814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4106793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_Toc17478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5.3.2 </w:t>
          </w:r>
          <w:r>
            <w:t>技术保障：第三方独立审计</w:t>
          </w:r>
          <w:r>
            <w:tab/>
          </w:r>
          <w:r>
            <w:fldChar w:fldCharType="begin"/>
          </w:r>
          <w:r>
            <w:instrText xml:space="preserve"> PAGEREF _Toc17478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BE1BD94">
          <w:pPr>
            <w:pStyle w:val="16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_Toc2147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5.3.3 </w:t>
          </w:r>
          <w:r>
            <w:t>利益对冲：以“优先采购权”替代“压价”</w:t>
          </w:r>
          <w:r>
            <w:tab/>
          </w:r>
          <w:r>
            <w:fldChar w:fldCharType="begin"/>
          </w:r>
          <w:r>
            <w:instrText xml:space="preserve"> PAGEREF _Toc2147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393D746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_Toc13968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5.4 </w:t>
          </w:r>
          <w:r>
            <w:t>方案可行性分析（搬迁至 C 公司）</w:t>
          </w:r>
          <w:r>
            <w:tab/>
          </w:r>
          <w:r>
            <w:fldChar w:fldCharType="begin"/>
          </w:r>
          <w:r>
            <w:instrText xml:space="preserve"> PAGEREF _Toc13968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05E3BA0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_Toc9577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5.5 </w:t>
          </w:r>
          <w:r>
            <w:t>实施路线图（8 个月内完成）</w:t>
          </w:r>
          <w:r>
            <w:tab/>
          </w:r>
          <w:r>
            <w:fldChar w:fldCharType="begin"/>
          </w:r>
          <w:r>
            <w:instrText xml:space="preserve"> PAGEREF _Toc9577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0D0E780">
          <w:pPr>
            <w:pStyle w:val="14"/>
            <w:tabs>
              <w:tab w:val="right" w:leader="dot" w:pos="10465"/>
            </w:tabs>
          </w:pPr>
          <w:r>
            <w:fldChar w:fldCharType="begin"/>
          </w:r>
          <w:r>
            <w:instrText xml:space="preserve"> HYPERLINK \l _Toc29168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5.6 </w:t>
          </w:r>
          <w:r>
            <w:t>预期效果</w:t>
          </w:r>
          <w:r>
            <w:tab/>
          </w:r>
          <w:r>
            <w:fldChar w:fldCharType="begin"/>
          </w:r>
          <w:r>
            <w:instrText xml:space="preserve"> PAGEREF _Toc29168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92BCF5B">
          <w:r>
            <w:fldChar w:fldCharType="end"/>
          </w:r>
        </w:p>
      </w:sdtContent>
    </w:sdt>
    <w:p w14:paraId="5930A9F6"/>
    <w:p w14:paraId="701FAE07">
      <w:pPr>
        <w:pStyle w:val="2"/>
        <w:keepNext/>
        <w:numPr>
          <w:numId w:val="0"/>
        </w:numPr>
        <w:topLinePunct w:val="0"/>
        <w:ind w:left="0" w:leftChars="0" w:firstLine="0" w:firstLineChars="0"/>
        <w:outlineLvl w:val="0"/>
        <w:rPr>
          <w:rFonts w:hint="eastAsia" w:ascii="黑体" w:hAnsi="黑体" w:eastAsia="黑体" w:cs="黑体"/>
          <w:b/>
          <w:bdr w:val="none" w:sz="0" w:space="0"/>
        </w:rPr>
      </w:pPr>
      <w:bookmarkStart w:id="0" w:name="_Toc21572"/>
      <w:r>
        <w:rPr>
          <w:rFonts w:hint="eastAsia"/>
          <w:lang w:eastAsia="zh-CN"/>
        </w:rPr>
        <w:t>第一章：</w:t>
      </w:r>
      <w:r>
        <w:t>项目背景与战略必要性分析</w:t>
      </w:r>
      <w:bookmarkEnd w:id="0"/>
    </w:p>
    <w:p w14:paraId="5D303C7A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b/>
          <w:bdr w:val="none" w:sz="0" w:space="0"/>
        </w:rPr>
      </w:pPr>
      <w:bookmarkStart w:id="1" w:name="heading_1"/>
      <w:bookmarkStart w:id="2" w:name="_Toc13341"/>
      <w:bookmarkStart w:id="3" w:name="_Toc3622"/>
      <w:r>
        <w:rPr>
          <w:rFonts w:hint="eastAsia"/>
          <w:lang w:eastAsia="zh-CN"/>
        </w:rPr>
        <w:t xml:space="preserve">1.1 </w:t>
      </w:r>
      <w:r>
        <w:t>外部压力：客户合规通牒与监管趋势</w:t>
      </w:r>
      <w:bookmarkEnd w:id="1"/>
      <w:bookmarkEnd w:id="2"/>
      <w:bookmarkEnd w:id="3"/>
    </w:p>
    <w:p w14:paraId="568FA6D2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4" w:name="_Toc3485"/>
      <w:bookmarkStart w:id="5" w:name="_Toc25083"/>
      <w:r>
        <w:rPr>
          <w:rFonts w:hint="eastAsia"/>
          <w:lang w:eastAsia="zh-CN"/>
        </w:rPr>
        <w:t xml:space="preserve">1.1.1 </w:t>
      </w:r>
      <w:r>
        <w:t>B 公司合规要求</w:t>
      </w:r>
      <w:bookmarkEnd w:id="4"/>
      <w:bookmarkEnd w:id="5"/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CDD9B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FF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要求项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7F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具体内容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49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截止时间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79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违约后果</w:t>
            </w:r>
          </w:p>
        </w:tc>
      </w:tr>
      <w:tr w14:paraId="44CA38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7B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准确率要求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B5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 3 供应链碳数据溯源准确率≥95%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B1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年底前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B6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2027 财年削减 15%订单</w:t>
            </w:r>
          </w:p>
        </w:tc>
      </w:tr>
      <w:tr w14:paraId="6606CA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DE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鉴证标准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44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出具符合 ISSB（国际可持续准则理事会）标准的鉴证报告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6E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年底前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D8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248.4 亿元营收损失</w:t>
            </w:r>
          </w:p>
        </w:tc>
      </w:tr>
      <w:tr w14:paraId="175920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EF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数据透明度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6E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2500 家供应商数据全覆盖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D6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年底前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1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战略合作关系终止</w:t>
            </w:r>
          </w:p>
        </w:tc>
      </w:tr>
    </w:tbl>
    <w:p w14:paraId="595EB437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6" w:name="heading_2"/>
      <w:bookmarkStart w:id="7" w:name="_Toc22409"/>
      <w:bookmarkStart w:id="8" w:name="_Toc4927"/>
      <w:r>
        <w:rPr>
          <w:rFonts w:hint="eastAsia"/>
          <w:lang w:eastAsia="zh-CN"/>
        </w:rPr>
        <w:t xml:space="preserve">1.1.2 </w:t>
      </w:r>
      <w:r>
        <w:t>ISSB 标准核心要求</w:t>
      </w:r>
      <w:bookmarkEnd w:id="6"/>
      <w:bookmarkEnd w:id="7"/>
      <w:bookmarkEnd w:id="8"/>
    </w:p>
    <w:p w14:paraId="59F38F8D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国际可持续准则理事会（ISSB）2023 年发布 IFRS S1（一般要求）和 IFRS S2（气候披露）准则，强制披露范围 1、2 排放，范围 3 采用"不披露则解释"原则，需第三方鉴证。未达标企业将面临投资者压力、融资成本上升及客户订单削减风险。</w:t>
      </w:r>
    </w:p>
    <w:p w14:paraId="788D2473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9" w:name="heading_3"/>
      <w:bookmarkStart w:id="10" w:name="_Toc9198"/>
      <w:bookmarkStart w:id="11" w:name="_Toc9633"/>
      <w:r>
        <w:rPr>
          <w:rFonts w:hint="eastAsia"/>
          <w:lang w:eastAsia="zh-CN"/>
        </w:rPr>
        <w:t xml:space="preserve">1.1.3 </w:t>
      </w:r>
      <w:r>
        <w:t>欧盟 CBAM 政策影响</w:t>
      </w:r>
      <w:bookmarkEnd w:id="9"/>
      <w:bookmarkEnd w:id="10"/>
      <w:bookmarkEnd w:id="11"/>
    </w:p>
    <w:p w14:paraId="0ACAF3CA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欧盟碳边境调节机制（CBAM）已于 2023 年 10 月试运行，2026 年正式实施。C 公司出口至欧盟的消费电子产品需申报碳排放数据，若数据不准确将面临碳关税。CBAM 要求范围 3 数据准确率≥90%，与 B 公司要求相近，合规压力叠加。</w:t>
      </w:r>
    </w:p>
    <w:p w14:paraId="65B23FCA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12" w:name="heading_4"/>
      <w:bookmarkStart w:id="13" w:name="_Toc30704"/>
      <w:bookmarkStart w:id="14" w:name="_Toc13980"/>
      <w:r>
        <w:rPr>
          <w:rFonts w:hint="eastAsia"/>
          <w:lang w:eastAsia="zh-CN"/>
        </w:rPr>
        <w:t xml:space="preserve">1.1.4 </w:t>
      </w:r>
      <w:r>
        <w:t>监管趋势</w:t>
      </w:r>
      <w:bookmarkEnd w:id="12"/>
      <w:bookmarkEnd w:id="13"/>
      <w:bookmarkEnd w:id="14"/>
    </w:p>
    <w:p w14:paraId="13FE7E30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全球 ESG 监管趋严，美国 SEC、欧盟、中国香港均已出台强制披露要求。供应链碳排放数据透明度将成为未来全球制造业的准入门槛，不合规企业将被挤出主流供应链。</w:t>
      </w:r>
    </w:p>
    <w:p w14:paraId="7CEC12AF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b/>
          <w:bdr w:val="none" w:sz="0" w:space="0"/>
        </w:rPr>
      </w:pPr>
      <w:bookmarkStart w:id="15" w:name="heading_5"/>
      <w:bookmarkStart w:id="16" w:name="_Toc26951"/>
      <w:bookmarkStart w:id="17" w:name="_Toc15154"/>
      <w:r>
        <w:rPr>
          <w:rFonts w:hint="eastAsia"/>
          <w:lang w:eastAsia="zh-CN"/>
        </w:rPr>
        <w:t xml:space="preserve">1.2 </w:t>
      </w:r>
      <w:r>
        <w:t>内部危机：数据质量现状与订单流失风险量化</w:t>
      </w:r>
      <w:bookmarkEnd w:id="15"/>
      <w:bookmarkEnd w:id="16"/>
      <w:bookmarkEnd w:id="17"/>
    </w:p>
    <w:p w14:paraId="3A8A9AAE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18" w:name="heading_6"/>
      <w:bookmarkStart w:id="19" w:name="_Toc16992"/>
      <w:bookmarkStart w:id="20" w:name="_Toc5901"/>
      <w:r>
        <w:rPr>
          <w:rFonts w:hint="eastAsia"/>
          <w:lang w:eastAsia="zh-CN"/>
        </w:rPr>
        <w:t xml:space="preserve">1.2.1 </w:t>
      </w:r>
      <w:r>
        <w:t>碳排放现状</w:t>
      </w:r>
      <w:bookmarkEnd w:id="18"/>
      <w:bookmarkEnd w:id="19"/>
      <w:bookmarkEnd w:id="20"/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FA86E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E9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排放类别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6C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排放量（万吨 CO₂e）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AF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占比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75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数据收集现状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7C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准确率</w:t>
            </w:r>
          </w:p>
        </w:tc>
      </w:tr>
      <w:tr w14:paraId="002D9A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9B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 1（直接排放）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09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5E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63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厂区直测（柴油、天然气）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D7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99%</w:t>
            </w:r>
          </w:p>
        </w:tc>
      </w:tr>
      <w:tr w14:paraId="73E33A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153E2">
            <w:pPr>
              <w:pageBreakBefore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 2（外购电力）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C6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37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AD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凭电网电费单与绿电交易凭证核算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25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</w:tc>
      </w:tr>
      <w:tr w14:paraId="5569A1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28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 3（供应链间接）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F6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240.0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0B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92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Excel 手工填报，第三方审计抽查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4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62%</w:t>
            </w:r>
          </w:p>
        </w:tc>
      </w:tr>
    </w:tbl>
    <w:p w14:paraId="74C76350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21" w:name="heading_7"/>
      <w:bookmarkStart w:id="22" w:name="_Toc4139"/>
      <w:bookmarkStart w:id="23" w:name="_Toc22038"/>
      <w:r>
        <w:rPr>
          <w:rFonts w:hint="eastAsia"/>
          <w:lang w:eastAsia="zh-CN"/>
        </w:rPr>
        <w:t xml:space="preserve">1.2.2 </w:t>
      </w:r>
      <w:r>
        <w:t>核心危机</w:t>
      </w:r>
      <w:bookmarkEnd w:id="21"/>
      <w:bookmarkEnd w:id="22"/>
      <w:bookmarkEnd w:id="23"/>
    </w:p>
    <w:p w14:paraId="460D1BA9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数据质量危机</w:t>
      </w:r>
      <w:r>
        <w:rPr>
          <w:rFonts w:ascii="Times New Roman" w:hAnsi="Times New Roman" w:eastAsia="宋体" w:cs="Times New Roman"/>
          <w:sz w:val="21"/>
          <w:szCs w:val="24"/>
        </w:rPr>
        <w:t>：第三方审计抽查显示，供应商数据错误率和造假率高达 38%，存在系统性"供应链漂绿"现象</w:t>
      </w:r>
    </w:p>
    <w:p w14:paraId="5593961A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管理盲区</w:t>
      </w:r>
      <w:r>
        <w:rPr>
          <w:rFonts w:ascii="Times New Roman" w:hAnsi="Times New Roman" w:eastAsia="宋体" w:cs="Times New Roman"/>
          <w:sz w:val="21"/>
          <w:szCs w:val="24"/>
        </w:rPr>
        <w:t>：2,500 家供应商数据收集方式原始：月末手动填写 Excel，邮件汇总，无实时监控</w:t>
      </w:r>
    </w:p>
    <w:p w14:paraId="217E14B9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部门阻力</w:t>
      </w:r>
      <w:r>
        <w:rPr>
          <w:rFonts w:ascii="Times New Roman" w:hAnsi="Times New Roman" w:eastAsia="宋体" w:cs="Times New Roman"/>
          <w:sz w:val="21"/>
          <w:szCs w:val="24"/>
        </w:rPr>
        <w:t>：采购部反对强推 AI 系统，30 家核心供应商威胁断供（可能导致 8%营收下降，184 亿元）</w:t>
      </w:r>
    </w:p>
    <w:p w14:paraId="09D937E7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技术盲区</w:t>
      </w:r>
      <w:r>
        <w:rPr>
          <w:rFonts w:ascii="Times New Roman" w:hAnsi="Times New Roman" w:eastAsia="宋体" w:cs="Times New Roman"/>
          <w:sz w:val="21"/>
          <w:szCs w:val="24"/>
        </w:rPr>
        <w:t>：供应商可能通过个人微信购买柴油私下发电，完全不走公对公账目，传统 SaaS 系统无法抓取单据</w:t>
      </w:r>
    </w:p>
    <w:p w14:paraId="7EB1C4EB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24" w:name="heading_8"/>
      <w:bookmarkStart w:id="25" w:name="_Toc14899"/>
      <w:bookmarkStart w:id="26" w:name="_Toc13025"/>
      <w:r>
        <w:rPr>
          <w:rFonts w:hint="eastAsia"/>
          <w:lang w:eastAsia="zh-CN"/>
        </w:rPr>
        <w:t xml:space="preserve">1.2.3 </w:t>
      </w:r>
      <w:r>
        <w:t>订单流失风险量化</w:t>
      </w:r>
      <w:bookmarkEnd w:id="24"/>
      <w:bookmarkEnd w:id="25"/>
      <w:bookmarkEnd w:id="26"/>
    </w:p>
    <w:p w14:paraId="6CD0329D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利用本量利分析（CVP）测算 15%订单流失导致的净利润下降金额：</w:t>
      </w:r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69A67B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7D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情景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CA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订单流失率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4B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营收损失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40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新净利润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F6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净利润变化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F9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利润下降幅度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0A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盈亏状态</w:t>
            </w:r>
          </w:p>
        </w:tc>
      </w:tr>
      <w:tr w14:paraId="7A914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AA1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基线（2025）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D7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B9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9D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103.5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61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93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16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盈利</w:t>
            </w:r>
          </w:p>
        </w:tc>
      </w:tr>
      <w:tr w14:paraId="04231E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5A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情景 A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95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AB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165.6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BD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B9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-102.3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72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-98.8%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37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盈亏平衡边缘</w:t>
            </w:r>
          </w:p>
        </w:tc>
      </w:tr>
      <w:tr w14:paraId="06FFAA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B8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情景 B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15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07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248.4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10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-50.0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40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-153.5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D2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-148.3%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1A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严重亏损</w:t>
            </w:r>
          </w:p>
        </w:tc>
      </w:tr>
      <w:tr w14:paraId="0CBBA5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C1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情景 C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BF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11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331.2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AE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-101.2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40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-204.7 亿元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62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-197.8%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89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濒临破产</w:t>
            </w:r>
          </w:p>
        </w:tc>
      </w:tr>
    </w:tbl>
    <w:p w14:paraId="107E9527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27" w:name="heading_9"/>
      <w:bookmarkStart w:id="28" w:name="_Toc26067"/>
      <w:bookmarkStart w:id="29" w:name="_Toc22973"/>
      <w:r>
        <w:rPr>
          <w:rFonts w:hint="eastAsia"/>
          <w:lang w:eastAsia="zh-CN"/>
        </w:rPr>
        <w:t xml:space="preserve">1.2.4 </w:t>
      </w:r>
      <w:r>
        <w:t>核心发现</w:t>
      </w:r>
      <w:bookmarkEnd w:id="27"/>
      <w:bookmarkEnd w:id="28"/>
      <w:bookmarkEnd w:id="29"/>
    </w:p>
    <w:p w14:paraId="7A74C08A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放大效应</w:t>
      </w:r>
      <w:r>
        <w:rPr>
          <w:rFonts w:ascii="Times New Roman" w:hAnsi="Times New Roman" w:eastAsia="宋体" w:cs="Times New Roman"/>
          <w:sz w:val="21"/>
          <w:szCs w:val="24"/>
        </w:rPr>
        <w:t>：15%订单流失导致净利润下降 148.3%，远超订单流失比例</w:t>
      </w:r>
    </w:p>
    <w:p w14:paraId="311DB8B8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生存危机</w:t>
      </w:r>
      <w:r>
        <w:rPr>
          <w:rFonts w:ascii="Times New Roman" w:hAnsi="Times New Roman" w:eastAsia="宋体" w:cs="Times New Roman"/>
          <w:sz w:val="21"/>
          <w:szCs w:val="24"/>
        </w:rPr>
        <w:t>：15%订单流失将导致 50 亿元亏损，直接刺穿 C 公司微薄的 4.5%净利率底线</w:t>
      </w:r>
    </w:p>
    <w:p w14:paraId="1FA78B3B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盈亏平衡预警</w:t>
      </w:r>
      <w:r>
        <w:rPr>
          <w:rFonts w:ascii="Times New Roman" w:hAnsi="Times New Roman" w:eastAsia="宋体" w:cs="Times New Roman"/>
          <w:sz w:val="21"/>
          <w:szCs w:val="24"/>
        </w:rPr>
        <w:t>：10%订单流失已使 C 公司逼近盈亏平衡点（仅剩 1.2 亿元净利润）</w:t>
      </w:r>
    </w:p>
    <w:p w14:paraId="232020B4">
      <w:pPr>
        <w:pStyle w:val="3"/>
        <w:keepNext/>
        <w:numPr>
          <w:ilvl w:val="-2"/>
          <w:numId w:val="0"/>
        </w:numPr>
        <w:ind w:left="0" w:leftChars="0" w:firstLine="0" w:firstLineChars="0"/>
        <w:outlineLvl w:val="0"/>
        <w:rPr>
          <w:b/>
          <w:bdr w:val="none" w:sz="0" w:space="0"/>
        </w:rPr>
      </w:pPr>
      <w:bookmarkStart w:id="30" w:name="heading_10"/>
      <w:bookmarkStart w:id="31" w:name="_Toc31227"/>
      <w:bookmarkStart w:id="32" w:name="_Toc19614"/>
      <w:r>
        <w:rPr>
          <w:rFonts w:hint="eastAsia"/>
          <w:lang w:eastAsia="zh-CN"/>
        </w:rPr>
        <w:t xml:space="preserve">1.3 </w:t>
      </w:r>
      <w:r>
        <w:t>战略机遇：从合规成本到绿色价值创造</w:t>
      </w:r>
      <w:bookmarkEnd w:id="30"/>
      <w:bookmarkEnd w:id="31"/>
      <w:bookmarkEnd w:id="32"/>
    </w:p>
    <w:p w14:paraId="140B2BBB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33" w:name="heading_11"/>
      <w:bookmarkStart w:id="34" w:name="_Toc31701"/>
      <w:bookmarkStart w:id="35" w:name="_Toc8202"/>
      <w:r>
        <w:rPr>
          <w:rFonts w:hint="eastAsia"/>
          <w:lang w:eastAsia="zh-CN"/>
        </w:rPr>
        <w:t xml:space="preserve">1.3.1 </w:t>
      </w:r>
      <w:r>
        <w:t>绿色金融收益</w:t>
      </w:r>
      <w:bookmarkEnd w:id="33"/>
      <w:bookmarkEnd w:id="34"/>
      <w:bookmarkEnd w:id="35"/>
    </w:p>
    <w:p w14:paraId="7DE18911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ESG 挂钩贷款（SLL）将利率与企业 ESG 绩效挂钩。C 公司引入 AI 系统后可申请 50 亿元 SLL，利率下浮 30 个基点，年节约财务费用 1,500 万元，可部分抵消系统成本（CapEx 5,000 万元，OpEx 1,500 万元/年）。</w:t>
      </w:r>
    </w:p>
    <w:p w14:paraId="2C5ABA5E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36" w:name="heading_12"/>
      <w:bookmarkStart w:id="37" w:name="_Toc28932"/>
      <w:bookmarkStart w:id="38" w:name="_Toc14924"/>
      <w:r>
        <w:rPr>
          <w:rFonts w:hint="eastAsia"/>
          <w:lang w:eastAsia="zh-CN"/>
        </w:rPr>
        <w:t xml:space="preserve">1.3.2 </w:t>
      </w:r>
      <w:r>
        <w:t>供应链韧性增强</w:t>
      </w:r>
      <w:bookmarkEnd w:id="36"/>
      <w:bookmarkEnd w:id="37"/>
      <w:bookmarkEnd w:id="38"/>
    </w:p>
    <w:p w14:paraId="35136938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通过 AI 系统，C 公司可实时监控 2,500 家供应商的运营状态，识别断供风险，提前布局替代供应商。供应链数字化能力将成为相对于东南亚代工厂的核心壁垒.</w:t>
      </w:r>
    </w:p>
    <w:p w14:paraId="64317093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39" w:name="heading_13"/>
      <w:bookmarkStart w:id="40" w:name="_Toc16436"/>
      <w:bookmarkStart w:id="41" w:name="_Toc9191"/>
      <w:r>
        <w:rPr>
          <w:rFonts w:hint="eastAsia"/>
          <w:lang w:eastAsia="zh-CN"/>
        </w:rPr>
        <w:t xml:space="preserve">1.3.3 </w:t>
      </w:r>
      <w:r>
        <w:t>市场声誉提升</w:t>
      </w:r>
      <w:bookmarkEnd w:id="39"/>
      <w:bookmarkEnd w:id="40"/>
      <w:bookmarkEnd w:id="41"/>
    </w:p>
    <w:p w14:paraId="6D84AC20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ISSB 标准鉴证报告可作为 ESG 评级提升的支撑材料。当前 C 公司 ESG 评级为 BBB（标普），数据透明度提升后可提升至 AA，融资成本再下浮 50BP（每年额外节约 2,500 万元）。同时，可入选中国物流与采购联合会供应链创新标杆案例（参照工业富联），提升品牌影响力。</w:t>
      </w:r>
    </w:p>
    <w:p w14:paraId="50BBB3A2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/>
          <w:bdr w:val="none" w:sz="0" w:space="0"/>
        </w:rPr>
      </w:pPr>
      <w:bookmarkStart w:id="42" w:name="heading_14"/>
      <w:bookmarkStart w:id="43" w:name="_Toc10647"/>
      <w:bookmarkStart w:id="44" w:name="_Toc7200"/>
      <w:r>
        <w:rPr>
          <w:rFonts w:hint="eastAsia"/>
          <w:lang w:eastAsia="zh-CN"/>
        </w:rPr>
        <w:t>第二章：</w:t>
      </w:r>
      <w:r>
        <w:t>行业最佳实践借鉴：工业富联模式解构</w:t>
      </w:r>
      <w:bookmarkEnd w:id="42"/>
      <w:bookmarkEnd w:id="43"/>
      <w:bookmarkEnd w:id="44"/>
    </w:p>
    <w:p w14:paraId="598FF1CD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b/>
          <w:bdr w:val="none" w:sz="0" w:space="0"/>
        </w:rPr>
      </w:pPr>
      <w:bookmarkStart w:id="45" w:name="heading_15"/>
      <w:bookmarkStart w:id="46" w:name="_Toc32518"/>
      <w:bookmarkStart w:id="47" w:name="_Toc14789"/>
      <w:r>
        <w:rPr>
          <w:rFonts w:hint="eastAsia"/>
          <w:lang w:eastAsia="zh-CN"/>
        </w:rPr>
        <w:t xml:space="preserve">2.1 </w:t>
      </w:r>
      <w:r>
        <w:t>标杆选择依据。</w:t>
      </w:r>
      <w:bookmarkEnd w:id="45"/>
      <w:bookmarkEnd w:id="46"/>
      <w:bookmarkEnd w:id="47"/>
    </w:p>
    <w:p w14:paraId="6A6D68A7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在制定 C 公司解决方案前，我们深入研究了全球电子制造巨头</w:t>
      </w:r>
      <w:r>
        <w:rPr>
          <w:rFonts w:ascii="Times New Roman" w:hAnsi="Times New Roman" w:eastAsia="宋体" w:cs="Times New Roman"/>
          <w:b/>
          <w:sz w:val="21"/>
          <w:szCs w:val="24"/>
        </w:rPr>
        <w:t>工业富联（Fii）</w:t>
      </w:r>
      <w:r>
        <w:rPr>
          <w:rFonts w:ascii="Times New Roman" w:hAnsi="Times New Roman" w:eastAsia="宋体" w:cs="Times New Roman"/>
          <w:sz w:val="21"/>
          <w:szCs w:val="24"/>
        </w:rPr>
        <w:t>的成熟实践。工业富联是全球电子制造服务（EMS）产业的领军者，其面临的供应链碳管理挑战与 C 公司高度同源：同样服务于对碳中和有严苛要求的国际顶级品牌（如苹果），同样管理着庞大而复杂的全球供应商网络。更重要的是，它已成功将挑战转化为核心竞争力，其“AI 驱动供应链碳管理创新”实践入选国家级供应链创新标杆案例，证明了该模式的有效性和行业领先性下图是其 ai 检测的示意图</w:t>
      </w:r>
    </w:p>
    <w:p w14:paraId="063FE09A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b/>
          <w:bdr w:val="none" w:sz="0" w:space="0"/>
        </w:rPr>
      </w:pPr>
      <w:bookmarkStart w:id="48" w:name="heading_16"/>
      <w:bookmarkStart w:id="49" w:name="_Toc18083"/>
      <w:bookmarkStart w:id="50" w:name="_Toc7574"/>
      <w:r>
        <w:rPr>
          <w:rFonts w:hint="eastAsia"/>
          <w:lang w:eastAsia="zh-CN"/>
        </w:rPr>
        <w:t xml:space="preserve">2.2 </w:t>
      </w:r>
      <w:r>
        <w:t>核心框架解析：落地 ai 追踪碳排放流程图</w:t>
      </w:r>
      <w:bookmarkEnd w:id="48"/>
      <w:bookmarkEnd w:id="49"/>
      <w:bookmarkEnd w:id="50"/>
    </w:p>
    <w:p w14:paraId="3EF54A0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62425"/>
            <wp:effectExtent l="0" t="0" r="0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85DE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51" w:name="heading_17"/>
      <w:bookmarkStart w:id="52" w:name="_Toc25088"/>
      <w:bookmarkStart w:id="53" w:name="_Toc3285"/>
      <w:r>
        <w:rPr>
          <w:rFonts w:hint="eastAsia"/>
          <w:lang w:eastAsia="zh-CN"/>
        </w:rPr>
        <w:t xml:space="preserve">2.2.1 </w:t>
      </w:r>
      <w:r>
        <w:t>实施路径：</w:t>
      </w:r>
      <w:bookmarkEnd w:id="51"/>
      <w:bookmarkEnd w:id="52"/>
      <w:bookmarkEnd w:id="53"/>
    </w:p>
    <w:p w14:paraId="000D0D78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研发端</w:t>
      </w:r>
      <w:r>
        <w:rPr>
          <w:rFonts w:ascii="Times New Roman" w:hAnsi="Times New Roman" w:eastAsia="宋体" w:cs="Times New Roman"/>
          <w:sz w:val="21"/>
          <w:szCs w:val="24"/>
        </w:rPr>
        <w:t>：利用 AI 进行低碳材料替代与轻量化设计，效率提升 60%。</w:t>
      </w:r>
    </w:p>
    <w:p w14:paraId="7CF3081D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供应商端</w:t>
      </w:r>
      <w:r>
        <w:rPr>
          <w:rFonts w:ascii="Times New Roman" w:hAnsi="Times New Roman" w:eastAsia="宋体" w:cs="Times New Roman"/>
          <w:sz w:val="21"/>
          <w:szCs w:val="24"/>
        </w:rPr>
        <w:t>：通过免费 SaaS 平台、培训及 EMC（合同能源管理）金融支持，联动超 300 家核心供应商。</w:t>
      </w:r>
    </w:p>
    <w:p w14:paraId="3AB634EE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生产端</w:t>
      </w:r>
      <w:r>
        <w:rPr>
          <w:rFonts w:ascii="Times New Roman" w:hAnsi="Times New Roman" w:eastAsia="宋体" w:cs="Times New Roman"/>
          <w:sz w:val="21"/>
          <w:szCs w:val="24"/>
        </w:rPr>
        <w:t>：实现工单级碳足迹实时计算与报告自动生成。</w:t>
      </w:r>
    </w:p>
    <w:p w14:paraId="2263ACB9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b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b/>
          <w:sz w:val="21"/>
          <w:szCs w:val="24"/>
        </w:rPr>
        <w:t>治理端</w:t>
      </w:r>
      <w:r>
        <w:rPr>
          <w:rFonts w:ascii="Times New Roman" w:hAnsi="Times New Roman" w:eastAsia="宋体" w:cs="Times New Roman"/>
          <w:sz w:val="21"/>
          <w:szCs w:val="24"/>
        </w:rPr>
        <w:t>：提升范围三数据可见性至 90%以上，并利用 AI 进行热点分析与方案推荐。</w:t>
      </w:r>
    </w:p>
    <w:p w14:paraId="189BEE12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54" w:name="heading_18"/>
      <w:bookmarkStart w:id="55" w:name="_Toc7039"/>
      <w:bookmarkStart w:id="56" w:name="_Toc15413"/>
      <w:r>
        <w:rPr>
          <w:rFonts w:hint="eastAsia"/>
          <w:lang w:eastAsia="zh-CN"/>
        </w:rPr>
        <w:t xml:space="preserve">2.2.2 </w:t>
      </w:r>
      <w:r>
        <w:t>技术赋能平台</w:t>
      </w:r>
      <w:bookmarkEnd w:id="54"/>
      <w:bookmarkEnd w:id="55"/>
      <w:bookmarkEnd w:id="56"/>
    </w:p>
    <w:p w14:paraId="373220B4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以自研的“Fii 碳专家”工业大模型为核心，构建了</w:t>
      </w:r>
      <w:r>
        <w:rPr>
          <w:rFonts w:ascii="Times New Roman" w:hAnsi="Times New Roman" w:eastAsia="宋体" w:cs="Times New Roman"/>
          <w:b/>
          <w:sz w:val="21"/>
          <w:szCs w:val="24"/>
        </w:rPr>
        <w:t>技术赋能（SaaS 平台）、数据治理（多源融合与区块链）、供应商协同（培训+金融+激励）</w:t>
      </w:r>
      <w:r>
        <w:rPr>
          <w:rFonts w:ascii="Times New Roman" w:hAnsi="Times New Roman" w:eastAsia="宋体" w:cs="Times New Roman"/>
          <w:sz w:val="21"/>
          <w:szCs w:val="24"/>
        </w:rPr>
        <w:t xml:space="preserve"> 三大支柱。</w:t>
      </w:r>
    </w:p>
    <w:p w14:paraId="7A9EC2B2">
      <w:pPr>
        <w:pageBreakBefore/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30517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1383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57" w:name="heading_19"/>
      <w:bookmarkStart w:id="58" w:name="_Toc26026"/>
      <w:bookmarkStart w:id="59" w:name="_Toc3891"/>
      <w:r>
        <w:rPr>
          <w:rFonts w:hint="eastAsia"/>
          <w:lang w:eastAsia="zh-CN"/>
        </w:rPr>
        <w:t xml:space="preserve">2.2.3 </w:t>
      </w:r>
      <w:r>
        <w:t>数据治理引擎</w:t>
      </w:r>
      <w:bookmarkEnd w:id="57"/>
      <w:bookmarkEnd w:id="58"/>
      <w:bookmarkEnd w:id="59"/>
    </w:p>
    <w:p w14:paraId="5255936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71750"/>
            <wp:effectExtent l="0" t="0" r="0" b="63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AE9B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b/>
          <w:bdr w:val="none" w:sz="0" w:space="0"/>
        </w:rPr>
      </w:pPr>
      <w:bookmarkStart w:id="60" w:name="heading_20"/>
      <w:bookmarkStart w:id="61" w:name="_Toc5854"/>
      <w:bookmarkStart w:id="62" w:name="_Toc10639"/>
      <w:r>
        <w:rPr>
          <w:rFonts w:hint="eastAsia"/>
          <w:lang w:eastAsia="zh-CN"/>
        </w:rPr>
        <w:t xml:space="preserve">2.3 </w:t>
      </w:r>
      <w:r>
        <w:t>关键成果启示。</w:t>
      </w:r>
      <w:bookmarkEnd w:id="60"/>
      <w:bookmarkEnd w:id="61"/>
      <w:bookmarkEnd w:id="62"/>
    </w:p>
    <w:p w14:paraId="311DB2DD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碳数据统计效率提升</w:t>
      </w:r>
      <w:r>
        <w:rPr>
          <w:rFonts w:ascii="Times New Roman" w:hAnsi="Times New Roman" w:eastAsia="宋体" w:cs="Times New Roman"/>
          <w:b/>
          <w:sz w:val="21"/>
          <w:szCs w:val="24"/>
        </w:rPr>
        <w:t xml:space="preserve"> 191%</w:t>
      </w:r>
      <w:r>
        <w:rPr>
          <w:rFonts w:ascii="Times New Roman" w:hAnsi="Times New Roman" w:eastAsia="宋体" w:cs="Times New Roman"/>
          <w:sz w:val="21"/>
          <w:szCs w:val="24"/>
        </w:rPr>
        <w:t>，供应链（范围三）碳排放降低</w:t>
      </w:r>
      <w:r>
        <w:rPr>
          <w:rFonts w:ascii="Times New Roman" w:hAnsi="Times New Roman" w:eastAsia="宋体" w:cs="Times New Roman"/>
          <w:b/>
          <w:sz w:val="21"/>
          <w:szCs w:val="24"/>
        </w:rPr>
        <w:t xml:space="preserve"> 21.4%</w:t>
      </w:r>
      <w:r>
        <w:rPr>
          <w:rFonts w:ascii="Times New Roman" w:hAnsi="Times New Roman" w:eastAsia="宋体" w:cs="Times New Roman"/>
          <w:sz w:val="21"/>
          <w:szCs w:val="24"/>
        </w:rPr>
        <w:t>，供应商平均节能率达</w:t>
      </w:r>
      <w:r>
        <w:rPr>
          <w:rFonts w:ascii="Times New Roman" w:hAnsi="Times New Roman" w:eastAsia="宋体" w:cs="Times New Roman"/>
          <w:b/>
          <w:sz w:val="21"/>
          <w:szCs w:val="24"/>
        </w:rPr>
        <w:t xml:space="preserve"> 25%</w:t>
      </w:r>
      <w:r>
        <w:rPr>
          <w:rFonts w:ascii="Times New Roman" w:hAnsi="Times New Roman" w:eastAsia="宋体" w:cs="Times New Roman"/>
          <w:sz w:val="21"/>
          <w:szCs w:val="24"/>
        </w:rPr>
        <w:t>，并成功培育了 30 家承诺 100%使用绿电的供应商。</w:t>
      </w:r>
    </w:p>
    <w:p w14:paraId="0FA9926D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工业富联的实践证明，通过 AI 与平台化手段，对庞大而复杂的供应链进行碳管理不仅是可行的，更能带来显著的运营效率与商业价值提升。</w:t>
      </w:r>
    </w:p>
    <w:p w14:paraId="5412EFC7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/>
          <w:bdr w:val="none" w:sz="0" w:space="0"/>
        </w:rPr>
      </w:pPr>
      <w:bookmarkStart w:id="63" w:name="heading_21"/>
      <w:bookmarkStart w:id="64" w:name="_Toc14614"/>
      <w:bookmarkStart w:id="65" w:name="_Toc15464"/>
      <w:r>
        <w:rPr>
          <w:rFonts w:hint="eastAsia"/>
          <w:lang w:eastAsia="zh-CN"/>
        </w:rPr>
        <w:t>第三章：</w:t>
      </w:r>
      <w:r>
        <w:t>C 公司解决方案蓝图——“绿碳智汇”体系</w:t>
      </w:r>
      <w:bookmarkEnd w:id="63"/>
      <w:bookmarkEnd w:id="64"/>
      <w:bookmarkEnd w:id="65"/>
    </w:p>
    <w:p w14:paraId="5913DBD2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b/>
          <w:bdr w:val="none" w:sz="0" w:space="0"/>
        </w:rPr>
      </w:pPr>
      <w:bookmarkStart w:id="66" w:name="heading_22"/>
      <w:bookmarkStart w:id="67" w:name="_Toc16933"/>
      <w:bookmarkStart w:id="68" w:name="_Toc19013"/>
      <w:r>
        <w:rPr>
          <w:rFonts w:hint="eastAsia"/>
          <w:lang w:eastAsia="zh-CN"/>
        </w:rPr>
        <w:t xml:space="preserve">3.1 </w:t>
      </w:r>
      <w:r>
        <w:t>总体目标与顶层设计原则。</w:t>
      </w:r>
      <w:bookmarkEnd w:id="66"/>
      <w:bookmarkEnd w:id="67"/>
      <w:bookmarkEnd w:id="68"/>
    </w:p>
    <w:p w14:paraId="127027C9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 xml:space="preserve">l 基于工业富联的成功范式，并结合 C 公司面临的独特“生死线”挑战，我们设计了以下四层结构的实施蓝图。其核心是构建一个 </w:t>
      </w:r>
      <w:r>
        <w:rPr>
          <w:rFonts w:ascii="Times New Roman" w:hAnsi="Times New Roman" w:eastAsia="宋体" w:cs="Times New Roman"/>
          <w:b/>
          <w:sz w:val="21"/>
          <w:szCs w:val="24"/>
        </w:rPr>
        <w:t>“数据自动流动、AI 智能校验、利益协同共享”</w:t>
      </w:r>
      <w:r>
        <w:rPr>
          <w:rFonts w:ascii="Times New Roman" w:hAnsi="Times New Roman" w:eastAsia="宋体" w:cs="Times New Roman"/>
          <w:sz w:val="21"/>
          <w:szCs w:val="24"/>
        </w:rPr>
        <w:t xml:space="preserve"> 的闭环系统。</w:t>
      </w:r>
    </w:p>
    <w:p w14:paraId="00B2AA5B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b/>
          <w:bdr w:val="none" w:sz="0" w:space="0"/>
        </w:rPr>
      </w:pPr>
      <w:bookmarkStart w:id="69" w:name="heading_23"/>
      <w:bookmarkStart w:id="70" w:name="_Toc25663"/>
      <w:bookmarkStart w:id="71" w:name="_Toc18660"/>
      <w:r>
        <w:rPr>
          <w:rFonts w:hint="eastAsia"/>
          <w:lang w:eastAsia="zh-CN"/>
        </w:rPr>
        <w:t xml:space="preserve">3.2 </w:t>
      </w:r>
      <w:r>
        <w:t>核心架构：四层实施模型。</w:t>
      </w:r>
      <w:bookmarkEnd w:id="69"/>
      <w:bookmarkEnd w:id="70"/>
      <w:bookmarkEnd w:id="71"/>
    </w:p>
    <w:p w14:paraId="523AC98B">
      <w:pPr>
        <w:pageBreakBefore/>
        <w:spacing w:before="120" w:after="120" w:line="288" w:lineRule="auto"/>
        <w:ind w:left="0"/>
        <w:jc w:val="center"/>
      </w:pPr>
      <w:r>
        <w:drawing>
          <wp:inline distT="0" distB="0" distL="0" distR="0">
            <wp:extent cx="4657725" cy="11496675"/>
            <wp:effectExtent l="0" t="0" r="3175" b="95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49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DC9E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b/>
          <w:bdr w:val="none" w:sz="0" w:space="0"/>
        </w:rPr>
      </w:pPr>
      <w:bookmarkStart w:id="72" w:name="heading_24"/>
      <w:bookmarkStart w:id="73" w:name="_Toc24780"/>
      <w:bookmarkStart w:id="74" w:name="_Toc8719"/>
      <w:r>
        <w:rPr>
          <w:rFonts w:hint="eastAsia"/>
          <w:lang w:eastAsia="zh-CN"/>
        </w:rPr>
        <w:t xml:space="preserve">3.3 </w:t>
      </w:r>
      <w:r>
        <w:t>技术实施路径详述。</w:t>
      </w:r>
      <w:bookmarkEnd w:id="72"/>
      <w:bookmarkEnd w:id="73"/>
      <w:bookmarkEnd w:id="74"/>
    </w:p>
    <w:p w14:paraId="5E146258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通过将供应链环节归纳为 GHG Protocol 范围 3 的 15 个类别，并为每类设计特定的交叉验证方法，以系统化地验证碳排放数据的真实性。关键策略是根据供应商的排放贡献与管理成本实施分级管理，并差异化使用实测数据与行业平均排放因子。</w:t>
      </w:r>
    </w:p>
    <w:p w14:paraId="070A792A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75" w:name="heading_25"/>
      <w:bookmarkStart w:id="76" w:name="_Toc12932"/>
      <w:bookmarkStart w:id="77" w:name="_Toc28259"/>
      <w:r>
        <w:rPr>
          <w:rFonts w:hint="eastAsia"/>
          <w:lang w:eastAsia="zh-CN"/>
        </w:rPr>
        <w:t xml:space="preserve">3.3.1 </w:t>
      </w:r>
      <w:r>
        <w:t>供应商分级与管理策略</w:t>
      </w:r>
      <w:bookmarkEnd w:id="75"/>
      <w:bookmarkEnd w:id="76"/>
      <w:bookmarkEnd w:id="77"/>
    </w:p>
    <w:p w14:paraId="0B92E5DF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为高效、精准地获取数据，依据供应商的排放贡献、规模与数字化水平，实施三级管理：</w:t>
      </w:r>
    </w:p>
    <w:p w14:paraId="371D3CA3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A </w:t>
      </w:r>
      <w:r>
        <w:rPr>
          <w:rFonts w:ascii="Times New Roman" w:hAnsi="Times New Roman" w:eastAsia="宋体" w:cs="Times New Roman"/>
          <w:sz w:val="21"/>
          <w:szCs w:val="24"/>
        </w:rPr>
        <w:t>类供应商（核心/优先实测）： 如金属结构件厂、PCB 板厂、芯片代理商。数量约占 20%，贡献约 70%的范围 3 排放。对此类供应商，强制要求其生产与能源管理系统与采购方的能碳管理平台直连，抓取实时能耗数据，杜绝手动填报。</w:t>
      </w:r>
    </w:p>
    <w:p w14:paraId="03228CD9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B </w:t>
      </w:r>
      <w:r>
        <w:rPr>
          <w:rFonts w:ascii="Times New Roman" w:hAnsi="Times New Roman" w:eastAsia="宋体" w:cs="Times New Roman"/>
          <w:sz w:val="21"/>
          <w:szCs w:val="24"/>
        </w:rPr>
        <w:t>类供应商（一般/逐步赋能）： 如包装材料厂、线缆厂。有一定规模但数字化基础较弱。采用“AI 辅助填报+数据库校准”的混合模式，并计划通过培训赋能，助其建立实测能力。</w:t>
      </w:r>
    </w:p>
    <w:p w14:paraId="6F50CB98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C </w:t>
      </w:r>
      <w:r>
        <w:rPr>
          <w:rFonts w:ascii="Times New Roman" w:hAnsi="Times New Roman" w:eastAsia="宋体" w:cs="Times New Roman"/>
          <w:sz w:val="21"/>
          <w:szCs w:val="24"/>
        </w:rPr>
        <w:t>类供应商（次要/允许估算）： 如办公用品供应商、小型物流车队。排放量小，管理成本高。采用效率优先的“数据库因子”法，直接调用权威数据库的平均排放因子进行计算，重点监控总量趋势变化。</w:t>
      </w:r>
    </w:p>
    <w:p w14:paraId="49635908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dr w:val="none" w:sz="0" w:space="0"/>
        </w:rPr>
      </w:pPr>
      <w:bookmarkStart w:id="78" w:name="heading_26"/>
      <w:bookmarkStart w:id="79" w:name="_Toc22385"/>
      <w:bookmarkStart w:id="80" w:name="_Toc15640"/>
      <w:r>
        <w:rPr>
          <w:rFonts w:hint="eastAsia"/>
          <w:lang w:eastAsia="zh-CN"/>
        </w:rPr>
        <w:t xml:space="preserve">3.3.2 </w:t>
      </w:r>
      <w:r>
        <w:t>数据采集与验证的全流程控制</w:t>
      </w:r>
      <w:bookmarkEnd w:id="78"/>
      <w:bookmarkEnd w:id="79"/>
      <w:bookmarkEnd w:id="80"/>
    </w:p>
    <w:p w14:paraId="585410E5">
      <w:pPr>
        <w:pStyle w:val="5"/>
        <w:keepNext/>
        <w:numPr>
          <w:numId w:val="0"/>
        </w:numPr>
        <w:ind w:left="0" w:leftChars="0" w:firstLine="482" w:firstLineChars="0"/>
        <w:outlineLvl w:val="2"/>
        <w:rPr>
          <w:rFonts w:hint="eastAsia" w:ascii="宋体" w:hAnsi="宋体" w:eastAsia="宋体" w:cs="宋体"/>
          <w:b/>
          <w:bdr w:val="none" w:sz="0" w:space="0"/>
        </w:rPr>
      </w:pPr>
      <w:bookmarkStart w:id="81" w:name="heading_27"/>
      <w:bookmarkStart w:id="82" w:name="_Toc17496"/>
      <w:r>
        <w:rPr>
          <w:rFonts w:hint="eastAsia"/>
          <w:lang w:eastAsia="zh-CN"/>
        </w:rPr>
        <w:t xml:space="preserve">3.3.2.1 </w:t>
      </w:r>
      <w:r>
        <w:t>数据提取时的初步验证</w:t>
      </w:r>
      <w:bookmarkEnd w:id="81"/>
      <w:bookmarkEnd w:id="82"/>
    </w:p>
    <w:p w14:paraId="67CE4DD0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在从单据、报告中提取数据时，进行初步真伪校验，为后续深入分析提供基础。</w:t>
      </w:r>
    </w:p>
    <w:p w14:paraId="46308419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(1) </w:t>
      </w:r>
      <w:r>
        <w:rPr>
          <w:rFonts w:ascii="Times New Roman" w:hAnsi="Times New Roman" w:eastAsia="宋体" w:cs="Times New Roman"/>
          <w:sz w:val="21"/>
          <w:szCs w:val="24"/>
        </w:rPr>
        <w:t>单据本身验证： 检查格式、印章、签名、编号等要素的规范性。</w:t>
      </w:r>
    </w:p>
    <w:p w14:paraId="5800DD6F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(2) </w:t>
      </w:r>
      <w:r>
        <w:rPr>
          <w:rFonts w:ascii="Times New Roman" w:hAnsi="Times New Roman" w:eastAsia="宋体" w:cs="Times New Roman"/>
          <w:sz w:val="21"/>
          <w:szCs w:val="24"/>
        </w:rPr>
        <w:t>一致性比对： 核对单据内部的品名、金额、数量、时间等信息是否自洽，并与供应商历史交易的价格、数量等数据进行比对。</w:t>
      </w:r>
    </w:p>
    <w:p w14:paraId="389B98AC">
      <w:pPr>
        <w:pStyle w:val="5"/>
        <w:keepNext/>
        <w:numPr>
          <w:numId w:val="0"/>
        </w:numPr>
        <w:ind w:left="0" w:leftChars="0" w:firstLine="482" w:firstLineChars="0"/>
        <w:outlineLvl w:val="2"/>
        <w:rPr>
          <w:rFonts w:hint="eastAsia" w:ascii="宋体" w:hAnsi="宋体" w:eastAsia="宋体" w:cs="宋体"/>
          <w:b/>
          <w:bdr w:val="none" w:sz="0" w:space="0"/>
        </w:rPr>
      </w:pPr>
      <w:bookmarkStart w:id="83" w:name="heading_28"/>
      <w:bookmarkStart w:id="84" w:name="_Toc26928"/>
      <w:r>
        <w:rPr>
          <w:rFonts w:hint="eastAsia"/>
          <w:lang w:eastAsia="zh-CN"/>
        </w:rPr>
        <w:t xml:space="preserve">3.3.2.2 </w:t>
      </w:r>
      <w:r>
        <w:t>数据提取后的分类与交叉验证</w:t>
      </w:r>
      <w:bookmarkEnd w:id="83"/>
      <w:bookmarkEnd w:id="84"/>
    </w:p>
    <w:p w14:paraId="2562A402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将提取到的信息归入范围 3 的 15 个类别中，并调用为该类别预设的特定交叉验证方法。核心思想是利用多源数据进行比对，发现矛盾点。</w:t>
      </w:r>
    </w:p>
    <w:tbl>
      <w:tblPr>
        <w:tblStyle w:val="18"/>
        <w:tblW w:w="1077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39"/>
        <w:gridCol w:w="4140"/>
      </w:tblGrid>
      <w:tr w14:paraId="1C21D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51" w:hRule="atLeast"/>
        </w:trPr>
        <w:tc>
          <w:tcPr>
            <w:tcW w:w="6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86FB4">
            <w:r>
              <w:drawing>
                <wp:inline distT="0" distB="0" distL="0" distR="0">
                  <wp:extent cx="4213225" cy="2417445"/>
                  <wp:effectExtent l="0" t="0" r="3175" b="8255"/>
                  <wp:docPr id="1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225" cy="241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5058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051050" cy="1899285"/>
                  <wp:effectExtent l="0" t="0" r="6350" b="5715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050" cy="189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F8D4E">
      <w:pPr>
        <w:pStyle w:val="5"/>
        <w:keepNext/>
        <w:numPr>
          <w:numId w:val="0"/>
        </w:numPr>
        <w:ind w:left="0" w:leftChars="0" w:firstLine="482" w:firstLineChars="0"/>
        <w:outlineLvl w:val="2"/>
        <w:rPr>
          <w:rFonts w:hint="eastAsia" w:ascii="宋体" w:hAnsi="宋体" w:eastAsia="宋体" w:cs="宋体"/>
          <w:b/>
          <w:bdr w:val="none" w:sz="0" w:space="0"/>
        </w:rPr>
      </w:pPr>
      <w:bookmarkStart w:id="85" w:name="heading_29"/>
      <w:bookmarkStart w:id="86" w:name="_Toc19665"/>
      <w:r>
        <w:rPr>
          <w:rFonts w:hint="eastAsia"/>
          <w:lang w:eastAsia="zh-CN"/>
        </w:rPr>
        <w:t xml:space="preserve">3.3.2.3 </w:t>
      </w:r>
      <w:r>
        <w:t>数据调用时的分级获取与溯源</w:t>
      </w:r>
      <w:bookmarkEnd w:id="85"/>
      <w:bookmarkEnd w:id="86"/>
    </w:p>
    <w:p w14:paraId="19311059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A </w:t>
      </w:r>
      <w:r>
        <w:rPr>
          <w:rFonts w:ascii="Times New Roman" w:hAnsi="Times New Roman" w:eastAsia="宋体" w:cs="Times New Roman"/>
          <w:sz w:val="21"/>
          <w:szCs w:val="24"/>
        </w:rPr>
        <w:t xml:space="preserve">类供应商（强制“实地数据”）： 碳排放计算必须基于实时抓取的能耗表计数据（如：电表读数 × 电网排放因子）。若无法直连，必须提供经第三方核证的能源消耗报表。 </w:t>
      </w:r>
    </w:p>
    <w:p w14:paraId="7A060444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B </w:t>
      </w:r>
      <w:r>
        <w:rPr>
          <w:rFonts w:ascii="Times New Roman" w:hAnsi="Times New Roman" w:eastAsia="宋体" w:cs="Times New Roman"/>
          <w:sz w:val="21"/>
          <w:szCs w:val="24"/>
        </w:rPr>
        <w:t xml:space="preserve">类供应商（过渡“混合模式”）： 优先使用供应商填报的实际能耗数据；若数据缺失，则自动匹配权威数据库（如 Ecoinvent， CLCD）的行业平均因子进行估算，并明确标注“估算数据”。 </w:t>
      </w:r>
    </w:p>
    <w:p w14:paraId="51E780FC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C </w:t>
      </w:r>
      <w:r>
        <w:rPr>
          <w:rFonts w:ascii="Times New Roman" w:hAnsi="Times New Roman" w:eastAsia="宋体" w:cs="Times New Roman"/>
          <w:sz w:val="21"/>
          <w:szCs w:val="24"/>
        </w:rPr>
        <w:t>类供应商（标准化“数据库因子”）： 直接使用数据库中的标准排放因子进行计算（如：运输里程 × 车型标准油耗因子），重点关注排放总量的异常波动。</w:t>
      </w:r>
    </w:p>
    <w:p w14:paraId="66A52E2D">
      <w:pPr>
        <w:pStyle w:val="5"/>
        <w:keepNext/>
        <w:numPr>
          <w:numId w:val="0"/>
        </w:numPr>
        <w:ind w:left="0" w:leftChars="0" w:firstLine="482" w:firstLineChars="0"/>
        <w:outlineLvl w:val="2"/>
        <w:rPr>
          <w:rFonts w:hint="eastAsia" w:ascii="宋体" w:hAnsi="宋体" w:eastAsia="宋体" w:cs="宋体"/>
          <w:b/>
          <w:bdr w:val="none" w:sz="0" w:space="0"/>
        </w:rPr>
      </w:pPr>
      <w:bookmarkStart w:id="87" w:name="heading_30"/>
      <w:bookmarkStart w:id="88" w:name="_Toc26020"/>
      <w:r>
        <w:rPr>
          <w:rFonts w:hint="eastAsia"/>
          <w:lang w:eastAsia="zh-CN"/>
        </w:rPr>
        <w:t xml:space="preserve">3.3.2.4 </w:t>
      </w:r>
      <w:r>
        <w:t>排放因子来源优先级：</w:t>
      </w:r>
      <w:bookmarkEnd w:id="87"/>
      <w:bookmarkEnd w:id="88"/>
    </w:p>
    <w:p w14:paraId="32ACC2AF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实地测量/供应商提供（针对 A 类供应商及关键环节）（针对不同特定活动：派专员监督，供应商各部门协作，记录，注意把空时间，协调好人员，记录来源方法数据）</w:t>
      </w:r>
    </w:p>
    <w:p w14:paraId="5C8A59B8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权威数据库（针对 B、C 类供应商或非关键环节）（Ecoinvent ， CLCD） 与历史数据比对/同行业平均比对</w:t>
      </w:r>
    </w:p>
    <w:p w14:paraId="2A60EF75">
      <w:pPr>
        <w:pStyle w:val="5"/>
        <w:keepNext/>
        <w:numPr>
          <w:numId w:val="0"/>
        </w:numPr>
        <w:ind w:left="0" w:leftChars="0" w:firstLine="482" w:firstLineChars="0"/>
        <w:outlineLvl w:val="2"/>
        <w:rPr>
          <w:rFonts w:hint="eastAsia" w:ascii="宋体" w:hAnsi="宋体" w:eastAsia="宋体" w:cs="宋体"/>
          <w:b/>
          <w:bdr w:val="none" w:sz="0" w:space="0"/>
        </w:rPr>
      </w:pPr>
      <w:bookmarkStart w:id="89" w:name="heading_31"/>
      <w:bookmarkStart w:id="90" w:name="_Toc24954"/>
      <w:r>
        <w:rPr>
          <w:rFonts w:hint="eastAsia"/>
          <w:lang w:eastAsia="zh-CN"/>
        </w:rPr>
        <w:t xml:space="preserve">3.3.2.5 </w:t>
      </w:r>
      <w:r>
        <w:t>对异常情况的反应措施：</w:t>
      </w:r>
      <w:bookmarkEnd w:id="89"/>
      <w:bookmarkEnd w:id="90"/>
    </w:p>
    <w:p w14:paraId="46DAAEA3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1"/>
          <w:szCs w:val="24"/>
        </w:rPr>
        <w:t>审计质问</w:t>
      </w:r>
    </w:p>
    <w:p w14:paraId="6C2D46FE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1"/>
          <w:szCs w:val="24"/>
        </w:rPr>
        <w:t>突击审计（核实真假）</w:t>
      </w:r>
    </w:p>
    <w:p w14:paraId="758973CF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查凭证真伪</w:t>
      </w:r>
    </w:p>
    <w:p w14:paraId="2DF40E26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(1) </w:t>
      </w:r>
      <w:r>
        <w:rPr>
          <w:rFonts w:ascii="Times New Roman" w:hAnsi="Times New Roman" w:eastAsia="宋体" w:cs="Times New Roman"/>
          <w:sz w:val="21"/>
          <w:szCs w:val="24"/>
        </w:rPr>
        <w:t>单据本身：格式，印章，签名，编号</w:t>
      </w:r>
    </w:p>
    <w:p w14:paraId="17500F14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(2) </w:t>
      </w:r>
      <w:r>
        <w:rPr>
          <w:rFonts w:ascii="Times New Roman" w:hAnsi="Times New Roman" w:eastAsia="宋体" w:cs="Times New Roman"/>
          <w:sz w:val="21"/>
          <w:szCs w:val="24"/>
        </w:rPr>
        <w:t>一致性比对：品名，金额，数量，时间，还有和历史（交易量，价格）比对</w:t>
      </w:r>
    </w:p>
    <w:p w14:paraId="71A7FAF5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(3) </w:t>
      </w:r>
      <w:r>
        <w:rPr>
          <w:rFonts w:ascii="Times New Roman" w:hAnsi="Times New Roman" w:eastAsia="宋体" w:cs="Times New Roman"/>
          <w:sz w:val="21"/>
          <w:szCs w:val="24"/>
        </w:rPr>
        <w:t>外部核实：向发证方，交易方核实，验查供应商工商注册信息是否真实有效</w:t>
      </w:r>
    </w:p>
    <w:p w14:paraId="098859A8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实地勘察：资产盘点，访谈询问</w:t>
      </w:r>
    </w:p>
    <w:p w14:paraId="3EE70E20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(4) </w:t>
      </w:r>
      <w:r>
        <w:rPr>
          <w:rFonts w:ascii="Times New Roman" w:hAnsi="Times New Roman" w:eastAsia="宋体" w:cs="Times New Roman"/>
          <w:sz w:val="21"/>
          <w:szCs w:val="24"/>
        </w:rPr>
        <w:t>运用 Uncertainty Assessment Template for Product GHG Inventories（产品温室气体排放清单不确定性评估模板）来评估准确度：</w:t>
      </w:r>
    </w:p>
    <w:p w14:paraId="466F714B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在以上（1）（2）（3）步骤的核实基础上：按该工具的使用方法给各个步骤打分，算出碳足迹数字的准确度。</w:t>
      </w:r>
    </w:p>
    <w:p w14:paraId="72AA44AC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1"/>
          <w:szCs w:val="24"/>
        </w:rPr>
        <w:t>关键排放源核心阈值：占总排放 5%以上的源流为关键排放源，其不确定性需控制在±5%以内，若超出此范围需重点关注并追溯误差来源，同时在报告中详细披露；</w:t>
      </w:r>
    </w:p>
    <w:p w14:paraId="2576D7A7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1"/>
          <w:szCs w:val="24"/>
        </w:rPr>
        <w:t>总不确定性通用要求：产品碳足迹核算的总不确定性（范围 1/2）需≤±10%（ISO 14064 配套要求），ISO 14067 更明确产品碳足迹核算准确性需满足数据不确定性≤5% 的核心原则；</w:t>
      </w:r>
    </w:p>
    <w:p w14:paraId="4A4FE4D4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1"/>
          <w:szCs w:val="24"/>
        </w:rPr>
        <w:t>工具实操补充：若通过该工具计算出单一参数不确定性≥60%，则工具中推荐的定量计算方法（基于正态分布的误差传播）将不再适用，需更换蒙特卡洛模拟等方法，此为工具内置的计算有效性阈值。</w:t>
      </w:r>
    </w:p>
    <w:p w14:paraId="10B63008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此外，GHG Protocol 产品标准设定 1%的实质性阈值，排放量占比低于 1%的来源可忽略，但该类来源若不确定性过高（如远超±10%），仍需评估是否对整体结果产生影响。</w:t>
      </w:r>
    </w:p>
    <w:p w14:paraId="779B039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90875"/>
            <wp:effectExtent l="0" t="0" r="0" b="952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BDD4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1"/>
          <w:szCs w:val="24"/>
        </w:rPr>
        <w:t>设备上安装第三方校准的独立智能电表</w:t>
      </w:r>
    </w:p>
    <w:p w14:paraId="6232059F">
      <w:pPr>
        <w:pStyle w:val="2"/>
        <w:keepNext/>
        <w:numPr>
          <w:numId w:val="0"/>
        </w:numPr>
        <w:topLinePunct w:val="0"/>
        <w:ind w:leftChars="0"/>
        <w:rPr>
          <w:rFonts w:hint="eastAsia"/>
          <w:lang w:eastAsia="zh-CN"/>
        </w:rPr>
      </w:pPr>
      <w:bookmarkStart w:id="91" w:name="heading_32"/>
      <w:bookmarkStart w:id="92" w:name="_Toc2522"/>
    </w:p>
    <w:p w14:paraId="37F7DB23">
      <w:pPr>
        <w:pStyle w:val="2"/>
        <w:keepNext/>
        <w:numPr>
          <w:numId w:val="0"/>
        </w:numPr>
        <w:topLinePunct w:val="0"/>
        <w:ind w:leftChars="0"/>
        <w:rPr>
          <w:rFonts w:hint="eastAsia"/>
          <w:lang w:eastAsia="zh-CN"/>
        </w:rPr>
      </w:pPr>
    </w:p>
    <w:p w14:paraId="587443EF">
      <w:pPr>
        <w:pStyle w:val="2"/>
        <w:keepNext/>
        <w:numPr>
          <w:numId w:val="0"/>
        </w:numPr>
        <w:topLinePunct w:val="0"/>
        <w:ind w:leftChars="0"/>
        <w:rPr>
          <w:rFonts w:hint="eastAsia"/>
          <w:lang w:eastAsia="zh-CN"/>
        </w:rPr>
      </w:pPr>
    </w:p>
    <w:p w14:paraId="3BF183D7">
      <w:pPr>
        <w:pStyle w:val="2"/>
        <w:keepNext/>
        <w:numPr>
          <w:numId w:val="0"/>
        </w:numPr>
        <w:topLinePunct w:val="0"/>
        <w:ind w:leftChars="0"/>
        <w:rPr>
          <w:rFonts w:hint="eastAsia"/>
          <w:lang w:eastAsia="zh-CN"/>
        </w:rPr>
      </w:pPr>
    </w:p>
    <w:p w14:paraId="2BD65174">
      <w:pPr>
        <w:pStyle w:val="2"/>
        <w:keepNext/>
        <w:numPr>
          <w:numId w:val="0"/>
        </w:numPr>
        <w:topLinePunct w:val="0"/>
        <w:ind w:leftChars="0"/>
        <w:rPr>
          <w:rFonts w:hint="eastAsia"/>
          <w:lang w:eastAsia="zh-CN"/>
        </w:rPr>
      </w:pPr>
    </w:p>
    <w:p w14:paraId="04B991A1">
      <w:pPr>
        <w:pStyle w:val="2"/>
        <w:keepNext/>
        <w:numPr>
          <w:numId w:val="0"/>
        </w:numPr>
        <w:topLinePunct w:val="0"/>
        <w:ind w:leftChars="0"/>
        <w:rPr>
          <w:rFonts w:hint="eastAsia"/>
          <w:lang w:eastAsia="zh-CN"/>
        </w:rPr>
      </w:pPr>
    </w:p>
    <w:p w14:paraId="298A8229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/>
          <w:bdr w:val="none" w:sz="0" w:space="0"/>
        </w:rPr>
      </w:pPr>
      <w:bookmarkStart w:id="93" w:name="_Toc9914"/>
      <w:r>
        <w:rPr>
          <w:rFonts w:hint="eastAsia"/>
          <w:lang w:eastAsia="zh-CN"/>
        </w:rPr>
        <w:t>第四章：</w:t>
      </w:r>
      <w:r>
        <w:t>实施路线图与资源保障</w:t>
      </w:r>
      <w:bookmarkEnd w:id="91"/>
      <w:bookmarkEnd w:id="92"/>
      <w:bookmarkEnd w:id="93"/>
    </w:p>
    <w:p w14:paraId="735D5F89">
      <w:pPr>
        <w:pStyle w:val="4"/>
        <w:bidi w:val="0"/>
        <w:rPr>
          <w:b/>
          <w:bdr w:val="none" w:sz="0" w:space="0"/>
        </w:rPr>
      </w:pPr>
      <w:bookmarkStart w:id="94" w:name="heading_33"/>
      <w:bookmarkStart w:id="95" w:name="_Toc190"/>
      <w:bookmarkStart w:id="96" w:name="_Toc18849"/>
      <w:r>
        <w:rPr>
          <w:rFonts w:hint="eastAsia"/>
          <w:lang w:eastAsia="zh-CN"/>
        </w:rPr>
        <w:t xml:space="preserve">4.1 </w:t>
      </w:r>
      <w:r>
        <w:t>核心阶段与里程碑。</w:t>
      </w:r>
      <w:bookmarkEnd w:id="94"/>
      <w:bookmarkEnd w:id="95"/>
      <w:bookmarkEnd w:id="96"/>
    </w:p>
    <w:p w14:paraId="0C3FC3F9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4552950"/>
            <wp:effectExtent l="0" t="0" r="0" b="635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5BDD">
      <w:pPr>
        <w:pStyle w:val="4"/>
        <w:bidi w:val="0"/>
        <w:rPr>
          <w:rFonts w:hint="eastAsia" w:ascii="黑体" w:hAnsi="黑体" w:eastAsia="黑体" w:cs="黑体"/>
          <w:b/>
          <w:bdr w:val="none" w:sz="0" w:space="0"/>
        </w:rPr>
      </w:pPr>
      <w:bookmarkStart w:id="97" w:name="heading_34"/>
      <w:bookmarkStart w:id="98" w:name="_Toc23720"/>
      <w:bookmarkStart w:id="99" w:name="_Toc29219"/>
      <w:r>
        <w:rPr>
          <w:rFonts w:hint="eastAsia"/>
          <w:lang w:eastAsia="zh-CN"/>
        </w:rPr>
        <w:t xml:space="preserve">4.2 </w:t>
      </w:r>
      <w:r>
        <w:t>成本估算。</w:t>
      </w:r>
      <w:bookmarkEnd w:id="97"/>
      <w:bookmarkEnd w:id="98"/>
      <w:bookmarkEnd w:id="99"/>
    </w:p>
    <w:tbl>
      <w:tblPr>
        <w:tblStyle w:val="1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0"/>
        <w:gridCol w:w="1380"/>
        <w:gridCol w:w="5310"/>
      </w:tblGrid>
      <w:tr w14:paraId="04349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D67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21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金额/万元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CD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A5F88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B6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资本成本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A1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5000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97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系统搭建与 API 开发，按 5 年摊销，每年 1000 万元</w:t>
            </w:r>
          </w:p>
        </w:tc>
      </w:tr>
      <w:tr w14:paraId="490EF0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0F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运营成本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EC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6A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SaaS 订阅与模型训练的费用</w:t>
            </w:r>
          </w:p>
        </w:tc>
      </w:tr>
      <w:tr w14:paraId="14CD64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ADF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收益： 利息节约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90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</w:t>
            </w:r>
          </w:p>
        </w:tc>
        <w:tc>
          <w:tcPr>
            <w:tcW w:w="5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79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 亿元绿色贷款，利率下浮 30 个点，每年节约利息 1500 万元</w:t>
            </w:r>
          </w:p>
        </w:tc>
      </w:tr>
    </w:tbl>
    <w:p w14:paraId="45E15305">
      <w:pPr>
        <w:pStyle w:val="4"/>
        <w:bidi w:val="0"/>
      </w:pPr>
      <w:bookmarkStart w:id="100" w:name="heading_35"/>
      <w:bookmarkStart w:id="101" w:name="_Toc1625"/>
      <w:bookmarkStart w:id="102" w:name="_Toc18794"/>
      <w:r>
        <w:rPr>
          <w:rFonts w:hint="eastAsia"/>
          <w:lang w:eastAsia="zh-CN"/>
        </w:rPr>
        <w:t xml:space="preserve">4.3 </w:t>
      </w:r>
      <w:r>
        <w:t>ROI 测算</w:t>
      </w:r>
      <w:bookmarkEnd w:id="100"/>
      <w:bookmarkEnd w:id="101"/>
      <w:bookmarkEnd w:id="102"/>
    </w:p>
    <w:p w14:paraId="3D361B39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年净收益 = 利息节约 - 运营支出 - 摊销 = 1,500 - 1,500 - 1,000 = -1,000 （万元）但如果只考虑投资与年收益（忽略摊销的现金流影响），则:ROI = 年收益 / 投资额 = 1,500 / 5,000 = 30% 即每年可收回投资额的 30%，投资回收期约 3.33 年。</w:t>
      </w:r>
    </w:p>
    <w:p w14:paraId="06A5D7B9">
      <w:pPr>
        <w:pStyle w:val="2"/>
        <w:keepNext/>
        <w:numPr>
          <w:numId w:val="0"/>
        </w:numPr>
        <w:topLinePunct w:val="0"/>
        <w:ind w:leftChars="0"/>
        <w:rPr>
          <w:rFonts w:hint="eastAsia" w:ascii="黑体" w:hAnsi="黑体" w:eastAsia="黑体" w:cs="黑体"/>
          <w:b/>
          <w:bdr w:val="none" w:sz="0" w:space="0"/>
        </w:rPr>
      </w:pPr>
      <w:bookmarkStart w:id="103" w:name="heading_36"/>
      <w:bookmarkStart w:id="104" w:name="_Toc4971"/>
      <w:bookmarkStart w:id="105" w:name="_Toc991"/>
      <w:r>
        <w:rPr>
          <w:rFonts w:hint="eastAsia"/>
          <w:lang w:eastAsia="zh-CN"/>
        </w:rPr>
        <w:t>第五章：</w:t>
      </w:r>
      <w:r>
        <w:t>谈判策略、合同要点与沟通计划</w:t>
      </w:r>
      <w:bookmarkEnd w:id="103"/>
      <w:bookmarkEnd w:id="104"/>
      <w:bookmarkEnd w:id="105"/>
    </w:p>
    <w:p w14:paraId="1DE0C9C4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rFonts w:hint="eastAsia" w:ascii="黑体" w:hAnsi="黑体" w:eastAsia="黑体" w:cs="黑体"/>
          <w:b/>
          <w:bdr w:val="none" w:sz="0" w:space="0"/>
        </w:rPr>
      </w:pPr>
      <w:bookmarkStart w:id="106" w:name="heading_37"/>
      <w:bookmarkStart w:id="107" w:name="_Toc18035"/>
      <w:bookmarkStart w:id="108" w:name="_Toc15252"/>
      <w:r>
        <w:rPr>
          <w:rFonts w:hint="eastAsia"/>
          <w:lang w:eastAsia="zh-CN"/>
        </w:rPr>
        <w:t xml:space="preserve">5.1 </w:t>
      </w:r>
      <w:r>
        <w:t>供应商评分机制设计</w:t>
      </w:r>
      <w:bookmarkEnd w:id="106"/>
      <w:bookmarkEnd w:id="107"/>
      <w:bookmarkEnd w:id="108"/>
    </w:p>
    <w:p w14:paraId="32C43CF1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参照工业富联准则中“管理体系”与“供应商责任”的要求，结合碳数据透明化目标，设计一套</w:t>
      </w:r>
      <w:r>
        <w:rPr>
          <w:rFonts w:ascii="Times New Roman" w:hAnsi="Times New Roman" w:eastAsia="宋体" w:cs="Times New Roman"/>
          <w:sz w:val="21"/>
          <w:szCs w:val="24"/>
          <w:u w:val="single"/>
        </w:rPr>
        <w:t>双维评分卡</w:t>
      </w:r>
      <w:r>
        <w:rPr>
          <w:rFonts w:ascii="Times New Roman" w:hAnsi="Times New Roman" w:eastAsia="宋体" w:cs="Times New Roman"/>
          <w:sz w:val="21"/>
          <w:szCs w:val="24"/>
        </w:rPr>
        <w:t>，分为“数据透明度”和“碳绩效”两个维度，满分 100 分。</w:t>
      </w:r>
    </w:p>
    <w:p w14:paraId="6470BC66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109" w:name="heading_38"/>
      <w:bookmarkStart w:id="110" w:name="_Toc29845"/>
      <w:bookmarkStart w:id="111" w:name="_Toc10089"/>
      <w:r>
        <w:rPr>
          <w:rFonts w:hint="eastAsia"/>
          <w:lang w:eastAsia="zh-CN"/>
        </w:rPr>
        <w:t xml:space="preserve">5.1.1 </w:t>
      </w:r>
      <w:r>
        <w:t>评分维度与权重（假设的，只是参考）</w:t>
      </w:r>
      <w:bookmarkEnd w:id="109"/>
      <w:bookmarkEnd w:id="110"/>
      <w:bookmarkEnd w:id="111"/>
    </w:p>
    <w:p w14:paraId="785E77A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05075"/>
            <wp:effectExtent l="0" t="0" r="0" b="9525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CF08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112" w:name="heading_39"/>
      <w:bookmarkStart w:id="113" w:name="_Toc21170"/>
      <w:bookmarkStart w:id="114" w:name="_Toc4735"/>
      <w:r>
        <w:rPr>
          <w:rFonts w:hint="eastAsia"/>
          <w:lang w:eastAsia="zh-CN"/>
        </w:rPr>
        <w:t xml:space="preserve">5.1.2 </w:t>
      </w:r>
      <w:r>
        <w:t>评级与结果应用</w:t>
      </w:r>
      <w:bookmarkEnd w:id="112"/>
      <w:bookmarkEnd w:id="113"/>
      <w:bookmarkEnd w:id="114"/>
    </w:p>
    <w:p w14:paraId="0A68E23E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以 CDP 评分体系为标准：</w:t>
      </w:r>
    </w:p>
    <w:p w14:paraId="0E3639BF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A </w:t>
      </w:r>
      <w:r>
        <w:rPr>
          <w:rFonts w:ascii="Times New Roman" w:hAnsi="Times New Roman" w:eastAsia="宋体" w:cs="Times New Roman"/>
          <w:sz w:val="21"/>
          <w:szCs w:val="24"/>
        </w:rPr>
        <w:t>级（≥85 分）：优秀供应商</w:t>
      </w:r>
    </w:p>
    <w:p w14:paraId="7AEB6692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B </w:t>
      </w:r>
      <w:r>
        <w:rPr>
          <w:rFonts w:ascii="Times New Roman" w:hAnsi="Times New Roman" w:eastAsia="宋体" w:cs="Times New Roman"/>
          <w:sz w:val="21"/>
          <w:szCs w:val="24"/>
        </w:rPr>
        <w:t>级（70-84 分）：良好供应商</w:t>
      </w:r>
    </w:p>
    <w:p w14:paraId="1A6CF616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C </w:t>
      </w:r>
      <w:r>
        <w:rPr>
          <w:rFonts w:ascii="Times New Roman" w:hAnsi="Times New Roman" w:eastAsia="宋体" w:cs="Times New Roman"/>
          <w:sz w:val="21"/>
          <w:szCs w:val="24"/>
        </w:rPr>
        <w:t>级（60-69 分）：及格供应商</w:t>
      </w:r>
    </w:p>
    <w:p w14:paraId="2D9306CE">
      <w:pPr>
        <w:pStyle w:val="11"/>
        <w:numPr>
          <w:numId w:val="0"/>
        </w:numPr>
        <w:ind w:left="0" w:leftChars="0" w:firstLine="42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D </w:t>
      </w:r>
      <w:r>
        <w:rPr>
          <w:rFonts w:ascii="Times New Roman" w:hAnsi="Times New Roman" w:eastAsia="宋体" w:cs="Times New Roman"/>
          <w:sz w:val="21"/>
          <w:szCs w:val="24"/>
        </w:rPr>
        <w:t>级（＜60 分）：需整改供应商（连续两季度 D 级则触发降级处理）</w:t>
      </w:r>
    </w:p>
    <w:p w14:paraId="36BA98A0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2419350"/>
            <wp:effectExtent l="0" t="0" r="0" b="635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A58C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rFonts w:hint="eastAsia" w:ascii="黑体" w:hAnsi="黑体" w:eastAsia="黑体" w:cs="黑体"/>
          <w:b/>
          <w:bdr w:val="none" w:sz="0" w:space="0"/>
        </w:rPr>
      </w:pPr>
      <w:bookmarkStart w:id="115" w:name="heading_40"/>
      <w:bookmarkStart w:id="116" w:name="_Toc1089"/>
      <w:bookmarkStart w:id="117" w:name="_Toc20265"/>
      <w:r>
        <w:rPr>
          <w:rFonts w:hint="eastAsia"/>
          <w:lang w:eastAsia="zh-CN"/>
        </w:rPr>
        <w:t xml:space="preserve">5.2 </w:t>
      </w:r>
      <w:r>
        <w:t>奖惩机制设计（最大化利用 1,500 万元/年）</w:t>
      </w:r>
      <w:bookmarkEnd w:id="115"/>
      <w:bookmarkEnd w:id="116"/>
      <w:bookmarkEnd w:id="117"/>
    </w:p>
    <w:p w14:paraId="33795921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将每年 1,500 万元利息节约拆分为三大资金池（怎么分的依旧假设，仅供参考），形成正向激励闭环：</w:t>
      </w:r>
    </w:p>
    <w:p w14:paraId="65E87727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118" w:name="heading_41"/>
      <w:bookmarkStart w:id="119" w:name="_Toc15243"/>
      <w:bookmarkStart w:id="120" w:name="_Toc16985"/>
      <w:r>
        <w:rPr>
          <w:rFonts w:hint="eastAsia"/>
          <w:lang w:eastAsia="zh-CN"/>
        </w:rPr>
        <w:t xml:space="preserve">5.2.1 </w:t>
      </w:r>
      <w:r>
        <w:t>资金池一：供应链金融贴息基金（每年 800 万元）</w:t>
      </w:r>
      <w:bookmarkEnd w:id="118"/>
      <w:bookmarkEnd w:id="119"/>
      <w:bookmarkEnd w:id="120"/>
    </w:p>
    <w:p w14:paraId="4760DFAF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用途：为接入系统且评级为 A/B 级的供应商提供贷款利率补贴</w:t>
      </w:r>
    </w:p>
    <w:p w14:paraId="67109D78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操作方式：C 公司联合合作银行，将供应商融资利率与碳评级挂钩</w:t>
      </w:r>
    </w:p>
    <w:p w14:paraId="0FACC879">
      <w:pPr>
        <w:pStyle w:val="11"/>
        <w:numPr>
          <w:numId w:val="0"/>
        </w:numPr>
        <w:ind w:left="0" w:leftChars="0" w:firstLine="916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sz w:val="21"/>
          <w:szCs w:val="24"/>
          <w:lang w:eastAsia="zh-CN"/>
        </w:rPr>
        <w:t xml:space="preserve">A </w:t>
      </w:r>
      <w:r>
        <w:rPr>
          <w:rFonts w:ascii="Times New Roman" w:hAnsi="Times New Roman" w:eastAsia="宋体" w:cs="Times New Roman"/>
          <w:sz w:val="21"/>
          <w:szCs w:val="24"/>
        </w:rPr>
        <w:t>级供应商：在银行原利率基础上，由基金再贴息 1.0%</w:t>
      </w:r>
    </w:p>
    <w:p w14:paraId="2643520E">
      <w:pPr>
        <w:pStyle w:val="11"/>
        <w:numPr>
          <w:numId w:val="0"/>
        </w:numPr>
        <w:ind w:left="0" w:leftChars="0" w:firstLine="916" w:firstLineChars="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B </w:t>
      </w:r>
      <w:r>
        <w:rPr>
          <w:rFonts w:ascii="Times New Roman" w:hAnsi="Times New Roman" w:eastAsia="宋体" w:cs="Times New Roman"/>
          <w:sz w:val="21"/>
          <w:szCs w:val="24"/>
        </w:rPr>
        <w:t>级供应商：贴息 0.5%</w:t>
      </w:r>
    </w:p>
    <w:p w14:paraId="026D3EE4">
      <w:pPr>
        <w:pStyle w:val="11"/>
        <w:numPr>
          <w:numId w:val="0"/>
        </w:numPr>
        <w:ind w:left="0" w:leftChars="0" w:firstLine="916" w:firstLineChars="0"/>
        <w:rPr>
          <w:rFonts w:ascii="Times New Roman" w:hAnsi="Times New Roman" w:eastAsia="宋体" w:cs="Times New Roman"/>
          <w:b w:val="0"/>
          <w:sz w:val="21"/>
          <w:szCs w:val="24"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 xml:space="preserve">C </w:t>
      </w:r>
      <w:r>
        <w:rPr>
          <w:rFonts w:ascii="Times New Roman" w:hAnsi="Times New Roman" w:eastAsia="宋体" w:cs="Times New Roman"/>
          <w:sz w:val="21"/>
          <w:szCs w:val="24"/>
        </w:rPr>
        <w:t>级以下：无贴息</w:t>
      </w:r>
    </w:p>
    <w:p w14:paraId="7F2B1802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预期效果：直接降低供应商融资成本，将“绿色表现”变现，抵消其对暴露成本后利润受损的担忧。</w:t>
      </w:r>
    </w:p>
    <w:p w14:paraId="7A3AAAFF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现实依据：TCL 案例中，供应商获得 130-150bp 的利率优惠，效果显著。</w:t>
      </w:r>
    </w:p>
    <w:p w14:paraId="33A97D88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121" w:name="heading_42"/>
      <w:bookmarkStart w:id="122" w:name="_Toc25271"/>
      <w:bookmarkStart w:id="123" w:name="_Toc17525"/>
      <w:r>
        <w:rPr>
          <w:rFonts w:hint="eastAsia"/>
          <w:lang w:eastAsia="zh-CN"/>
        </w:rPr>
        <w:t xml:space="preserve">5.2.2 </w:t>
      </w:r>
      <w:r>
        <w:t>资金池二：碳减排奖励基金（每年 500 万元）</w:t>
      </w:r>
      <w:bookmarkEnd w:id="121"/>
      <w:bookmarkEnd w:id="122"/>
      <w:bookmarkEnd w:id="123"/>
    </w:p>
    <w:p w14:paraId="0350E78F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用途：对年度碳绩效排名前 10 的供应商给予现金奖励</w:t>
      </w:r>
    </w:p>
    <w:p w14:paraId="4EED73B3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分配方式：</w:t>
      </w:r>
    </w:p>
    <w:p w14:paraId="684B5998">
      <w:pPr>
        <w:pStyle w:val="11"/>
        <w:ind w:firstLine="915" w:firstLineChars="436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第一名：100 万元</w:t>
      </w:r>
    </w:p>
    <w:p w14:paraId="109FF0FE">
      <w:pPr>
        <w:pStyle w:val="11"/>
        <w:ind w:firstLine="915" w:firstLineChars="436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第二至五名：各 50 万元</w:t>
      </w:r>
    </w:p>
    <w:p w14:paraId="4426BFB7">
      <w:pPr>
        <w:pStyle w:val="11"/>
        <w:ind w:firstLine="915" w:firstLineChars="436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第六至十名：各 30 万元</w:t>
      </w:r>
    </w:p>
    <w:p w14:paraId="2DF6E923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额外激励：设立“年度绿色创新奖”，对实施节能技改、采购绿电成效突出的供应商额外奖励 10-20 万元。</w:t>
      </w:r>
    </w:p>
    <w:p w14:paraId="01183B1E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现实依据：类似“绿色供应链奖金池”已在汽车、电子行业出现，如苹果供应链清洁能源基金。</w:t>
      </w:r>
    </w:p>
    <w:p w14:paraId="72C27A74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4029075"/>
            <wp:effectExtent l="0" t="0" r="0" b="9525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C29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br w:type="textWrapping"/>
      </w:r>
    </w:p>
    <w:p w14:paraId="18E1103B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124" w:name="heading_43"/>
      <w:bookmarkStart w:id="125" w:name="_Toc13126"/>
      <w:bookmarkStart w:id="126" w:name="_Toc25997"/>
      <w:r>
        <w:rPr>
          <w:rFonts w:hint="eastAsia"/>
          <w:lang w:eastAsia="zh-CN"/>
        </w:rPr>
        <w:t xml:space="preserve">5.2.3 </w:t>
      </w:r>
      <w:r>
        <w:t>资金池三：能力建设与赋能基金（每年 200 万元）</w:t>
      </w:r>
      <w:bookmarkEnd w:id="124"/>
      <w:bookmarkEnd w:id="125"/>
      <w:bookmarkEnd w:id="126"/>
    </w:p>
    <w:p w14:paraId="48CF175B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用途：为中小供应商免费提供碳核算培训、碳管理软件工具（非核心数据类）</w:t>
      </w:r>
    </w:p>
    <w:p w14:paraId="609C3388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组织“绿电团购”：C 公司出面集合 30 家核心供应商，统一向售电公司采购绿电，享受批量折扣（参考阿斯利康案例，价格下降 80%）。资助供应商安装智能电表、能耗监测设备，降低其配合成本</w:t>
      </w:r>
    </w:p>
    <w:p w14:paraId="12EADE52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供应商配合成本是阻力来源之一，提供免费赋能可大幅降低抵触情绪。</w:t>
      </w:r>
    </w:p>
    <w:p w14:paraId="040CDBB8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b/>
          <w:bdr w:val="none" w:sz="0" w:space="0"/>
        </w:rPr>
      </w:pPr>
      <w:bookmarkStart w:id="127" w:name="heading_44"/>
      <w:bookmarkStart w:id="128" w:name="_Toc10193"/>
      <w:bookmarkStart w:id="129" w:name="_Toc7344"/>
      <w:r>
        <w:rPr>
          <w:rFonts w:hint="eastAsia"/>
          <w:lang w:eastAsia="zh-CN"/>
        </w:rPr>
        <w:t xml:space="preserve">5.3 </w:t>
      </w:r>
      <w:r>
        <w:t>打消“暴露成本被压价”恐惧的具体机制</w:t>
      </w:r>
      <w:bookmarkEnd w:id="127"/>
      <w:bookmarkEnd w:id="128"/>
      <w:bookmarkEnd w:id="129"/>
    </w:p>
    <w:p w14:paraId="7C78BA3C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130" w:name="heading_45"/>
      <w:bookmarkStart w:id="131" w:name="_Toc11838"/>
      <w:bookmarkStart w:id="132" w:name="_Toc13814"/>
      <w:r>
        <w:rPr>
          <w:rFonts w:hint="eastAsia"/>
          <w:lang w:eastAsia="zh-CN"/>
        </w:rPr>
        <w:t xml:space="preserve">5.3.1 </w:t>
      </w:r>
      <w:r>
        <w:t>制度保障：签署</w:t>
      </w:r>
      <w:r>
        <w:rPr>
          <w:u w:val="single"/>
        </w:rPr>
        <w:t>“数据用途限定协议”</w:t>
      </w:r>
      <w:bookmarkEnd w:id="130"/>
      <w:bookmarkEnd w:id="131"/>
      <w:bookmarkEnd w:id="132"/>
    </w:p>
    <w:p w14:paraId="078A3640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在采购合同中增加专门条款，明确承诺：</w:t>
      </w:r>
    </w:p>
    <w:p w14:paraId="385FBCEC">
      <w:pPr>
        <w:pStyle w:val="11"/>
        <w:numPr>
          <w:numId w:val="0"/>
        </w:numPr>
        <w:ind w:leftChars="0" w:firstLine="42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sz w:val="21"/>
          <w:szCs w:val="24"/>
        </w:rPr>
        <w:t>AI 系统采集的能耗、物料损耗数据仅用于碳排放核算与合规报告；</w:t>
      </w:r>
    </w:p>
    <w:p w14:paraId="761B33DC">
      <w:pPr>
        <w:pStyle w:val="11"/>
        <w:numPr>
          <w:numId w:val="0"/>
        </w:numPr>
        <w:ind w:leftChars="0" w:firstLine="42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sz w:val="21"/>
          <w:szCs w:val="24"/>
        </w:rPr>
        <w:t>不得作为采购价格谈判、成本分析、订单份额调整的依据；</w:t>
      </w:r>
    </w:p>
    <w:p w14:paraId="2FB82C8F">
      <w:pPr>
        <w:pStyle w:val="11"/>
        <w:numPr>
          <w:numId w:val="0"/>
        </w:numPr>
        <w:ind w:leftChars="0" w:firstLine="42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sz w:val="21"/>
          <w:szCs w:val="24"/>
        </w:rPr>
        <w:t>违反承诺的，供应商可申请仲裁或向 C 公司董事会申诉。</w:t>
      </w:r>
    </w:p>
    <w:p w14:paraId="14346DEE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133" w:name="heading_46"/>
      <w:bookmarkStart w:id="134" w:name="_Toc27323"/>
      <w:bookmarkStart w:id="135" w:name="_Toc17478"/>
      <w:r>
        <w:rPr>
          <w:rFonts w:hint="eastAsia"/>
          <w:lang w:eastAsia="zh-CN"/>
        </w:rPr>
        <w:t xml:space="preserve">5.3.2 </w:t>
      </w:r>
      <w:r>
        <w:t>技术保障：第三方独立审计</w:t>
      </w:r>
      <w:bookmarkEnd w:id="133"/>
      <w:bookmarkEnd w:id="134"/>
      <w:bookmarkEnd w:id="135"/>
    </w:p>
    <w:p w14:paraId="1AE29DB8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引入广碳所或类似权威机构作为独立数据验证方；供应商碳数据经 AI 系统汇总后，由第三方出具鉴证报告，C 公司采购部门不接触原始数据；仅 ESG 部门及审计方可见明细，采购部门仅能看到汇总评级结果。</w:t>
      </w:r>
    </w:p>
    <w:p w14:paraId="1853F8BB">
      <w:pPr>
        <w:pStyle w:val="4"/>
        <w:keepNext/>
        <w:numPr>
          <w:numId w:val="0"/>
        </w:numPr>
        <w:ind w:left="0" w:leftChars="0" w:firstLine="0" w:firstLineChars="0"/>
        <w:outlineLvl w:val="1"/>
        <w:rPr>
          <w:b/>
          <w:bdr w:val="none" w:sz="0" w:space="0"/>
        </w:rPr>
      </w:pPr>
      <w:bookmarkStart w:id="136" w:name="heading_47"/>
      <w:bookmarkStart w:id="137" w:name="_Toc4646"/>
      <w:bookmarkStart w:id="138" w:name="_Toc2147"/>
      <w:r>
        <w:rPr>
          <w:rFonts w:hint="eastAsia"/>
          <w:lang w:eastAsia="zh-CN"/>
        </w:rPr>
        <w:t xml:space="preserve">5.3.3 </w:t>
      </w:r>
      <w:r>
        <w:t>利益对冲：以“优先采购权”替代“压价”</w:t>
      </w:r>
      <w:bookmarkEnd w:id="136"/>
      <w:bookmarkEnd w:id="137"/>
      <w:bookmarkEnd w:id="138"/>
    </w:p>
    <w:p w14:paraId="7328A19B">
      <w:pPr>
        <w:pStyle w:val="11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对于评级 A 级的供应商，给予优先采购权：在同等报价下，C 公司优先向其下单；同时，C 公司承诺不因供应商接入系统而单方面下调采购价，反而通过订单倾斜增加其收，将“暴露成本”的威胁转变为“绿色优势”的机会。</w:t>
      </w:r>
    </w:p>
    <w:p w14:paraId="3FFA4067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rFonts w:hint="eastAsia" w:ascii="黑体" w:hAnsi="黑体" w:eastAsia="黑体" w:cs="黑体"/>
          <w:b/>
          <w:bdr w:val="none" w:sz="0" w:space="0"/>
        </w:rPr>
      </w:pPr>
      <w:bookmarkStart w:id="139" w:name="heading_48"/>
      <w:bookmarkStart w:id="140" w:name="_Toc24755"/>
      <w:bookmarkStart w:id="141" w:name="_Toc13968"/>
      <w:r>
        <w:rPr>
          <w:rFonts w:hint="eastAsia"/>
          <w:lang w:eastAsia="zh-CN"/>
        </w:rPr>
        <w:t xml:space="preserve">5.4 </w:t>
      </w:r>
      <w:r>
        <w:t>方案可行性分析（搬迁至 C 公司）</w:t>
      </w:r>
      <w:bookmarkEnd w:id="139"/>
      <w:bookmarkEnd w:id="140"/>
      <w:bookmarkEnd w:id="141"/>
    </w:p>
    <w:p w14:paraId="36839DB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05075"/>
            <wp:effectExtent l="0" t="0" r="0" b="9525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4F9A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rFonts w:hint="eastAsia" w:ascii="黑体" w:hAnsi="黑体" w:eastAsia="黑体" w:cs="黑体"/>
          <w:b/>
          <w:bdr w:val="none" w:sz="0" w:space="0"/>
        </w:rPr>
      </w:pPr>
      <w:bookmarkStart w:id="142" w:name="heading_49"/>
      <w:bookmarkStart w:id="143" w:name="_Toc21582"/>
      <w:bookmarkStart w:id="144" w:name="_Toc9577"/>
      <w:r>
        <w:rPr>
          <w:rFonts w:hint="eastAsia"/>
          <w:lang w:eastAsia="zh-CN"/>
        </w:rPr>
        <w:t xml:space="preserve">5.5 </w:t>
      </w:r>
      <w:r>
        <w:t>实施路线图（8 个月内完成）</w:t>
      </w:r>
      <w:bookmarkEnd w:id="142"/>
      <w:bookmarkEnd w:id="143"/>
      <w:bookmarkEnd w:id="144"/>
    </w:p>
    <w:p w14:paraId="7E051BE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457325"/>
            <wp:effectExtent l="0" t="0" r="0" b="3175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A7B2">
      <w:pPr>
        <w:pStyle w:val="3"/>
        <w:keepNext/>
        <w:numPr>
          <w:numId w:val="0"/>
        </w:numPr>
        <w:ind w:left="0" w:leftChars="0" w:firstLine="0" w:firstLineChars="0"/>
        <w:outlineLvl w:val="0"/>
        <w:rPr>
          <w:rFonts w:hint="eastAsia" w:ascii="黑体" w:hAnsi="黑体" w:eastAsia="黑体" w:cs="黑体"/>
          <w:b/>
          <w:bdr w:val="none" w:sz="0" w:space="0"/>
        </w:rPr>
      </w:pPr>
      <w:bookmarkStart w:id="145" w:name="heading_50"/>
      <w:bookmarkStart w:id="146" w:name="_Toc4777"/>
      <w:bookmarkStart w:id="147" w:name="_Toc29168"/>
      <w:r>
        <w:rPr>
          <w:rFonts w:hint="eastAsia"/>
          <w:lang w:eastAsia="zh-CN"/>
        </w:rPr>
        <w:t xml:space="preserve">5.6 </w:t>
      </w:r>
      <w:r>
        <w:t>预期效果</w:t>
      </w:r>
      <w:bookmarkEnd w:id="145"/>
      <w:bookmarkEnd w:id="146"/>
      <w:bookmarkEnd w:id="147"/>
    </w:p>
    <w:p w14:paraId="6CCE5EAD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sz w:val="21"/>
          <w:szCs w:val="24"/>
        </w:rPr>
        <w:t>碳数据准确率：从目前的 62%（Excel 填报正确率）提升至 95%以上，满足 B 公司要求</w:t>
      </w:r>
    </w:p>
    <w:p w14:paraId="151E8831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sz w:val="21"/>
          <w:szCs w:val="24"/>
        </w:rPr>
        <w:t>供应商参与率：30 家核心供应商 100%接入系统</w:t>
      </w:r>
    </w:p>
    <w:p w14:paraId="3D78AD37">
      <w:pPr>
        <w:pStyle w:val="11"/>
        <w:numPr>
          <w:numId w:val="0"/>
        </w:numPr>
        <w:ind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hint="eastAsia" w:cs="Times New Roman"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sz w:val="21"/>
          <w:szCs w:val="24"/>
        </w:rPr>
        <w:t>供应商融资成本：A 级供应商平均降低融资成本 1%以上，年节省融资成本超数百万元</w:t>
      </w:r>
    </w:p>
    <w:p w14:paraId="3932530C">
      <w:pPr>
        <w:pStyle w:val="11"/>
        <w:numPr>
          <w:numId w:val="0"/>
        </w:numPr>
        <w:ind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rPr>
          <w:rFonts w:hint="eastAsia" w:cs="Times New Roman"/>
          <w:sz w:val="21"/>
          <w:szCs w:val="24"/>
          <w:lang w:eastAsia="zh-CN"/>
        </w:rPr>
        <w:t>•</w:t>
      </w:r>
      <w:r>
        <w:rPr>
          <w:rFonts w:ascii="Times New Roman" w:hAnsi="Times New Roman" w:eastAsia="宋体" w:cs="Times New Roman"/>
          <w:sz w:val="21"/>
          <w:szCs w:val="24"/>
        </w:rPr>
        <w:t>C 公司财务表现：保住 153.5 亿元利润（避免订单削减 15%的损失），同时绿色贷款利息节约覆盖激励成本</w:t>
      </w:r>
    </w:p>
    <w:p w14:paraId="39C73712">
      <w:pPr>
        <w:widowControl w:val="0"/>
        <w:spacing w:before="120" w:after="120" w:line="288" w:lineRule="auto"/>
        <w:ind w:left="0" w:firstLine="0"/>
        <w:jc w:val="left"/>
        <w:outlineLvl w:val="9"/>
        <w:rPr>
          <w:sz w:val="21"/>
          <w:szCs w:val="22"/>
        </w:rPr>
      </w:pPr>
      <w:r>
        <w:rPr>
          <w:rFonts w:ascii="Arial" w:hAnsi="Arial" w:eastAsia="等线" w:cs="Arial"/>
          <w:sz w:val="22"/>
          <w:szCs w:val="22"/>
        </w:rPr>
        <w:t>投资效率。</w:t>
      </w:r>
    </w:p>
    <w:p w14:paraId="17B4D778">
      <w:pPr>
        <w:widowControl w:val="0"/>
        <w:spacing w:before="120" w:after="120" w:line="288" w:lineRule="auto"/>
        <w:ind w:left="0" w:firstLine="0"/>
        <w:jc w:val="left"/>
        <w:outlineLvl w:val="9"/>
        <w:rPr>
          <w:sz w:val="21"/>
          <w:szCs w:val="22"/>
        </w:rPr>
      </w:pPr>
    </w:p>
    <w:p w14:paraId="5AF21FE4">
      <w:pPr>
        <w:widowControl w:val="0"/>
        <w:spacing w:before="120" w:after="120" w:line="288" w:lineRule="auto"/>
        <w:ind w:left="0" w:firstLine="0"/>
        <w:jc w:val="left"/>
        <w:outlineLvl w:val="9"/>
        <w:rPr>
          <w:sz w:val="21"/>
          <w:szCs w:val="22"/>
        </w:rPr>
      </w:pPr>
      <w:r>
        <w:rPr>
          <w:rFonts w:ascii="Arial" w:hAnsi="Arial" w:eastAsia="等线" w:cs="Arial"/>
          <w:b/>
          <w:sz w:val="22"/>
          <w:szCs w:val="22"/>
        </w:rPr>
        <w:t>报告编制</w:t>
      </w:r>
      <w:r>
        <w:rPr>
          <w:rFonts w:ascii="Arial" w:hAnsi="Arial" w:eastAsia="等线" w:cs="Arial"/>
          <w:sz w:val="22"/>
          <w:szCs w:val="22"/>
        </w:rPr>
        <w:t>：外部数字化与财务战略顾问团队</w:t>
      </w:r>
    </w:p>
    <w:p w14:paraId="61A79822">
      <w:pPr>
        <w:widowControl w:val="0"/>
        <w:spacing w:before="120" w:after="120" w:line="288" w:lineRule="auto"/>
        <w:ind w:left="0" w:firstLine="0"/>
        <w:jc w:val="left"/>
        <w:outlineLvl w:val="9"/>
        <w:rPr>
          <w:sz w:val="21"/>
          <w:szCs w:val="22"/>
        </w:rPr>
      </w:pPr>
      <w:r>
        <w:rPr>
          <w:rFonts w:ascii="Arial" w:hAnsi="Arial" w:eastAsia="等线" w:cs="Arial"/>
          <w:b/>
          <w:sz w:val="22"/>
          <w:szCs w:val="22"/>
        </w:rPr>
        <w:t>联系方式</w:t>
      </w:r>
      <w:r>
        <w:rPr>
          <w:rFonts w:ascii="Arial" w:hAnsi="Arial" w:eastAsia="等线" w:cs="Arial"/>
          <w:sz w:val="22"/>
          <w:szCs w:val="22"/>
        </w:rPr>
        <w:t>：consulting@esg-advisors.com</w:t>
      </w:r>
    </w:p>
    <w:p w14:paraId="78A548EC">
      <w:pPr>
        <w:widowControl w:val="0"/>
        <w:spacing w:before="120" w:after="120" w:line="288" w:lineRule="auto"/>
        <w:ind w:left="0" w:firstLine="0"/>
        <w:jc w:val="left"/>
        <w:outlineLvl w:val="9"/>
        <w:rPr>
          <w:sz w:val="21"/>
          <w:szCs w:val="22"/>
        </w:rPr>
      </w:pPr>
      <w:r>
        <w:rPr>
          <w:rFonts w:ascii="Arial" w:hAnsi="Arial" w:eastAsia="等线" w:cs="Arial"/>
          <w:b/>
          <w:sz w:val="22"/>
          <w:szCs w:val="22"/>
        </w:rPr>
        <w:t>报告日期</w:t>
      </w:r>
      <w:r>
        <w:rPr>
          <w:rFonts w:ascii="Arial" w:hAnsi="Arial" w:eastAsia="等线" w:cs="Arial"/>
          <w:sz w:val="22"/>
          <w:szCs w:val="22"/>
        </w:rPr>
        <w:t>：2026 年 3 月 29 日</w:t>
      </w:r>
    </w:p>
    <w:p w14:paraId="342B5A52">
      <w:pPr>
        <w:widowControl w:val="0"/>
        <w:spacing w:before="120" w:after="120" w:line="288" w:lineRule="auto"/>
        <w:ind w:left="0" w:firstLine="0"/>
        <w:jc w:val="left"/>
        <w:outlineLvl w:val="9"/>
        <w:rPr>
          <w:sz w:val="21"/>
          <w:szCs w:val="22"/>
        </w:rPr>
      </w:pPr>
      <w:r>
        <w:rPr>
          <w:rFonts w:ascii="Arial" w:hAnsi="Arial" w:eastAsia="等线" w:cs="Arial"/>
          <w:b/>
          <w:sz w:val="22"/>
          <w:szCs w:val="22"/>
        </w:rPr>
        <w:t>文档密级</w:t>
      </w:r>
      <w:r>
        <w:rPr>
          <w:rFonts w:ascii="Arial" w:hAnsi="Arial" w:eastAsia="等线" w:cs="Arial"/>
          <w:sz w:val="22"/>
          <w:szCs w:val="22"/>
        </w:rPr>
        <w:t>：内部机密</w:t>
      </w:r>
    </w:p>
    <w:p w14:paraId="4442E211">
      <w:pPr>
        <w:widowControl w:val="0"/>
        <w:spacing w:before="120" w:after="120" w:line="288" w:lineRule="auto"/>
        <w:ind w:left="0" w:firstLine="0"/>
        <w:jc w:val="left"/>
        <w:outlineLvl w:val="9"/>
        <w:rPr>
          <w:sz w:val="21"/>
          <w:szCs w:val="22"/>
        </w:rPr>
      </w:pPr>
      <w:r>
        <w:rPr>
          <w:rFonts w:ascii="Arial" w:hAnsi="Arial" w:eastAsia="等线" w:cs="Arial"/>
          <w:b/>
          <w:sz w:val="22"/>
          <w:szCs w:val="22"/>
        </w:rPr>
        <w:t>分发范围</w:t>
      </w:r>
      <w:r>
        <w:rPr>
          <w:rFonts w:ascii="Arial" w:hAnsi="Arial" w:eastAsia="等线" w:cs="Arial"/>
          <w:sz w:val="22"/>
          <w:szCs w:val="22"/>
        </w:rPr>
        <w:t>：C 公司董事会及高级管理层</w:t>
      </w:r>
    </w:p>
    <w:sectPr>
      <w:footerReference r:id="rId3" w:type="default"/>
      <w:pgSz w:w="11905" w:h="16840"/>
      <w:pgMar w:top="720" w:right="720" w:bottom="720" w:left="720" w:header="720" w:footer="720" w:gutter="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DC7AD"/>
  <w:p w14:paraId="4C7C7E59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DA819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LFlbcvIAQAAmg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F4DA819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4022E"/>
    <w:rsid w:val="0FA45E1B"/>
    <w:rsid w:val="2A152AAC"/>
    <w:rsid w:val="541C3F57"/>
    <w:rsid w:val="7E5E2D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both"/>
      <w:outlineLvl w:val="0"/>
    </w:pPr>
    <w:rPr>
      <w:rFonts w:ascii="Times New Roman" w:hAnsi="Times New Roman" w:eastAsia="黑体" w:cs="Times New Roman"/>
      <w:b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both"/>
      <w:outlineLvl w:val="1"/>
    </w:pPr>
    <w:rPr>
      <w:rFonts w:ascii="Times New Roman" w:hAnsi="Times New Roman" w:eastAsia="黑体" w:cs="Times New Roman"/>
      <w:b/>
      <w:kern w:val="2"/>
      <w:sz w:val="30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both"/>
      <w:outlineLvl w:val="2"/>
    </w:pPr>
    <w:rPr>
      <w:rFonts w:ascii="Times New Roman" w:hAnsi="Times New Roman" w:eastAsia="黑体" w:cs="Times New Roman"/>
      <w:b/>
      <w:kern w:val="2"/>
      <w:sz w:val="28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ind w:firstLine="480" w:firstLineChars="200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9">
    <w:name w:val="Default Paragraph Font"/>
    <w:semiHidden/>
    <w:uiPriority w:val="0"/>
  </w:style>
  <w:style w:type="table" w:default="1" w:styleId="1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240" w:lineRule="auto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1"/>
      <w:szCs w:val="24"/>
    </w:rPr>
  </w:style>
  <w:style w:type="paragraph" w:styleId="12">
    <w:name w:val="toc 3"/>
    <w:next w:val="1"/>
    <w:uiPriority w:val="0"/>
    <w:pPr>
      <w:adjustRightInd w:val="0"/>
      <w:spacing w:line="360" w:lineRule="auto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toc 1"/>
    <w:next w:val="1"/>
    <w:uiPriority w:val="0"/>
    <w:pPr>
      <w:adjustRightInd w:val="0"/>
      <w:spacing w:line="360" w:lineRule="auto"/>
      <w:ind w:firstLine="0" w:firstLineChars="0"/>
    </w:pPr>
    <w:rPr>
      <w:rFonts w:ascii="Times New Roman" w:hAnsi="Times New Roman" w:eastAsia="宋体" w:cs="Times New Roman"/>
      <w:sz w:val="24"/>
      <w:szCs w:val="24"/>
    </w:rPr>
  </w:style>
  <w:style w:type="paragraph" w:styleId="15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kern w:val="28"/>
      <w:sz w:val="24"/>
      <w:szCs w:val="32"/>
    </w:rPr>
  </w:style>
  <w:style w:type="paragraph" w:styleId="16">
    <w:name w:val="toc 2"/>
    <w:next w:val="1"/>
    <w:uiPriority w:val="0"/>
    <w:pPr>
      <w:adjustRightInd w:val="0"/>
      <w:spacing w:line="360" w:lineRule="auto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17">
    <w:name w:val="Title"/>
    <w:qFormat/>
    <w:uiPriority w:val="0"/>
    <w:pPr>
      <w:widowControl w:val="0"/>
      <w:adjustRightInd w:val="0"/>
      <w:spacing w:line="360" w:lineRule="auto"/>
      <w:ind w:right="0" w:rightChars="0"/>
      <w:jc w:val="center"/>
      <w:outlineLvl w:val="9"/>
    </w:pPr>
    <w:rPr>
      <w:rFonts w:ascii="Times New Roman" w:hAnsi="Times New Roman" w:eastAsia="华文中宋" w:cs="Times New Roman"/>
      <w:b/>
      <w:kern w:val="2"/>
      <w:sz w:val="36"/>
      <w:szCs w:val="36"/>
      <w:lang w:bidi="ar-SA"/>
    </w:rPr>
  </w:style>
  <w:style w:type="paragraph" w:customStyle="1" w:styleId="20">
    <w:name w:val="摘要标题"/>
    <w:next w:val="1"/>
    <w:uiPriority w:val="0"/>
    <w:pPr>
      <w:keepNext w:val="0"/>
      <w:keepLines w:val="0"/>
      <w:widowControl w:val="0"/>
      <w:adjustRightInd w:val="0"/>
      <w:spacing w:before="313" w:beforeLines="100" w:after="313" w:afterLines="100" w:line="240" w:lineRule="auto"/>
      <w:jc w:val="center"/>
      <w:outlineLvl w:val="9"/>
    </w:pPr>
    <w:rPr>
      <w:rFonts w:ascii="Times New Roman" w:hAnsi="Times New Roman" w:eastAsia="黑体" w:cs="Times New Roman"/>
      <w:kern w:val="44"/>
      <w:sz w:val="36"/>
      <w:szCs w:val="32"/>
      <w:lang w:bidi="ar-SA"/>
    </w:rPr>
  </w:style>
  <w:style w:type="paragraph" w:customStyle="1" w:styleId="21">
    <w:name w:val="摘要正文"/>
    <w:next w:val="1"/>
    <w:uiPriority w:val="0"/>
    <w:pPr>
      <w:widowControl w:val="0"/>
      <w:adjustRightInd w:val="0"/>
      <w:spacing w:line="240" w:lineRule="auto"/>
      <w:ind w:firstLine="480" w:firstLineChars="200"/>
      <w:jc w:val="both"/>
      <w:outlineLvl w:val="9"/>
    </w:pPr>
    <w:rPr>
      <w:rFonts w:ascii="Times New Roman" w:hAnsi="Times New Roman" w:eastAsia="楷体" w:cs="Times New Roman"/>
      <w:kern w:val="2"/>
      <w:sz w:val="21"/>
      <w:szCs w:val="24"/>
    </w:rPr>
  </w:style>
  <w:style w:type="paragraph" w:customStyle="1" w:styleId="22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7295</Words>
  <Characters>8631</Characters>
  <TotalTime>34</TotalTime>
  <ScaleCrop>false</ScaleCrop>
  <LinksUpToDate>false</LinksUpToDate>
  <CharactersWithSpaces>9213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2026-03-30T13:28:00Z</dcterms:created>
  <dc:creator>Apache POI</dc:creator>
  <cp:lastModifiedBy>17277</cp:lastModifiedBy>
  <dcterms:modified xsi:type="dcterms:W3CDTF">2026-03-30T14:46:51Z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eyJoZGlkIjoiNGQ2ZGE3ZjdjYjQzNmJiOTJjZjQ0Mjc2YjYxM2M1YmEiLCJ1c2VySWQiOiIxNzYzOTg5ODE4In0=</vt:lpwstr>
  </property>
  <property fmtid="{D5CDD505-2E9C-101B-9397-08002B2CF9AE}" pid="3" name="KSOProductBuildVer">
    <vt:lpwstr>2052-12.1.0.25225</vt:lpwstr>
  </property>
  <property fmtid="{D5CDD505-2E9C-101B-9397-08002B2CF9AE}" pid="4" name="ICV">
    <vt:lpwstr>1CA9E2AD8F23423ABBEE69352A92EE62_13</vt:lpwstr>
  </property>
</Properties>
</file>