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</w:rPr>
        <w:t>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首先把自然数的倒数的幂次，用自然对数底的负幂次表示，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最后一项的形式代回</w:t>
      </w:r>
      <w:r>
        <w:rPr>
          <w:rFonts w:asciiTheme="majorHAnsi" w:eastAsiaTheme="majorEastAsia" w:hAnsiTheme="majorHAnsi" w:cstheme="majorBidi" w:hint="eastAsia"/>
        </w:rPr>
        <w:t>到泽塔函数，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，还是两个高次多项式的点积复合。下面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286F7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B003C8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D1681A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lastRenderedPageBreak/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FE261C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CA386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=1-1+1-1+1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D4504B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>
          <w:rPr>
            <w:rFonts w:ascii="Cambria Math" w:eastAsiaTheme="majorEastAsia" w:hAnsi="Cambria Math" w:cstheme="majorBidi"/>
          </w:rPr>
          <m:t>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的数值代回三角函数</w:t>
      </w:r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377F34" w:rsidP="00377F34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932180" w:rsidRPr="00F2506C" w:rsidRDefault="00932180" w:rsidP="009B6F08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F2506C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317D68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F94DAA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r w:rsidR="001F4D13">
        <w:rPr>
          <w:rFonts w:asciiTheme="majorHAnsi" w:eastAsiaTheme="majorEastAsia" w:hAnsiTheme="majorHAnsi" w:cstheme="majorBidi" w:hint="eastAsia"/>
        </w:rPr>
        <w:t>代回展开式，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571C08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9573A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503E4B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-2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</w:p>
    <w:p w:rsidR="00493619" w:rsidRPr="00B22839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)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∙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5549A0" w:rsidRPr="00493619" w:rsidRDefault="005549A0" w:rsidP="00B70195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C87DC2">
        <w:rPr>
          <w:rFonts w:asciiTheme="majorHAnsi" w:eastAsiaTheme="majorEastAsia" w:hAnsiTheme="majorHAnsi" w:cstheme="majorBidi" w:hint="eastAsia"/>
        </w:rPr>
        <w:t>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EC550C" w:rsidP="00EC550C">
      <w:pPr>
        <w:rPr>
          <w:rFonts w:asciiTheme="majorHAnsi" w:eastAsiaTheme="majorEastAsia" w:hAnsiTheme="majorHAnsi" w:cstheme="majorBidi"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7CBB" w:rsidRDefault="00EC550C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501EA8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1819C3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5C38E1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</w:t>
      </w:r>
      <w:r>
        <w:rPr>
          <w:rFonts w:asciiTheme="majorHAnsi" w:eastAsiaTheme="majorEastAsia" w:hAnsiTheme="majorHAnsi" w:cstheme="majorBidi" w:hint="eastAsia"/>
          <w:iCs/>
        </w:rPr>
        <w:t>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6B5D27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</m:t>
              </m:r>
              <m:r>
                <w:rPr>
                  <w:rFonts w:ascii="Cambria Math" w:eastAsiaTheme="majorEastAsia" w:hAnsi="Cambria Math" w:cstheme="majorBidi"/>
                </w:rPr>
                <m:t>π</m:t>
              </m:r>
              <m:r>
                <w:rPr>
                  <w:rFonts w:ascii="Cambria Math" w:eastAsiaTheme="majorEastAsia" w:hAnsi="Cambria Math" w:cstheme="majorBidi"/>
                </w:rPr>
                <m:t>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AB1914" w:rsidRPr="00AB1914" w:rsidRDefault="00AB1914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func>
            </m:sup>
          </m:sSup>
        </m:oMath>
      </m:oMathPara>
    </w:p>
    <w:p w:rsidR="00AB1914" w:rsidRPr="00E6642B" w:rsidRDefault="00E6642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不难看出这个形式里面</w:t>
      </w:r>
      <m:oMath>
        <m:r>
          <w:rPr>
            <w:rFonts w:ascii="Cambria Math" w:eastAsiaTheme="majorEastAsia" w:hAnsi="Cambria Math" w:cstheme="majorBidi"/>
          </w:rPr>
          <m:t>n+1</m:t>
        </m:r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的位置</w:t>
      </w:r>
      <w:r w:rsidR="00612863">
        <w:rPr>
          <w:rFonts w:asciiTheme="majorHAnsi" w:eastAsiaTheme="majorEastAsia" w:hAnsiTheme="majorHAnsi" w:cstheme="majorBidi" w:hint="eastAsia"/>
        </w:rPr>
        <w:t>都</w:t>
      </w:r>
      <w:r>
        <w:rPr>
          <w:rFonts w:asciiTheme="majorHAnsi" w:eastAsiaTheme="majorEastAsia" w:hAnsiTheme="majorHAnsi" w:cstheme="majorBidi" w:hint="eastAsia"/>
        </w:rPr>
        <w:t>反了</w:t>
      </w:r>
      <w:r w:rsidR="00686293">
        <w:rPr>
          <w:rFonts w:asciiTheme="majorHAnsi" w:eastAsiaTheme="majorEastAsia" w:hAnsiTheme="majorHAnsi" w:cstheme="majorBidi" w:hint="eastAsia"/>
        </w:rPr>
        <w:t>（上大下小）</w:t>
      </w:r>
      <w:r w:rsidR="00BE40DC">
        <w:rPr>
          <w:rFonts w:asciiTheme="majorHAnsi" w:eastAsiaTheme="majorEastAsia" w:hAnsiTheme="majorHAnsi" w:cstheme="majorBidi" w:hint="eastAsia"/>
        </w:rPr>
        <w:t>，因为最开计算两项的关系的时候是按照倒数来算的</w:t>
      </w:r>
      <w:r>
        <w:rPr>
          <w:rFonts w:asciiTheme="majorHAnsi" w:eastAsiaTheme="majorEastAsia" w:hAnsiTheme="majorHAnsi" w:cstheme="majorBidi" w:hint="eastAsia"/>
        </w:rPr>
        <w:t>，需要反过来</w:t>
      </w:r>
      <w:r w:rsidR="0044026F">
        <w:rPr>
          <w:rFonts w:asciiTheme="majorHAnsi" w:eastAsiaTheme="majorEastAsia" w:hAnsiTheme="majorHAnsi" w:cstheme="majorBidi" w:hint="eastAsia"/>
        </w:rPr>
        <w:t>。</w:t>
      </w:r>
      <w:r w:rsidR="006D2C95">
        <w:rPr>
          <w:rFonts w:asciiTheme="majorHAnsi" w:eastAsiaTheme="majorEastAsia" w:hAnsiTheme="majorHAnsi" w:cstheme="majorBidi" w:hint="eastAsia"/>
        </w:rPr>
        <w:t>正确的形式为，</w:t>
      </w:r>
    </w:p>
    <w:p w:rsidR="004D6056" w:rsidRPr="00391DEA" w:rsidRDefault="00E6642B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417EF" w:rsidRPr="003443AC" w:rsidRDefault="004D6056" w:rsidP="004D6056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+1</m:t>
                              </m:r>
                            </m:den>
                          </m:f>
                        </m:e>
                      </m:func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bπ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解和非平凡解的形式。而只有这两种形式的原因在于需要构造基于虚数单位的交错项，而相邻两项若要交错则必须引入虚数单位的平方，所以递归通项的比例系数里面必须存在平方形式或者根号形式</w:t>
      </w:r>
      <w:r w:rsidR="001075B5">
        <w:rPr>
          <w:rFonts w:asciiTheme="majorHAnsi" w:eastAsiaTheme="majorEastAsia" w:hAnsiTheme="majorHAnsi" w:cstheme="majorBidi" w:hint="eastAsia"/>
        </w:rPr>
        <w:t>。对于非平凡零点而言，构成递归通项则需要内部项和外部项的平衡</w:t>
      </w:r>
      <w:r w:rsidR="000D048C">
        <w:rPr>
          <w:rFonts w:asciiTheme="majorHAnsi" w:eastAsiaTheme="majorEastAsia" w:hAnsiTheme="majorHAnsi" w:cstheme="majorBidi" w:hint="eastAsia"/>
        </w:rPr>
        <w:t>。</w:t>
      </w:r>
      <w:r w:rsidR="001075B5">
        <w:rPr>
          <w:rFonts w:asciiTheme="majorHAnsi" w:eastAsiaTheme="majorEastAsia" w:hAnsiTheme="majorHAnsi" w:cstheme="majorBidi" w:hint="eastAsia"/>
        </w:rPr>
        <w:t>如果不用开方也就是</w:t>
      </w:r>
      <w:r w:rsidR="001075B5">
        <w:rPr>
          <w:rFonts w:asciiTheme="majorHAnsi" w:eastAsiaTheme="majorEastAsia" w:hAnsiTheme="majorHAnsi" w:cstheme="majorBidi" w:hint="eastAsia"/>
        </w:rPr>
        <w:t>1/2</w:t>
      </w:r>
      <w:r w:rsidR="001075B5">
        <w:rPr>
          <w:rFonts w:asciiTheme="majorHAnsi" w:eastAsiaTheme="majorEastAsia" w:hAnsiTheme="majorHAnsi" w:cstheme="majorBidi" w:hint="eastAsia"/>
        </w:rPr>
        <w:t>次幂，每一项的分子和分母就没有办法使用同样的幂次，也就没有办法</w:t>
      </w:r>
      <w:r w:rsidR="000D048C">
        <w:rPr>
          <w:rFonts w:asciiTheme="majorHAnsi" w:eastAsiaTheme="majorEastAsia" w:hAnsiTheme="majorHAnsi" w:cstheme="majorBidi" w:hint="eastAsia"/>
        </w:rPr>
        <w:t>在后续的合并运算中</w:t>
      </w:r>
      <w:r w:rsidR="001075B5">
        <w:rPr>
          <w:rFonts w:asciiTheme="majorHAnsi" w:eastAsiaTheme="majorEastAsia" w:hAnsiTheme="majorHAnsi" w:cstheme="majorBidi" w:hint="eastAsia"/>
        </w:rPr>
        <w:t>连续消项</w:t>
      </w:r>
      <w:r w:rsidR="005904D6">
        <w:rPr>
          <w:rFonts w:asciiTheme="majorHAnsi" w:eastAsiaTheme="majorEastAsia" w:hAnsiTheme="majorHAnsi" w:cstheme="majorBidi" w:hint="eastAsia"/>
        </w:rPr>
        <w:t>，也就是说</w:t>
      </w:r>
      <w:r w:rsidR="00681E27">
        <w:rPr>
          <w:rFonts w:asciiTheme="majorHAnsi" w:eastAsiaTheme="majorEastAsia" w:hAnsiTheme="majorHAnsi" w:cstheme="majorBidi" w:hint="eastAsia"/>
        </w:rPr>
        <w:t>若不用</w:t>
      </w:r>
      <w:r w:rsidR="00681E27">
        <w:rPr>
          <w:rFonts w:asciiTheme="majorHAnsi" w:eastAsiaTheme="majorEastAsia" w:hAnsiTheme="majorHAnsi" w:cstheme="majorBidi" w:hint="eastAsia"/>
        </w:rPr>
        <w:t>1/2</w:t>
      </w:r>
      <w:r w:rsidR="00681E27">
        <w:rPr>
          <w:rFonts w:asciiTheme="majorHAnsi" w:eastAsiaTheme="majorEastAsia" w:hAnsiTheme="majorHAnsi" w:cstheme="majorBidi" w:hint="eastAsia"/>
        </w:rPr>
        <w:t>次幂，则</w:t>
      </w:r>
      <w:r w:rsidR="005904D6">
        <w:rPr>
          <w:rFonts w:asciiTheme="majorHAnsi" w:eastAsiaTheme="majorEastAsia" w:hAnsiTheme="majorHAnsi" w:cstheme="majorBidi" w:hint="eastAsia"/>
        </w:rPr>
        <w:t>递归通项无法还原</w:t>
      </w:r>
      <w:r>
        <w:rPr>
          <w:rFonts w:asciiTheme="majorHAnsi" w:eastAsiaTheme="majorEastAsia" w:hAnsiTheme="majorHAnsi" w:cstheme="majorBidi" w:hint="eastAsia"/>
        </w:rPr>
        <w:t>。这就是泽塔函数非平凡解实部</w:t>
      </w:r>
      <w:r w:rsidR="00B72FC0">
        <w:rPr>
          <w:rFonts w:asciiTheme="majorHAnsi" w:eastAsiaTheme="majorEastAsia" w:hAnsiTheme="majorHAnsi" w:cstheme="majorBidi" w:hint="eastAsia"/>
        </w:rPr>
        <w:t>必须</w:t>
      </w:r>
      <w:r>
        <w:rPr>
          <w:rFonts w:asciiTheme="majorHAnsi" w:eastAsiaTheme="majorEastAsia" w:hAnsiTheme="majorHAnsi" w:cstheme="majorBidi" w:hint="eastAsia"/>
        </w:rPr>
        <w:t>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开始减小。虚数单位的平方可以产生负数，所以引入虚数单位的平方即可倒着计数。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而正着累加的结果，和倒着累加的结果绝对值显然相等，但符号相反。所以若可以实现双向计数，则</w:t>
      </w:r>
      <w:r w:rsidR="002D546E">
        <w:rPr>
          <w:rFonts w:asciiTheme="majorHAnsi" w:eastAsiaTheme="majorEastAsia" w:hAnsiTheme="majorHAnsi" w:cstheme="majorBidi" w:hint="eastAsia"/>
        </w:rPr>
        <w:t>总体累加的结果就一定是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平凡零点和非平凡零点的差别在于，平凡零点基于发散数列，所以并不需要具有虚部的负数解。但非平凡零点必须引入虚部不然无法归零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 w:hint="eastAsia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B076B" w:rsidRDefault="002B076B" w:rsidP="00BA4747">
      <w:pPr>
        <w:spacing w:after="0" w:line="240" w:lineRule="auto"/>
      </w:pPr>
      <w:r>
        <w:separator/>
      </w:r>
    </w:p>
  </w:endnote>
  <w:endnote w:type="continuationSeparator" w:id="0">
    <w:p w:rsidR="002B076B" w:rsidRDefault="002B076B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B076B" w:rsidRDefault="002B076B" w:rsidP="00BA4747">
      <w:pPr>
        <w:spacing w:after="0" w:line="240" w:lineRule="auto"/>
      </w:pPr>
      <w:r>
        <w:separator/>
      </w:r>
    </w:p>
  </w:footnote>
  <w:footnote w:type="continuationSeparator" w:id="0">
    <w:p w:rsidR="002B076B" w:rsidRDefault="002B076B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910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87A14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048C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075B5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27A6C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BF8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0FD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286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76B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1DE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2CA"/>
    <w:rsid w:val="003419CF"/>
    <w:rsid w:val="00341F37"/>
    <w:rsid w:val="003443AC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7EF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6CCF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04D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3BF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1E27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6799C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295"/>
    <w:rsid w:val="007B3859"/>
    <w:rsid w:val="007B587B"/>
    <w:rsid w:val="007B5D8F"/>
    <w:rsid w:val="007B7D08"/>
    <w:rsid w:val="007C012D"/>
    <w:rsid w:val="007C03FB"/>
    <w:rsid w:val="007C0873"/>
    <w:rsid w:val="007C1C8C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465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5BA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5869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2FC0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263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2D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40E"/>
    <w:rsid w:val="00CE34C8"/>
    <w:rsid w:val="00CE387C"/>
    <w:rsid w:val="00CE506F"/>
    <w:rsid w:val="00CE6EC9"/>
    <w:rsid w:val="00CF142A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0DE1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616"/>
    <w:rsid w:val="00F371A2"/>
    <w:rsid w:val="00F415A5"/>
    <w:rsid w:val="00F417F1"/>
    <w:rsid w:val="00F41B63"/>
    <w:rsid w:val="00F41C10"/>
    <w:rsid w:val="00F428AE"/>
    <w:rsid w:val="00F42D9E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10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2287</cp:revision>
  <dcterms:created xsi:type="dcterms:W3CDTF">2025-01-22T04:56:00Z</dcterms:created>
  <dcterms:modified xsi:type="dcterms:W3CDTF">2025-01-25T01:02:00Z</dcterms:modified>
</cp:coreProperties>
</file>