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JIF=1.9. #254/627 (40.5%) in Economics (Q2).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JIF=6.2. #33/627 (5.3%) in Economics (Q1).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JIF=3.1. #135/627 (21.5%) in Economics (Q1).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JIF=6.8. #24/627 (3.8%) in Economics (Q1).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JIF=4.1. #29/141 (20.6%) in Hospitality, Leisure, Sport &amp; Tourism (Q1).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JIF=7.2. #21/627 (3.3%) in Economics (Q1).</w:t>
            </w:r>
          </w:p>
          <w:p>
            <w:pPr>
              <w:pStyle w:val="CVItemCont"/>
            </w:pPr>
            <w:r>
              <w:t xml:space="preserve">Award: </w:t>
            </w: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6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JIF=2.4. #196/627 (31.3%) in Economics (Q2).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JIF=1.2. #379/627 (60.4%) in Economics (Q3).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JIF=8.7. #5/66 (7.6%) in Transportation (Q1).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SSCI. JIF=4.6. #7/92 (7.6%) in Forestry (Q1).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SSCI. JIF=6.8. #24/627 (3.8%) in Economics (Q1).</w:t>
            </w:r>
          </w:p>
          <w:p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 xml:space="preserve">Note: JIF and rankings are based on Clarivate JCR 2025 data (released June 2026); each journal is shown in its best-percentile category as #rank/total.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36" w:history="1">
              <w:r>
                <w:rPr>
                  <w:rStyle w:val="Hyperlink"/>
                </w:rPr>
                <w:t xml:space="preserve">2025 CMC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English-Medium Instruction (EMI) Teaching Grant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39" w:history="1">
              <w:r>
                <w:rPr>
                  <w:rStyle w:val="Hyperlink"/>
                </w:rPr>
                <w:t xml:space="preserve">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the National Land Planning Policy, Ministry of Agriculture, 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Link5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4766648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2026-10-17T00:17:07Z</dcterms:created>
  <dcterms:modified xsi:type="dcterms:W3CDTF">2026-10-17T00:17:07Z</dcterms:modified>
</cp:coreProperties>
</file>