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JIF=1.1. #104/141 (73.8%) in Hospitality, Leisure, Sport &amp; Tourism (Q3).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SCIE. JIF=4.5. #16/133 (12.0%) in Agronomy (Q1).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2026-10-18T02:24:20Z</dcterms:created>
  <dcterms:modified xsi:type="dcterms:W3CDTF">2026-10-18T02:24:20Z</dcterms:modified>
</cp:coreProperties>
</file>