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7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  <w:spacing w:before="20"/>
            </w:pPr>
            <w:r>
              <w:t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>獲獎：國立臺灣大學生物資源暨農學院 114 學年度學生學術論文獎</w:t>
            </w:r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3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進行中</w:t>
              <w:br/>
              <w:t>研究</w:t>
            </w:r>
          </w:p>
        </w:tc>
        <w:tc>
          <w:tcPr>
            <w:tcW w:w="7992" w:type="dxa"/>
            <w:gridSpan w:val="3"/>
          </w:tcPr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（第一輪修訂）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ubsection"/>
            </w:pPr>
            <w:r>
              <w:t>撰稿中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Relationship Id="rIdLinkTranPol" Type="http://schemas.openxmlformats.org/officeDocument/2006/relationships/hyperlink" Target="https://doi.org/10.1016/j.tranpol.2026.104468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