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渠道销售管理制度</w:t>
      </w:r>
    </w:p>
    <w:p>
      <w:pPr>
        <w:spacing w:line="500" w:lineRule="exact"/>
        <w:rPr>
          <w:sz w:val="24"/>
          <w:szCs w:val="24"/>
        </w:rPr>
      </w:pP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第一条  为了提高集团公司营销业务的管理水平，有效的加强渠道业务的管理，制定本制度。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第二条  本制度规范的部门为四川再减减公司所属的渠道营销运营中心、大区经理、分公司的全体员工。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第三条  各渠道营销运营中心、大区经理、分公司的业务的签约（注册）、收费、业务实施全部在多宝格公司的电子商务平台完成。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第四条  成为运营中心的条件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1、交10000元定金且15天内完成10个债务包，即可成为独立核算的运营中心，总公司即送8个价值5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元的债务包。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2、交49800元，直接购买10个5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元的债务包，即可成为独立核算的运营中心；成为独立核算的运营中心，总公司即送8个价值5</w:t>
      </w:r>
      <w:r>
        <w:rPr>
          <w:sz w:val="24"/>
          <w:szCs w:val="24"/>
        </w:rPr>
        <w:t>000</w:t>
      </w:r>
      <w:r>
        <w:rPr>
          <w:rFonts w:hint="eastAsia"/>
          <w:sz w:val="24"/>
          <w:szCs w:val="24"/>
        </w:rPr>
        <w:t>元的债务包。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3、上述1、2赠送的8个债务包，不包含在大区经理开发运营中心考核总业绩内。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第五条  晋升大区经理的条件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运营中心拥有1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个直属运营中心（包含2个月内直推的2个运营中心，该2个直推运营中心不享受1.5万元奖励），可向总公司申请大区经理，审核通过后晋升为大区经理。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第六条  晋升分公司的条件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大区经理成功培养2名合格的大区经理，可向总公司申请，审核通过后可晋升为分公司（总公司旗下共设置3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家分公司，设立名额达到3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家之日起该条款失效）。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第七条  运营中心考核标准及奖励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1、运营中心月销售考核目标为1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个债务包，返佣为债务包金额的5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。连续2个月未完成考核标准的运营中心，从第三个月开始降级为准运营中心，连续三月仍未完成考核者，撤销运营中心权力，该区域重新开放。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2、考核期及结算周期为6个月，完成考核指标排名前2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运营中心，共同享受公司总业绩的1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奖励，达标的前2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运营中心平均分配（例：总公司业绩1</w:t>
      </w:r>
      <w:r>
        <w:rPr>
          <w:sz w:val="24"/>
          <w:szCs w:val="24"/>
        </w:rPr>
        <w:t>0000</w:t>
      </w:r>
      <w:r>
        <w:rPr>
          <w:rFonts w:hint="eastAsia"/>
          <w:sz w:val="24"/>
          <w:szCs w:val="24"/>
        </w:rPr>
        <w:t>万元</w:t>
      </w:r>
      <w:r>
        <w:rPr>
          <w:sz w:val="24"/>
          <w:szCs w:val="24"/>
        </w:rPr>
        <w:t>*1%=100</w:t>
      </w:r>
      <w:r>
        <w:rPr>
          <w:rFonts w:hint="eastAsia"/>
          <w:sz w:val="24"/>
          <w:szCs w:val="24"/>
        </w:rPr>
        <w:t>万元，1000个运营中心20%共计200个，每个运营中心分得0.5万元）。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3、运营中心推荐奖：运营中心成功推荐运营中心，即可享受1.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万元奖励；若运营中心提交晋升大区经理申请后，推荐运营中心前2名不享受该奖励，第3名开始享受1.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万元奖励。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第八条  大区经理考核标准及营销奖励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1、大区经理计算奖励的业绩不受本地区范围内业绩的限制。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2、区域内1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个运营中心每月总销售考核标准为7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万元。总销售7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万元—1</w:t>
      </w:r>
      <w:r>
        <w:rPr>
          <w:sz w:val="24"/>
          <w:szCs w:val="24"/>
        </w:rPr>
        <w:t>50</w:t>
      </w:r>
      <w:r>
        <w:rPr>
          <w:rFonts w:hint="eastAsia"/>
          <w:sz w:val="24"/>
          <w:szCs w:val="24"/>
        </w:rPr>
        <w:t>万元（不含本数）营销奖励为2%；该大区销售完成</w:t>
      </w:r>
      <w:r>
        <w:rPr>
          <w:sz w:val="24"/>
          <w:szCs w:val="24"/>
        </w:rPr>
        <w:t>150</w:t>
      </w:r>
      <w:r>
        <w:rPr>
          <w:rFonts w:hint="eastAsia"/>
          <w:sz w:val="24"/>
          <w:szCs w:val="24"/>
        </w:rPr>
        <w:t>万元</w:t>
      </w:r>
      <w:bookmarkStart w:id="0" w:name="_Hlk64742287"/>
      <w:r>
        <w:rPr>
          <w:rFonts w:hint="eastAsia"/>
          <w:sz w:val="24"/>
          <w:szCs w:val="24"/>
        </w:rPr>
        <w:t>—2</w:t>
      </w:r>
      <w:r>
        <w:rPr>
          <w:sz w:val="24"/>
          <w:szCs w:val="24"/>
        </w:rPr>
        <w:t>25</w:t>
      </w:r>
      <w:r>
        <w:rPr>
          <w:rFonts w:hint="eastAsia"/>
          <w:sz w:val="24"/>
          <w:szCs w:val="24"/>
        </w:rPr>
        <w:t>万元（不含本数）营销奖励</w:t>
      </w:r>
      <w:bookmarkEnd w:id="0"/>
      <w:r>
        <w:rPr>
          <w:rFonts w:hint="eastAsia"/>
          <w:sz w:val="24"/>
          <w:szCs w:val="24"/>
        </w:rPr>
        <w:t>3%；该大区完成</w:t>
      </w:r>
      <w:r>
        <w:rPr>
          <w:sz w:val="24"/>
          <w:szCs w:val="24"/>
        </w:rPr>
        <w:t>225</w:t>
      </w:r>
      <w:r>
        <w:rPr>
          <w:rFonts w:hint="eastAsia"/>
          <w:sz w:val="24"/>
          <w:szCs w:val="24"/>
        </w:rPr>
        <w:t>万元以上，营销奖励为4%（大区经理旗下新晋运营中心赠送8个债务包不计算业绩</w:t>
      </w:r>
      <w:r>
        <w:rPr>
          <w:rFonts w:hint="eastAsia"/>
          <w:sz w:val="24"/>
          <w:szCs w:val="24"/>
          <w:lang w:eastAsia="zh-CN"/>
        </w:rPr>
        <w:t>，不分段计算、按完成总额计算</w:t>
      </w:r>
      <w:bookmarkStart w:id="3" w:name="_GoBack"/>
      <w:bookmarkEnd w:id="3"/>
      <w:r>
        <w:rPr>
          <w:rFonts w:hint="eastAsia"/>
          <w:sz w:val="24"/>
          <w:szCs w:val="24"/>
        </w:rPr>
        <w:t>）。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、大区经理推荐奖：大区经理成功推荐运营中心，即可享受1.</w:t>
      </w: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万元奖励，成功培养推荐大区经理，即可享受3万元奖励。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bookmarkStart w:id="1" w:name="_Hlk64735136"/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、大区经理连续2个月未完成考核标准的降为准大区经理，准大区经理不享受奖励，第三个月仍未完成考核目标的准大区经理，降为运营中心。</w:t>
      </w:r>
    </w:p>
    <w:bookmarkEnd w:id="1"/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rFonts w:hint="eastAsia"/>
          <w:sz w:val="24"/>
          <w:szCs w:val="24"/>
        </w:rPr>
        <w:t>、大区经理业绩考核周期为3个月；业绩奖励结算周期为1个月。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第九条  分公司行政管理奖励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1、分公司只能享受以本管辖区域内的业绩计算的奖励。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、每6个月为一个考核周期及结算周期。完成月度业绩指标3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万元的分公司，可享受该分公司销售总业绩3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的分红、该分公司总业绩的1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的奖励。成功培养分公司的上一级分公司享有前述（分红3%+奖励1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）*1</w:t>
      </w:r>
      <w:r>
        <w:rPr>
          <w:sz w:val="24"/>
          <w:szCs w:val="24"/>
        </w:rPr>
        <w:t>2%</w:t>
      </w:r>
      <w:r>
        <w:rPr>
          <w:rFonts w:hint="eastAsia"/>
          <w:sz w:val="24"/>
          <w:szCs w:val="24"/>
        </w:rPr>
        <w:t xml:space="preserve">的推荐奖。 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、分公司连续3个月未完成考核标准的，分公司总经理降为代总经理。第4个月仍未完成任务的，撤销其代总经理资格，总公司另行任命总经理。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第十条  按年考核结算，完成指标的分公司，分公司负责人拥有分公司总业绩的3</w:t>
      </w:r>
      <w:r>
        <w:rPr>
          <w:sz w:val="24"/>
          <w:szCs w:val="24"/>
        </w:rPr>
        <w:t>%</w:t>
      </w:r>
      <w:r>
        <w:rPr>
          <w:rFonts w:hint="eastAsia"/>
          <w:sz w:val="24"/>
          <w:szCs w:val="24"/>
        </w:rPr>
        <w:t>期权。发放方式为，第一年发放期权的</w:t>
      </w:r>
      <w:r>
        <w:rPr>
          <w:sz w:val="24"/>
          <w:szCs w:val="24"/>
        </w:rPr>
        <w:t>40%</w:t>
      </w:r>
      <w:r>
        <w:rPr>
          <w:rFonts w:hint="eastAsia"/>
          <w:sz w:val="24"/>
          <w:szCs w:val="24"/>
        </w:rPr>
        <w:t>，第二年发放前一年剩余的6</w:t>
      </w:r>
      <w:r>
        <w:rPr>
          <w:sz w:val="24"/>
          <w:szCs w:val="24"/>
        </w:rPr>
        <w:t>0%</w:t>
      </w:r>
      <w:r>
        <w:rPr>
          <w:rFonts w:hint="eastAsia"/>
          <w:sz w:val="24"/>
          <w:szCs w:val="24"/>
        </w:rPr>
        <w:t>，以后年度以此类推。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第十一条 分公司未转换的期权，终身可有一次期权兑换股权的特权，兑换方式为：</w:t>
      </w:r>
      <w:bookmarkStart w:id="2" w:name="_Hlk64736024"/>
      <w:r>
        <w:rPr>
          <w:rFonts w:hint="eastAsia"/>
          <w:sz w:val="24"/>
          <w:szCs w:val="24"/>
        </w:rPr>
        <w:t>现金</w:t>
      </w:r>
      <w:r>
        <w:rPr>
          <w:sz w:val="24"/>
          <w:szCs w:val="24"/>
        </w:rPr>
        <w:t>购买股权+公司赠送股权</w:t>
      </w:r>
      <w:bookmarkEnd w:id="2"/>
      <w:r>
        <w:rPr>
          <w:rFonts w:hint="eastAsia"/>
          <w:sz w:val="24"/>
          <w:szCs w:val="24"/>
        </w:rPr>
        <w:t>=</w:t>
      </w:r>
      <w:r>
        <w:rPr>
          <w:sz w:val="24"/>
          <w:szCs w:val="24"/>
        </w:rPr>
        <w:t>期权</w:t>
      </w:r>
      <w:r>
        <w:rPr>
          <w:rFonts w:hint="eastAsia"/>
          <w:sz w:val="24"/>
          <w:szCs w:val="24"/>
        </w:rPr>
        <w:t>转</w:t>
      </w:r>
      <w:r>
        <w:rPr>
          <w:sz w:val="24"/>
          <w:szCs w:val="24"/>
        </w:rPr>
        <w:t>换份额</w:t>
      </w:r>
      <w:r>
        <w:rPr>
          <w:rFonts w:hint="eastAsia"/>
          <w:sz w:val="24"/>
          <w:szCs w:val="24"/>
        </w:rPr>
        <w:t>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现金</w:t>
      </w:r>
      <w:r>
        <w:rPr>
          <w:sz w:val="24"/>
          <w:szCs w:val="24"/>
        </w:rPr>
        <w:t>购买股权</w:t>
      </w:r>
      <w:r>
        <w:rPr>
          <w:rFonts w:hint="eastAsia"/>
          <w:sz w:val="24"/>
          <w:szCs w:val="24"/>
        </w:rPr>
        <w:t>和</w:t>
      </w:r>
      <w:r>
        <w:rPr>
          <w:sz w:val="24"/>
          <w:szCs w:val="24"/>
        </w:rPr>
        <w:t>公司赠送股权</w:t>
      </w:r>
      <w:r>
        <w:rPr>
          <w:rFonts w:hint="eastAsia"/>
          <w:sz w:val="24"/>
          <w:szCs w:val="24"/>
        </w:rPr>
        <w:t>各占</w:t>
      </w:r>
      <w:r>
        <w:rPr>
          <w:sz w:val="24"/>
          <w:szCs w:val="24"/>
        </w:rPr>
        <w:t>期权</w:t>
      </w:r>
      <w:r>
        <w:rPr>
          <w:rFonts w:hint="eastAsia"/>
          <w:sz w:val="24"/>
          <w:szCs w:val="24"/>
        </w:rPr>
        <w:t>转</w:t>
      </w:r>
      <w:r>
        <w:rPr>
          <w:sz w:val="24"/>
          <w:szCs w:val="24"/>
        </w:rPr>
        <w:t>换份额</w:t>
      </w:r>
      <w:r>
        <w:rPr>
          <w:rFonts w:hint="eastAsia"/>
          <w:sz w:val="24"/>
          <w:szCs w:val="24"/>
        </w:rPr>
        <w:t>的5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%。期权兑换股权</w:t>
      </w:r>
      <w:r>
        <w:rPr>
          <w:sz w:val="24"/>
          <w:szCs w:val="24"/>
        </w:rPr>
        <w:t>后</w:t>
      </w:r>
      <w:r>
        <w:rPr>
          <w:rFonts w:hint="eastAsia"/>
          <w:sz w:val="24"/>
          <w:szCs w:val="24"/>
        </w:rPr>
        <w:t>，该等额期权注销。</w:t>
      </w:r>
    </w:p>
    <w:p>
      <w:pPr>
        <w:spacing w:line="500" w:lineRule="exac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第十二条  此制度最终解释权为总公司所有。</w:t>
      </w:r>
    </w:p>
    <w:p>
      <w:pPr>
        <w:spacing w:line="500" w:lineRule="exact"/>
        <w:rPr>
          <w:rFonts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E88"/>
    <w:rsid w:val="001832C7"/>
    <w:rsid w:val="002D4E88"/>
    <w:rsid w:val="005219FF"/>
    <w:rsid w:val="00574EE1"/>
    <w:rsid w:val="006C300D"/>
    <w:rsid w:val="00881BF0"/>
    <w:rsid w:val="009A5D2D"/>
    <w:rsid w:val="009C47B0"/>
    <w:rsid w:val="00AA32C7"/>
    <w:rsid w:val="00B46B22"/>
    <w:rsid w:val="00BE36DE"/>
    <w:rsid w:val="00F26281"/>
    <w:rsid w:val="00FB60F3"/>
    <w:rsid w:val="0167543F"/>
    <w:rsid w:val="13C735D5"/>
    <w:rsid w:val="1E1415A5"/>
    <w:rsid w:val="3C8B51A3"/>
    <w:rsid w:val="436101E8"/>
    <w:rsid w:val="46025B1B"/>
    <w:rsid w:val="53A2423A"/>
    <w:rsid w:val="5DD1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0"/>
    <w:qFormat/>
    <w:uiPriority w:val="0"/>
    <w:pPr>
      <w:jc w:val="left"/>
    </w:p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annotation subject"/>
    <w:basedOn w:val="2"/>
    <w:next w:val="2"/>
    <w:link w:val="11"/>
    <w:qFormat/>
    <w:uiPriority w:val="0"/>
    <w:rPr>
      <w:b/>
      <w:bCs/>
    </w:rPr>
  </w:style>
  <w:style w:type="character" w:styleId="7">
    <w:name w:val="annotation reference"/>
    <w:basedOn w:val="6"/>
    <w:qFormat/>
    <w:uiPriority w:val="0"/>
    <w:rPr>
      <w:sz w:val="21"/>
      <w:szCs w:val="21"/>
    </w:rPr>
  </w:style>
  <w:style w:type="paragraph" w:customStyle="1" w:styleId="8">
    <w:name w:val="样式1"/>
    <w:basedOn w:val="1"/>
    <w:qFormat/>
    <w:uiPriority w:val="0"/>
    <w:rPr>
      <w:rFonts w:ascii="Times New Roman" w:hAnsi="Times New Roman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文字 字符"/>
    <w:basedOn w:val="6"/>
    <w:link w:val="2"/>
    <w:qFormat/>
    <w:uiPriority w:val="0"/>
    <w:rPr>
      <w:kern w:val="2"/>
      <w:sz w:val="21"/>
      <w:szCs w:val="22"/>
    </w:rPr>
  </w:style>
  <w:style w:type="character" w:customStyle="1" w:styleId="11">
    <w:name w:val="批注主题 字符"/>
    <w:basedOn w:val="10"/>
    <w:link w:val="4"/>
    <w:qFormat/>
    <w:uiPriority w:val="0"/>
    <w:rPr>
      <w:b/>
      <w:bCs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239</Words>
  <Characters>1368</Characters>
  <Lines>11</Lines>
  <Paragraphs>3</Paragraphs>
  <TotalTime>83</TotalTime>
  <ScaleCrop>false</ScaleCrop>
  <LinksUpToDate>false</LinksUpToDate>
  <CharactersWithSpaces>1604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2021-02-21T12:17:53Z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