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41" w:after="141"/>
        <w:jc w:val="center"/>
        <w:rPr>
          <w:rFonts w:hint="eastAsia" w:ascii="微软雅黑" w:hAnsi="微软雅黑" w:eastAsia="微软雅黑" w:cs="微软雅黑"/>
          <w:b/>
          <w:bCs/>
          <w:sz w:val="44"/>
          <w:szCs w:val="44"/>
        </w:rPr>
      </w:pPr>
    </w:p>
    <w:p>
      <w:pPr>
        <w:widowControl/>
        <w:spacing w:before="141" w:after="141"/>
        <w:jc w:val="center"/>
        <w:rPr>
          <w:rFonts w:hint="eastAsia" w:ascii="微软雅黑" w:hAnsi="微软雅黑" w:eastAsia="微软雅黑" w:cs="微软雅黑"/>
          <w:b/>
          <w:bCs/>
          <w:sz w:val="44"/>
          <w:szCs w:val="44"/>
        </w:rPr>
      </w:pPr>
    </w:p>
    <w:p>
      <w:pPr>
        <w:widowControl/>
        <w:spacing w:before="141" w:after="141"/>
        <w:jc w:val="center"/>
        <w:rPr>
          <w:rFonts w:hint="eastAsia" w:ascii="微软雅黑" w:hAnsi="微软雅黑" w:eastAsia="微软雅黑" w:cs="微软雅黑"/>
          <w:b/>
          <w:bCs/>
          <w:sz w:val="44"/>
          <w:szCs w:val="44"/>
        </w:rPr>
      </w:pPr>
    </w:p>
    <w:p>
      <w:pPr>
        <w:widowControl/>
        <w:spacing w:before="141" w:after="141"/>
        <w:jc w:val="center"/>
        <w:rPr>
          <w:rFonts w:hint="eastAsia" w:ascii="微软雅黑" w:hAnsi="微软雅黑" w:eastAsia="微软雅黑" w:cs="微软雅黑"/>
          <w:b/>
          <w:bCs/>
          <w:sz w:val="44"/>
          <w:szCs w:val="44"/>
        </w:rPr>
      </w:pPr>
    </w:p>
    <w:p>
      <w:pPr>
        <w:widowControl/>
        <w:spacing w:before="141" w:after="141"/>
        <w:jc w:val="center"/>
        <w:rPr>
          <w:rFonts w:hint="eastAsia" w:ascii="微软雅黑" w:hAnsi="微软雅黑" w:eastAsia="微软雅黑" w:cs="微软雅黑"/>
          <w:sz w:val="28"/>
          <w:szCs w:val="28"/>
        </w:rPr>
      </w:pPr>
      <w:r>
        <w:rPr>
          <w:rFonts w:hint="eastAsia" w:ascii="微软雅黑" w:hAnsi="微软雅黑" w:eastAsia="微软雅黑" w:cs="微软雅黑"/>
          <w:b/>
          <w:bCs/>
          <w:sz w:val="44"/>
          <w:szCs w:val="44"/>
        </w:rPr>
        <w:t>【智能薪酬】2</w:t>
      </w:r>
      <w:r>
        <w:rPr>
          <w:rFonts w:hint="eastAsia" w:ascii="微软雅黑" w:hAnsi="微软雅黑" w:eastAsia="微软雅黑" w:cs="微软雅黑"/>
          <w:b/>
          <w:bCs/>
          <w:sz w:val="44"/>
          <w:szCs w:val="44"/>
          <w:lang w:val="en-US" w:eastAsia="zh-CN"/>
        </w:rPr>
        <w:t>4</w:t>
      </w:r>
      <w:r>
        <w:rPr>
          <w:rFonts w:hint="eastAsia" w:ascii="微软雅黑" w:hAnsi="微软雅黑" w:eastAsia="微软雅黑" w:cs="微软雅黑"/>
          <w:b/>
          <w:bCs/>
          <w:sz w:val="44"/>
          <w:szCs w:val="44"/>
        </w:rPr>
        <w:t>年</w:t>
      </w:r>
      <w:r>
        <w:rPr>
          <w:rFonts w:hint="eastAsia" w:ascii="微软雅黑" w:hAnsi="微软雅黑" w:eastAsia="微软雅黑" w:cs="微软雅黑"/>
          <w:b/>
          <w:bCs/>
          <w:sz w:val="44"/>
          <w:szCs w:val="44"/>
          <w:lang w:val="en-US" w:eastAsia="zh-CN"/>
        </w:rPr>
        <w:t>4</w:t>
      </w:r>
      <w:r>
        <w:rPr>
          <w:rFonts w:hint="eastAsia" w:ascii="微软雅黑" w:hAnsi="微软雅黑" w:eastAsia="微软雅黑" w:cs="微软雅黑"/>
          <w:b/>
          <w:bCs/>
          <w:sz w:val="44"/>
          <w:szCs w:val="44"/>
        </w:rPr>
        <w:t>月V1.</w:t>
      </w:r>
      <w:r>
        <w:rPr>
          <w:rFonts w:hint="eastAsia" w:ascii="微软雅黑" w:hAnsi="微软雅黑" w:eastAsia="微软雅黑" w:cs="微软雅黑"/>
          <w:b/>
          <w:bCs/>
          <w:sz w:val="44"/>
          <w:szCs w:val="44"/>
          <w:lang w:val="en-US" w:eastAsia="zh-CN"/>
        </w:rPr>
        <w:t>0</w:t>
      </w:r>
      <w:r>
        <w:rPr>
          <w:rFonts w:hint="eastAsia" w:ascii="微软雅黑" w:hAnsi="微软雅黑" w:eastAsia="微软雅黑" w:cs="微软雅黑"/>
          <w:b/>
          <w:bCs/>
          <w:sz w:val="44"/>
          <w:szCs w:val="44"/>
        </w:rPr>
        <w:t>PRD</w:t>
      </w:r>
    </w:p>
    <w:p>
      <w:pPr>
        <w:widowControl/>
        <w:spacing w:before="141" w:after="141"/>
        <w:jc w:val="center"/>
        <w:rPr>
          <w:rFonts w:hint="eastAsia" w:ascii="微软雅黑" w:hAnsi="微软雅黑" w:eastAsia="微软雅黑" w:cs="微软雅黑"/>
          <w:sz w:val="28"/>
          <w:szCs w:val="28"/>
        </w:rPr>
      </w:pPr>
    </w:p>
    <w:p>
      <w:pPr>
        <w:widowControl/>
        <w:spacing w:before="141" w:after="141"/>
        <w:jc w:val="center"/>
        <w:rPr>
          <w:rFonts w:hint="eastAsia" w:ascii="微软雅黑" w:hAnsi="微软雅黑" w:eastAsia="微软雅黑" w:cs="微软雅黑"/>
          <w:sz w:val="28"/>
          <w:szCs w:val="28"/>
        </w:rPr>
      </w:pPr>
    </w:p>
    <w:p>
      <w:pPr>
        <w:widowControl/>
        <w:spacing w:before="141" w:after="141"/>
        <w:jc w:val="center"/>
        <w:rPr>
          <w:rFonts w:hint="eastAsia" w:ascii="微软雅黑" w:hAnsi="微软雅黑" w:eastAsia="微软雅黑" w:cs="微软雅黑"/>
          <w:sz w:val="28"/>
          <w:szCs w:val="28"/>
        </w:rPr>
      </w:pPr>
    </w:p>
    <w:p>
      <w:pPr>
        <w:widowControl/>
        <w:spacing w:before="141" w:after="141"/>
        <w:jc w:val="center"/>
        <w:rPr>
          <w:rFonts w:hint="eastAsia" w:ascii="微软雅黑" w:hAnsi="微软雅黑" w:eastAsia="微软雅黑" w:cs="微软雅黑"/>
          <w:sz w:val="28"/>
          <w:szCs w:val="28"/>
        </w:rPr>
      </w:pPr>
    </w:p>
    <w:p>
      <w:pPr>
        <w:widowControl/>
        <w:spacing w:before="141" w:after="141"/>
        <w:jc w:val="center"/>
        <w:rPr>
          <w:rFonts w:hint="eastAsia" w:ascii="微软雅黑" w:hAnsi="微软雅黑" w:eastAsia="微软雅黑" w:cs="微软雅黑"/>
          <w:sz w:val="28"/>
          <w:szCs w:val="28"/>
        </w:rPr>
      </w:pPr>
    </w:p>
    <w:p>
      <w:pPr>
        <w:widowControl/>
        <w:spacing w:before="141" w:after="141"/>
        <w:jc w:val="center"/>
        <w:rPr>
          <w:rFonts w:hint="eastAsia" w:ascii="微软雅黑" w:hAnsi="微软雅黑" w:eastAsia="微软雅黑" w:cs="微软雅黑"/>
          <w:sz w:val="28"/>
          <w:szCs w:val="28"/>
        </w:rPr>
      </w:pPr>
    </w:p>
    <w:p>
      <w:pPr>
        <w:widowControl/>
        <w:spacing w:before="141" w:after="141"/>
        <w:jc w:val="center"/>
        <w:rPr>
          <w:rFonts w:hint="eastAsia" w:ascii="微软雅黑" w:hAnsi="微软雅黑" w:eastAsia="微软雅黑" w:cs="微软雅黑"/>
          <w:sz w:val="28"/>
          <w:szCs w:val="28"/>
        </w:rPr>
      </w:pPr>
    </w:p>
    <w:p>
      <w:pPr>
        <w:widowControl/>
        <w:spacing w:before="141" w:after="141"/>
        <w:jc w:val="center"/>
        <w:rPr>
          <w:rFonts w:hint="eastAsia" w:ascii="微软雅黑" w:hAnsi="微软雅黑" w:eastAsia="微软雅黑" w:cs="微软雅黑"/>
          <w:sz w:val="28"/>
          <w:szCs w:val="28"/>
        </w:rPr>
      </w:pPr>
    </w:p>
    <w:p>
      <w:pPr>
        <w:widowControl/>
        <w:spacing w:before="141" w:after="141"/>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作者：左昊</w:t>
      </w:r>
    </w:p>
    <w:p>
      <w:pPr>
        <w:widowControl/>
        <w:spacing w:before="141" w:after="141"/>
        <w:jc w:val="center"/>
        <w:rPr>
          <w:rFonts w:hint="eastAsia" w:ascii="微软雅黑" w:hAnsi="微软雅黑" w:eastAsia="微软雅黑" w:cs="微软雅黑"/>
          <w:lang w:val="en-US" w:eastAsia="zh-CN"/>
        </w:rPr>
      </w:pPr>
      <w:r>
        <w:rPr>
          <w:rFonts w:hint="eastAsia" w:ascii="微软雅黑" w:hAnsi="微软雅黑" w:eastAsia="微软雅黑" w:cs="微软雅黑"/>
          <w:sz w:val="28"/>
          <w:szCs w:val="28"/>
        </w:rPr>
        <w:t>日期：2002</w:t>
      </w:r>
      <w:r>
        <w:rPr>
          <w:rFonts w:hint="eastAsia" w:ascii="微软雅黑" w:hAnsi="微软雅黑" w:eastAsia="微软雅黑" w:cs="微软雅黑"/>
          <w:sz w:val="28"/>
          <w:szCs w:val="28"/>
          <w:lang w:val="en-US" w:eastAsia="zh-CN"/>
        </w:rPr>
        <w:t>4</w:t>
      </w:r>
      <w:r>
        <w:rPr>
          <w:rFonts w:hint="eastAsia" w:ascii="微软雅黑" w:hAnsi="微软雅黑" w:eastAsia="微软雅黑" w:cs="微软雅黑"/>
          <w:sz w:val="28"/>
          <w:szCs w:val="28"/>
        </w:rPr>
        <w:t>/</w:t>
      </w:r>
      <w:r>
        <w:rPr>
          <w:rFonts w:hint="eastAsia" w:ascii="微软雅黑" w:hAnsi="微软雅黑" w:eastAsia="微软雅黑" w:cs="微软雅黑"/>
          <w:sz w:val="28"/>
          <w:szCs w:val="28"/>
          <w:lang w:val="en-US" w:eastAsia="zh-CN"/>
        </w:rPr>
        <w:t>4</w:t>
      </w:r>
      <w:r>
        <w:rPr>
          <w:rFonts w:hint="eastAsia" w:ascii="微软雅黑" w:hAnsi="微软雅黑" w:eastAsia="微软雅黑" w:cs="微软雅黑"/>
          <w:sz w:val="28"/>
          <w:szCs w:val="28"/>
        </w:rPr>
        <w:t>/</w:t>
      </w:r>
      <w:r>
        <w:rPr>
          <w:rFonts w:hint="eastAsia" w:ascii="微软雅黑" w:hAnsi="微软雅黑" w:eastAsia="微软雅黑" w:cs="微软雅黑"/>
          <w:sz w:val="28"/>
          <w:szCs w:val="28"/>
          <w:lang w:val="en-US" w:eastAsia="zh-CN"/>
        </w:rPr>
        <w:t>24</w:t>
      </w:r>
    </w:p>
    <w:p>
      <w:pPr>
        <w:rPr>
          <w:rFonts w:hint="eastAsia" w:ascii="微软雅黑" w:hAnsi="微软雅黑" w:eastAsia="微软雅黑" w:cs="微软雅黑"/>
        </w:rPr>
      </w:pPr>
    </w:p>
    <w:p>
      <w:pPr>
        <w:rPr>
          <w:rFonts w:hint="eastAsia" w:ascii="微软雅黑" w:hAnsi="微软雅黑" w:eastAsia="微软雅黑" w:cs="微软雅黑"/>
        </w:rPr>
      </w:pPr>
    </w:p>
    <w:p>
      <w:pPr>
        <w:numPr>
          <w:ilvl w:val="0"/>
          <w:numId w:val="3"/>
        </w:numPr>
        <w:outlineLvl w:val="0"/>
        <w:rPr>
          <w:rFonts w:hint="eastAsia" w:ascii="微软雅黑" w:hAnsi="微软雅黑" w:eastAsia="微软雅黑" w:cs="微软雅黑"/>
        </w:rPr>
      </w:pPr>
      <w:bookmarkStart w:id="0" w:name="_Toc9556"/>
      <w:bookmarkStart w:id="1" w:name="_Toc14739"/>
      <w:r>
        <w:rPr>
          <w:rFonts w:hint="eastAsia" w:ascii="微软雅黑" w:hAnsi="微软雅黑" w:eastAsia="微软雅黑" w:cs="微软雅黑"/>
        </w:rPr>
        <w:t>记录</w:t>
      </w:r>
    </w:p>
    <w:p>
      <w:pPr>
        <w:outlineLvl w:val="1"/>
        <w:rPr>
          <w:rFonts w:hint="eastAsia" w:ascii="微软雅黑" w:hAnsi="微软雅黑" w:eastAsia="微软雅黑" w:cs="微软雅黑"/>
        </w:rPr>
      </w:pPr>
      <w:r>
        <w:rPr>
          <w:rFonts w:hint="eastAsia" w:ascii="微软雅黑" w:hAnsi="微软雅黑" w:eastAsia="微软雅黑" w:cs="微软雅黑"/>
        </w:rPr>
        <w:t>1.1 修订记录</w:t>
      </w:r>
    </w:p>
    <w:bookmarkEnd w:id="0"/>
    <w:bookmarkEnd w:id="1"/>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90"/>
        <w:gridCol w:w="2992"/>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dxa"/>
            <w:shd w:val="clear" w:color="auto" w:fill="BEBEBE" w:themeFill="background1" w:themeFillShade="BF"/>
          </w:tcPr>
          <w:p>
            <w:pPr>
              <w:rPr>
                <w:rFonts w:hint="eastAsia" w:ascii="微软雅黑" w:hAnsi="微软雅黑" w:eastAsia="微软雅黑" w:cs="微软雅黑"/>
              </w:rPr>
            </w:pPr>
            <w:r>
              <w:rPr>
                <w:rFonts w:hint="eastAsia" w:ascii="微软雅黑" w:hAnsi="微软雅黑" w:eastAsia="微软雅黑" w:cs="微软雅黑"/>
              </w:rPr>
              <w:t>日期</w:t>
            </w:r>
          </w:p>
        </w:tc>
        <w:tc>
          <w:tcPr>
            <w:tcW w:w="1590" w:type="dxa"/>
            <w:shd w:val="clear" w:color="auto" w:fill="BEBEBE" w:themeFill="background1" w:themeFillShade="BF"/>
          </w:tcPr>
          <w:p>
            <w:pPr>
              <w:rPr>
                <w:rFonts w:hint="eastAsia" w:ascii="微软雅黑" w:hAnsi="微软雅黑" w:eastAsia="微软雅黑" w:cs="微软雅黑"/>
              </w:rPr>
            </w:pPr>
            <w:r>
              <w:rPr>
                <w:rFonts w:hint="eastAsia" w:ascii="微软雅黑" w:hAnsi="微软雅黑" w:eastAsia="微软雅黑" w:cs="微软雅黑"/>
              </w:rPr>
              <w:t>修订版本</w:t>
            </w:r>
          </w:p>
        </w:tc>
        <w:tc>
          <w:tcPr>
            <w:tcW w:w="2992" w:type="dxa"/>
            <w:shd w:val="clear" w:color="auto" w:fill="BEBEBE" w:themeFill="background1" w:themeFillShade="BF"/>
          </w:tcPr>
          <w:p>
            <w:pPr>
              <w:rPr>
                <w:rFonts w:hint="eastAsia" w:ascii="微软雅黑" w:hAnsi="微软雅黑" w:eastAsia="微软雅黑" w:cs="微软雅黑"/>
              </w:rPr>
            </w:pPr>
            <w:r>
              <w:rPr>
                <w:rFonts w:hint="eastAsia" w:ascii="微软雅黑" w:hAnsi="微软雅黑" w:eastAsia="微软雅黑" w:cs="微软雅黑"/>
              </w:rPr>
              <w:t>修订描述</w:t>
            </w:r>
          </w:p>
        </w:tc>
        <w:tc>
          <w:tcPr>
            <w:tcW w:w="2131" w:type="dxa"/>
            <w:shd w:val="clear" w:color="auto" w:fill="BEBEBE" w:themeFill="background1" w:themeFillShade="BF"/>
          </w:tcPr>
          <w:p>
            <w:pPr>
              <w:rPr>
                <w:rFonts w:hint="eastAsia" w:ascii="微软雅黑" w:hAnsi="微软雅黑" w:eastAsia="微软雅黑" w:cs="微软雅黑"/>
              </w:rPr>
            </w:pPr>
            <w:r>
              <w:rPr>
                <w:rFonts w:hint="eastAsia" w:ascii="微软雅黑" w:hAnsi="微软雅黑" w:eastAsia="微软雅黑" w:cs="微软雅黑"/>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rPr>
                <w:rFonts w:hint="eastAsia" w:ascii="微软雅黑" w:hAnsi="微软雅黑" w:eastAsia="微软雅黑" w:cs="微软雅黑"/>
                <w:lang w:val="en-US" w:eastAsia="zh-CN"/>
              </w:rPr>
            </w:pPr>
            <w:r>
              <w:rPr>
                <w:rFonts w:hint="eastAsia" w:ascii="微软雅黑" w:hAnsi="微软雅黑" w:eastAsia="微软雅黑" w:cs="微软雅黑"/>
              </w:rPr>
              <w:t>202</w:t>
            </w:r>
            <w:r>
              <w:rPr>
                <w:rFonts w:hint="eastAsia" w:ascii="微软雅黑" w:hAnsi="微软雅黑" w:eastAsia="微软雅黑" w:cs="微软雅黑"/>
                <w:lang w:val="en-US" w:eastAsia="zh-CN"/>
              </w:rPr>
              <w:t>4-4-24</w:t>
            </w:r>
          </w:p>
        </w:tc>
        <w:tc>
          <w:tcPr>
            <w:tcW w:w="1590" w:type="dxa"/>
          </w:tcPr>
          <w:p>
            <w:pPr>
              <w:rPr>
                <w:rFonts w:hint="eastAsia" w:ascii="微软雅黑" w:hAnsi="微软雅黑" w:eastAsia="微软雅黑" w:cs="微软雅黑"/>
              </w:rPr>
            </w:pPr>
            <w:r>
              <w:rPr>
                <w:rFonts w:hint="eastAsia" w:ascii="微软雅黑" w:hAnsi="微软雅黑" w:eastAsia="微软雅黑" w:cs="微软雅黑"/>
              </w:rPr>
              <w:t>1.0</w:t>
            </w:r>
          </w:p>
        </w:tc>
        <w:tc>
          <w:tcPr>
            <w:tcW w:w="2992" w:type="dxa"/>
          </w:tcPr>
          <w:p>
            <w:pPr>
              <w:rPr>
                <w:rFonts w:hint="eastAsia" w:ascii="微软雅黑" w:hAnsi="微软雅黑" w:eastAsia="微软雅黑" w:cs="微软雅黑"/>
              </w:rPr>
            </w:pPr>
            <w:r>
              <w:rPr>
                <w:rFonts w:hint="eastAsia" w:ascii="微软雅黑" w:hAnsi="微软雅黑" w:eastAsia="微软雅黑" w:cs="微软雅黑"/>
              </w:rPr>
              <w:t>PRD文档初版编制</w:t>
            </w:r>
          </w:p>
        </w:tc>
        <w:tc>
          <w:tcPr>
            <w:tcW w:w="2131" w:type="dxa"/>
          </w:tcPr>
          <w:p>
            <w:pPr>
              <w:rPr>
                <w:rFonts w:hint="eastAsia" w:ascii="微软雅黑" w:hAnsi="微软雅黑" w:eastAsia="微软雅黑" w:cs="微软雅黑"/>
              </w:rPr>
            </w:pPr>
            <w:r>
              <w:rPr>
                <w:rFonts w:hint="eastAsia" w:ascii="微软雅黑" w:hAnsi="微软雅黑" w:eastAsia="微软雅黑" w:cs="微软雅黑"/>
              </w:rPr>
              <w:t>左昊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Align w:val="top"/>
          </w:tcPr>
          <w:p>
            <w:pPr>
              <w:rPr>
                <w:rFonts w:hint="eastAsia" w:ascii="微软雅黑" w:hAnsi="微软雅黑" w:eastAsia="微软雅黑" w:cs="微软雅黑"/>
                <w:kern w:val="2"/>
                <w:sz w:val="21"/>
                <w:szCs w:val="24"/>
                <w:lang w:val="en-US" w:eastAsia="zh-CN" w:bidi="ar-SA"/>
              </w:rPr>
            </w:pPr>
            <w:r>
              <w:rPr>
                <w:rFonts w:hint="eastAsia" w:ascii="微软雅黑" w:hAnsi="微软雅黑" w:eastAsia="微软雅黑" w:cs="微软雅黑"/>
              </w:rPr>
              <w:t>202</w:t>
            </w:r>
            <w:r>
              <w:rPr>
                <w:rFonts w:hint="eastAsia" w:ascii="微软雅黑" w:hAnsi="微软雅黑" w:eastAsia="微软雅黑" w:cs="微软雅黑"/>
                <w:lang w:val="en-US" w:eastAsia="zh-CN"/>
              </w:rPr>
              <w:t>4-7-8</w:t>
            </w:r>
          </w:p>
        </w:tc>
        <w:tc>
          <w:tcPr>
            <w:tcW w:w="1590" w:type="dxa"/>
            <w:vAlign w:val="top"/>
          </w:tcPr>
          <w:p>
            <w:pPr>
              <w:rPr>
                <w:rFonts w:hint="eastAsia" w:ascii="微软雅黑" w:hAnsi="微软雅黑" w:eastAsia="微软雅黑" w:cs="微软雅黑"/>
                <w:kern w:val="2"/>
                <w:sz w:val="21"/>
                <w:szCs w:val="24"/>
                <w:lang w:val="en-US" w:eastAsia="zh-CN" w:bidi="ar-SA"/>
              </w:rPr>
            </w:pPr>
            <w:r>
              <w:rPr>
                <w:rFonts w:hint="eastAsia" w:ascii="微软雅黑" w:hAnsi="微软雅黑" w:eastAsia="微软雅黑" w:cs="微软雅黑"/>
              </w:rPr>
              <w:t>1.</w:t>
            </w:r>
            <w:r>
              <w:rPr>
                <w:rFonts w:hint="eastAsia" w:ascii="微软雅黑" w:hAnsi="微软雅黑" w:eastAsia="微软雅黑" w:cs="微软雅黑"/>
                <w:lang w:val="en-US" w:eastAsia="zh-CN"/>
              </w:rPr>
              <w:t>1</w:t>
            </w:r>
          </w:p>
        </w:tc>
        <w:tc>
          <w:tcPr>
            <w:tcW w:w="2992" w:type="dxa"/>
            <w:vAlign w:val="top"/>
          </w:tcPr>
          <w:p>
            <w:pPr>
              <w:rPr>
                <w:rFonts w:hint="eastAsia" w:ascii="微软雅黑" w:hAnsi="微软雅黑" w:eastAsia="微软雅黑" w:cs="微软雅黑"/>
                <w:kern w:val="2"/>
                <w:sz w:val="21"/>
                <w:szCs w:val="24"/>
                <w:lang w:val="en-US" w:eastAsia="zh-CN" w:bidi="ar-SA"/>
              </w:rPr>
            </w:pPr>
            <w:r>
              <w:rPr>
                <w:rFonts w:hint="eastAsia" w:ascii="微软雅黑" w:hAnsi="微软雅黑" w:eastAsia="微软雅黑" w:cs="微软雅黑"/>
                <w:kern w:val="2"/>
                <w:sz w:val="21"/>
                <w:szCs w:val="24"/>
                <w:lang w:val="en-US" w:eastAsia="zh-CN" w:bidi="ar-SA"/>
              </w:rPr>
              <w:t>部分内容调整</w:t>
            </w:r>
          </w:p>
        </w:tc>
        <w:tc>
          <w:tcPr>
            <w:tcW w:w="2131" w:type="dxa"/>
            <w:vAlign w:val="top"/>
          </w:tcPr>
          <w:p>
            <w:pPr>
              <w:rPr>
                <w:rFonts w:hint="eastAsia" w:ascii="微软雅黑" w:hAnsi="微软雅黑" w:eastAsia="微软雅黑" w:cs="微软雅黑"/>
                <w:kern w:val="2"/>
                <w:sz w:val="21"/>
                <w:szCs w:val="24"/>
                <w:lang w:val="en-US" w:eastAsia="zh-CN" w:bidi="ar-SA"/>
              </w:rPr>
            </w:pPr>
            <w:r>
              <w:rPr>
                <w:rFonts w:hint="eastAsia" w:ascii="微软雅黑" w:hAnsi="微软雅黑" w:eastAsia="微软雅黑" w:cs="微软雅黑"/>
              </w:rPr>
              <w:t>左昊</w:t>
            </w:r>
          </w:p>
        </w:tc>
      </w:tr>
    </w:tbl>
    <w:p>
      <w:pPr>
        <w:rPr>
          <w:rFonts w:hint="eastAsia" w:ascii="微软雅黑" w:hAnsi="微软雅黑" w:eastAsia="微软雅黑" w:cs="微软雅黑"/>
        </w:rPr>
      </w:pPr>
    </w:p>
    <w:p>
      <w:pPr>
        <w:outlineLvl w:val="1"/>
        <w:rPr>
          <w:rFonts w:hint="eastAsia" w:ascii="微软雅黑" w:hAnsi="微软雅黑" w:eastAsia="微软雅黑" w:cs="微软雅黑"/>
        </w:rPr>
      </w:pPr>
      <w:r>
        <w:rPr>
          <w:rFonts w:hint="eastAsia" w:ascii="微软雅黑" w:hAnsi="微软雅黑" w:eastAsia="微软雅黑" w:cs="微软雅黑"/>
        </w:rPr>
        <w:t>1.2 业务评审表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462"/>
        <w:gridCol w:w="1545"/>
        <w:gridCol w:w="3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BEBEBE" w:themeFill="background1" w:themeFillShade="BF"/>
          </w:tcPr>
          <w:p>
            <w:pPr>
              <w:rPr>
                <w:rFonts w:hint="eastAsia" w:ascii="微软雅黑" w:hAnsi="微软雅黑" w:eastAsia="微软雅黑" w:cs="微软雅黑"/>
              </w:rPr>
            </w:pPr>
            <w:r>
              <w:rPr>
                <w:rFonts w:hint="eastAsia" w:ascii="微软雅黑" w:hAnsi="微软雅黑" w:eastAsia="微软雅黑" w:cs="微软雅黑"/>
              </w:rPr>
              <w:t>评审日期</w:t>
            </w:r>
          </w:p>
        </w:tc>
        <w:tc>
          <w:tcPr>
            <w:tcW w:w="1462" w:type="dxa"/>
            <w:shd w:val="clear" w:color="auto" w:fill="BEBEBE" w:themeFill="background1" w:themeFillShade="BF"/>
          </w:tcPr>
          <w:p>
            <w:pPr>
              <w:rPr>
                <w:rFonts w:hint="eastAsia" w:ascii="微软雅黑" w:hAnsi="微软雅黑" w:eastAsia="微软雅黑" w:cs="微软雅黑"/>
              </w:rPr>
            </w:pPr>
            <w:r>
              <w:rPr>
                <w:rFonts w:hint="eastAsia" w:ascii="微软雅黑" w:hAnsi="微软雅黑" w:eastAsia="微软雅黑" w:cs="微软雅黑"/>
              </w:rPr>
              <w:t>评审版本</w:t>
            </w:r>
          </w:p>
        </w:tc>
        <w:tc>
          <w:tcPr>
            <w:tcW w:w="1545" w:type="dxa"/>
            <w:shd w:val="clear" w:color="auto" w:fill="BEBEBE" w:themeFill="background1" w:themeFillShade="BF"/>
          </w:tcPr>
          <w:p>
            <w:pPr>
              <w:rPr>
                <w:rFonts w:hint="eastAsia" w:ascii="微软雅黑" w:hAnsi="微软雅黑" w:eastAsia="微软雅黑" w:cs="微软雅黑"/>
              </w:rPr>
            </w:pPr>
            <w:r>
              <w:rPr>
                <w:rFonts w:hint="eastAsia" w:ascii="微软雅黑" w:hAnsi="微软雅黑" w:eastAsia="微软雅黑" w:cs="微软雅黑"/>
              </w:rPr>
              <w:t>评审人</w:t>
            </w:r>
          </w:p>
        </w:tc>
        <w:tc>
          <w:tcPr>
            <w:tcW w:w="3706" w:type="dxa"/>
            <w:shd w:val="clear" w:color="auto" w:fill="BEBEBE" w:themeFill="background1" w:themeFillShade="BF"/>
          </w:tcPr>
          <w:p>
            <w:pPr>
              <w:rPr>
                <w:rFonts w:hint="eastAsia" w:ascii="微软雅黑" w:hAnsi="微软雅黑" w:eastAsia="微软雅黑" w:cs="微软雅黑"/>
              </w:rPr>
            </w:pPr>
            <w:r>
              <w:rPr>
                <w:rFonts w:hint="eastAsia" w:ascii="微软雅黑" w:hAnsi="微软雅黑" w:eastAsia="微软雅黑" w:cs="微软雅黑"/>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FFFFFF" w:themeFill="background1"/>
            <w:vAlign w:val="top"/>
          </w:tcPr>
          <w:p>
            <w:pPr>
              <w:rPr>
                <w:rFonts w:hint="eastAsia" w:ascii="微软雅黑" w:hAnsi="微软雅黑" w:eastAsia="微软雅黑" w:cs="微软雅黑"/>
                <w:kern w:val="2"/>
                <w:sz w:val="21"/>
                <w:szCs w:val="24"/>
                <w:lang w:val="en-US" w:eastAsia="zh-CN" w:bidi="ar-SA"/>
              </w:rPr>
            </w:pPr>
            <w:r>
              <w:rPr>
                <w:rFonts w:hint="eastAsia" w:ascii="微软雅黑" w:hAnsi="微软雅黑" w:eastAsia="微软雅黑" w:cs="微软雅黑"/>
              </w:rPr>
              <w:t>202</w:t>
            </w:r>
            <w:r>
              <w:rPr>
                <w:rFonts w:hint="eastAsia" w:ascii="微软雅黑" w:hAnsi="微软雅黑" w:eastAsia="微软雅黑" w:cs="微软雅黑"/>
                <w:lang w:val="en-US" w:eastAsia="zh-CN"/>
              </w:rPr>
              <w:t>4-7-8</w:t>
            </w:r>
          </w:p>
        </w:tc>
        <w:tc>
          <w:tcPr>
            <w:tcW w:w="1462" w:type="dxa"/>
            <w:shd w:val="clear" w:color="auto" w:fill="FFFFFF" w:themeFill="background1"/>
            <w:vAlign w:val="top"/>
          </w:tcPr>
          <w:p>
            <w:pPr>
              <w:rPr>
                <w:rFonts w:hint="eastAsia" w:ascii="微软雅黑" w:hAnsi="微软雅黑" w:eastAsia="微软雅黑" w:cs="微软雅黑"/>
                <w:kern w:val="2"/>
                <w:sz w:val="21"/>
                <w:szCs w:val="24"/>
                <w:lang w:val="en-US" w:eastAsia="zh-CN" w:bidi="ar-SA"/>
              </w:rPr>
            </w:pPr>
            <w:r>
              <w:rPr>
                <w:rFonts w:hint="eastAsia" w:ascii="微软雅黑" w:hAnsi="微软雅黑" w:eastAsia="微软雅黑" w:cs="微软雅黑"/>
              </w:rPr>
              <w:t>1.0</w:t>
            </w:r>
          </w:p>
        </w:tc>
        <w:tc>
          <w:tcPr>
            <w:tcW w:w="1545" w:type="dxa"/>
            <w:shd w:val="clear" w:color="auto" w:fill="FFFFFF" w:themeFill="background1"/>
            <w:vAlign w:val="top"/>
          </w:tcPr>
          <w:p>
            <w:pPr>
              <w:rPr>
                <w:rFonts w:hint="eastAsia" w:ascii="微软雅黑" w:hAnsi="微软雅黑" w:eastAsia="微软雅黑" w:cs="微软雅黑"/>
                <w:kern w:val="2"/>
                <w:sz w:val="21"/>
                <w:szCs w:val="24"/>
                <w:lang w:val="en-US" w:eastAsia="zh-CN" w:bidi="ar-SA"/>
              </w:rPr>
            </w:pPr>
            <w:r>
              <w:rPr>
                <w:rFonts w:hint="eastAsia" w:ascii="微软雅黑" w:hAnsi="微软雅黑" w:eastAsia="微软雅黑" w:cs="微软雅黑"/>
                <w:kern w:val="2"/>
                <w:sz w:val="21"/>
                <w:szCs w:val="24"/>
                <w:lang w:val="en-US" w:eastAsia="zh-CN" w:bidi="ar-SA"/>
              </w:rPr>
              <w:t>技术研发团队</w:t>
            </w:r>
          </w:p>
        </w:tc>
        <w:tc>
          <w:tcPr>
            <w:tcW w:w="3706" w:type="dxa"/>
            <w:shd w:val="clear" w:color="auto" w:fill="FFFFFF" w:themeFill="background1"/>
            <w:vAlign w:val="top"/>
          </w:tcPr>
          <w:p>
            <w:pPr>
              <w:rPr>
                <w:rFonts w:hint="eastAsia" w:ascii="微软雅黑" w:hAnsi="微软雅黑" w:eastAsia="微软雅黑" w:cs="微软雅黑"/>
                <w:kern w:val="2"/>
                <w:sz w:val="21"/>
                <w:szCs w:val="24"/>
                <w:lang w:val="en-US" w:eastAsia="zh-CN" w:bidi="ar-SA"/>
              </w:rPr>
            </w:pPr>
            <w:r>
              <w:rPr>
                <w:rFonts w:hint="eastAsia" w:ascii="微软雅黑" w:hAnsi="微软雅黑" w:eastAsia="微软雅黑" w:cs="微软雅黑"/>
                <w:kern w:val="2"/>
                <w:sz w:val="21"/>
                <w:szCs w:val="24"/>
                <w:lang w:val="en-US" w:eastAsia="zh-CN" w:bidi="ar-SA"/>
              </w:rPr>
              <w:t>通过</w:t>
            </w:r>
          </w:p>
        </w:tc>
      </w:tr>
    </w:tbl>
    <w:p>
      <w:pPr>
        <w:rPr>
          <w:rFonts w:hint="eastAsia" w:ascii="微软雅黑" w:hAnsi="微软雅黑" w:eastAsia="微软雅黑" w:cs="微软雅黑"/>
        </w:rPr>
      </w:pPr>
    </w:p>
    <w:p>
      <w:pPr>
        <w:rPr>
          <w:rFonts w:hint="eastAsia" w:ascii="微软雅黑" w:hAnsi="微软雅黑" w:eastAsia="微软雅黑" w:cs="微软雅黑"/>
        </w:rPr>
      </w:pPr>
    </w:p>
    <w:p>
      <w:pPr>
        <w:numPr>
          <w:ilvl w:val="0"/>
          <w:numId w:val="3"/>
        </w:numPr>
        <w:outlineLvl w:val="0"/>
        <w:rPr>
          <w:rFonts w:hint="eastAsia" w:ascii="微软雅黑" w:hAnsi="微软雅黑" w:eastAsia="微软雅黑" w:cs="微软雅黑"/>
        </w:rPr>
      </w:pPr>
      <w:bookmarkStart w:id="2" w:name="_Toc8921"/>
      <w:bookmarkStart w:id="3" w:name="_Toc550"/>
      <w:r>
        <w:rPr>
          <w:rFonts w:hint="eastAsia" w:ascii="微软雅黑" w:hAnsi="微软雅黑" w:eastAsia="微软雅黑" w:cs="微软雅黑"/>
        </w:rPr>
        <w:t>需求背景与目</w:t>
      </w:r>
      <w:bookmarkEnd w:id="2"/>
      <w:bookmarkEnd w:id="3"/>
      <w:r>
        <w:rPr>
          <w:rFonts w:hint="eastAsia" w:ascii="微软雅黑" w:hAnsi="微软雅黑" w:eastAsia="微软雅黑" w:cs="微软雅黑"/>
        </w:rPr>
        <w:t>标</w:t>
      </w:r>
    </w:p>
    <w:p>
      <w:pPr>
        <w:outlineLvl w:val="1"/>
        <w:rPr>
          <w:rFonts w:hint="eastAsia" w:ascii="微软雅黑" w:hAnsi="微软雅黑" w:eastAsia="微软雅黑" w:cs="微软雅黑"/>
        </w:rPr>
      </w:pPr>
      <w:r>
        <w:rPr>
          <w:rFonts w:hint="eastAsia" w:ascii="微软雅黑" w:hAnsi="微软雅黑" w:eastAsia="微软雅黑" w:cs="微软雅黑"/>
        </w:rPr>
        <w:t>2.1 需求背景</w:t>
      </w:r>
    </w:p>
    <w:p>
      <w:pPr>
        <w:rPr>
          <w:rFonts w:hint="eastAsia" w:ascii="微软雅黑" w:hAnsi="微软雅黑" w:eastAsia="微软雅黑" w:cs="微软雅黑"/>
          <w:color w:val="000000"/>
          <w:szCs w:val="21"/>
          <w:shd w:val="clear" w:color="auto" w:fill="FFFFFF"/>
          <w:lang w:val="en-US" w:eastAsia="zh-CN"/>
        </w:rPr>
      </w:pPr>
      <w:r>
        <w:rPr>
          <w:rFonts w:hint="eastAsia" w:ascii="微软雅黑" w:hAnsi="微软雅黑" w:eastAsia="微软雅黑" w:cs="微软雅黑"/>
          <w:color w:val="000000"/>
          <w:szCs w:val="21"/>
          <w:shd w:val="clear" w:color="auto" w:fill="FFFFFF"/>
          <w:lang w:val="en-US" w:eastAsia="zh-CN"/>
        </w:rPr>
        <w:t>24年4月常规薪酬优化项整理与优化。</w:t>
      </w:r>
    </w:p>
    <w:p>
      <w:pPr>
        <w:rPr>
          <w:rFonts w:hint="eastAsia" w:ascii="微软雅黑" w:hAnsi="微软雅黑" w:eastAsia="微软雅黑" w:cs="微软雅黑"/>
          <w:color w:val="000000"/>
          <w:szCs w:val="21"/>
          <w:shd w:val="clear" w:color="auto" w:fill="FFFFFF"/>
        </w:rPr>
      </w:pPr>
    </w:p>
    <w:p>
      <w:pPr>
        <w:outlineLvl w:val="1"/>
        <w:rPr>
          <w:rFonts w:hint="eastAsia" w:ascii="微软雅黑" w:hAnsi="微软雅黑" w:eastAsia="微软雅黑" w:cs="微软雅黑"/>
        </w:rPr>
      </w:pPr>
      <w:r>
        <w:rPr>
          <w:rFonts w:hint="eastAsia" w:ascii="微软雅黑" w:hAnsi="微软雅黑" w:eastAsia="微软雅黑" w:cs="微软雅黑"/>
        </w:rPr>
        <w:t>2.2 业务目标</w:t>
      </w:r>
    </w:p>
    <w:p>
      <w:pPr>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略</w:t>
      </w:r>
    </w:p>
    <w:p>
      <w:pPr>
        <w:outlineLvl w:val="9"/>
        <w:rPr>
          <w:rFonts w:hint="eastAsia" w:ascii="微软雅黑" w:hAnsi="微软雅黑" w:eastAsia="微软雅黑" w:cs="微软雅黑"/>
        </w:rPr>
      </w:pPr>
    </w:p>
    <w:p>
      <w:pPr>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3、通用模块调整</w:t>
      </w:r>
    </w:p>
    <w:p>
      <w:pPr>
        <w:outlineLvl w:val="1"/>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3.1 导出</w:t>
      </w:r>
    </w:p>
    <w:p>
      <w:pPr>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3.1.1 问题描述</w:t>
      </w:r>
    </w:p>
    <w:p>
      <w:pPr>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1）当前薪酬涉及导出的功能模块较多，但只能基于当前表单所有列一次性导出，业务侧反馈字段导出不灵活，用户需要部分导出且字段有字段排序的要求。</w:t>
      </w:r>
    </w:p>
    <w:p>
      <w:pPr>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导出报表只会根据特定表单列和匹配方式生成姓名、工号等部分用于匹配员工的信息，但无法满足实际情况的需求，业务侧在导出模板后需要重新核对模板数据，无法简单通过匹配方式的信息核对，例如选择匹配方式为“姓名”+“UserID”，用户有效信息只有姓名，但遭遇重名时就无法维护模板信息了。</w:t>
      </w:r>
    </w:p>
    <w:p>
      <w:pPr>
        <w:outlineLvl w:val="9"/>
        <w:rPr>
          <w:rFonts w:hint="eastAsia" w:ascii="微软雅黑" w:hAnsi="微软雅黑" w:eastAsia="微软雅黑" w:cs="微软雅黑"/>
          <w:lang w:val="en-US" w:eastAsia="zh-CN"/>
        </w:rPr>
      </w:pPr>
    </w:p>
    <w:p>
      <w:pPr>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3.1.2 优化策略</w:t>
      </w:r>
    </w:p>
    <w:p>
      <w:pPr>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参照钉钉和规划智能社保的思路，导出允许根据当前表单或选择字段导出，并将姓名、工号、身份证号、UserID作为导出系统项始终存在。</w:t>
      </w:r>
    </w:p>
    <w:p>
      <w:pPr>
        <w:outlineLvl w:val="9"/>
        <w:rPr>
          <w:rFonts w:hint="eastAsia" w:ascii="微软雅黑" w:hAnsi="微软雅黑" w:eastAsia="微软雅黑" w:cs="微软雅黑"/>
          <w:lang w:val="en-US" w:eastAsia="zh-CN"/>
        </w:rPr>
      </w:pPr>
    </w:p>
    <w:p>
      <w:pPr>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3.1.3 方案说明</w:t>
      </w:r>
    </w:p>
    <w:p>
      <w:pPr>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3.1.3.1 涉及导出的模块与路径</w:t>
      </w:r>
    </w:p>
    <w:p>
      <w:pPr>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838700" cy="564832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838700" cy="5648325"/>
                    </a:xfrm>
                    <a:prstGeom prst="rect">
                      <a:avLst/>
                    </a:prstGeom>
                    <a:noFill/>
                    <a:ln w="9525">
                      <a:noFill/>
                    </a:ln>
                  </pic:spPr>
                </pic:pic>
              </a:graphicData>
            </a:graphic>
          </wp:inline>
        </w:drawing>
      </w:r>
    </w:p>
    <w:p>
      <w:pPr>
        <w:outlineLvl w:val="9"/>
        <w:rPr>
          <w:rFonts w:hint="eastAsia" w:ascii="微软雅黑" w:hAnsi="微软雅黑" w:eastAsia="微软雅黑" w:cs="微软雅黑"/>
        </w:rPr>
      </w:pPr>
    </w:p>
    <w:p>
      <w:pPr>
        <w:outlineLvl w:val="9"/>
        <w:rPr>
          <w:rFonts w:hint="eastAsia" w:ascii="微软雅黑" w:hAnsi="微软雅黑" w:eastAsia="微软雅黑" w:cs="微软雅黑"/>
          <w:lang w:val="en-US" w:eastAsia="zh-CN"/>
        </w:rPr>
      </w:pPr>
    </w:p>
    <w:p>
      <w:pPr>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3.1.3.2 导出优化方案明细</w:t>
      </w:r>
    </w:p>
    <w:p>
      <w:pPr>
        <w:widowControl w:val="0"/>
        <w:numPr>
          <w:ilvl w:val="0"/>
          <w:numId w:val="0"/>
        </w:numPr>
        <w:bidi w:val="0"/>
        <w:ind w:leftChars="0"/>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根据用户权限配置，若相关模块允许导出则显示按钮，下图以【薪酬计算_薪资组_核算薪资_更多操作_导出明细】为例：</w:t>
      </w:r>
    </w:p>
    <w:p>
      <w:pPr>
        <w:widowControl w:val="0"/>
        <w:numPr>
          <w:ilvl w:val="0"/>
          <w:numId w:val="0"/>
        </w:numPr>
        <w:bidi w:val="0"/>
        <w:ind w:leftChars="0"/>
        <w:jc w:val="both"/>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675" cy="4986020"/>
            <wp:effectExtent l="0" t="0" r="3175"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5273675" cy="4986020"/>
                    </a:xfrm>
                    <a:prstGeom prst="rect">
                      <a:avLst/>
                    </a:prstGeom>
                    <a:noFill/>
                    <a:ln>
                      <a:noFill/>
                    </a:ln>
                  </pic:spPr>
                </pic:pic>
              </a:graphicData>
            </a:graphic>
          </wp:inline>
        </w:drawing>
      </w:r>
    </w:p>
    <w:p>
      <w:pPr>
        <w:widowControl w:val="0"/>
        <w:numPr>
          <w:ilvl w:val="0"/>
          <w:numId w:val="0"/>
        </w:numPr>
        <w:bidi w:val="0"/>
        <w:jc w:val="both"/>
        <w:outlineLvl w:val="9"/>
        <w:rPr>
          <w:rFonts w:hint="eastAsia" w:ascii="微软雅黑" w:hAnsi="微软雅黑" w:eastAsia="微软雅黑" w:cs="微软雅黑"/>
        </w:rPr>
      </w:pPr>
      <w:r>
        <w:rPr>
          <w:rFonts w:hint="eastAsia" w:ascii="微软雅黑" w:hAnsi="微软雅黑" w:eastAsia="微软雅黑" w:cs="微软雅黑"/>
          <w:lang w:val="en-US" w:eastAsia="zh-CN"/>
        </w:rPr>
        <w:t>说明：点击【导出明细】按钮触发侧边栏【选择导出字段】。</w:t>
      </w: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7"/>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字段</w:t>
            </w:r>
          </w:p>
        </w:tc>
        <w:tc>
          <w:tcPr>
            <w:tcW w:w="6643"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侧边栏</w:t>
            </w:r>
          </w:p>
        </w:tc>
        <w:tc>
          <w:tcPr>
            <w:tcW w:w="6643" w:type="dxa"/>
          </w:tcPr>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宽高固定，当内容过多时，允许显示滚动条展示更多内容。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已选择字段</w:t>
            </w:r>
          </w:p>
        </w:tc>
        <w:tc>
          <w:tcPr>
            <w:tcW w:w="6643" w:type="dxa"/>
          </w:tcPr>
          <w:p>
            <w:pPr>
              <w:numPr>
                <w:ilvl w:val="0"/>
                <w:numId w:val="4"/>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显示对应的选定导出的字段，其中灰度姓名为必选系统字段（不可取消勾选也不显示X），白底字段允许通过取消勾选或点击X来移除导出字段，且所有字段均可拖动调整排序。</w:t>
            </w:r>
          </w:p>
          <w:p>
            <w:pPr>
              <w:numPr>
                <w:ilvl w:val="0"/>
                <w:numId w:val="4"/>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自适应字段的长宽，但最多显示7个汉字，当字段文本过长时显示...  当鼠标经过时显示完整的名称，如下：</w:t>
            </w:r>
          </w:p>
          <w:p>
            <w:pPr>
              <w:numPr>
                <w:ilvl w:val="0"/>
                <w:numId w:val="0"/>
              </w:numPr>
              <w:tabs>
                <w:tab w:val="left" w:pos="913"/>
              </w:tabs>
              <w:rPr>
                <w:rFonts w:hint="eastAsia" w:ascii="微软雅黑" w:hAnsi="微软雅黑" w:eastAsia="微软雅黑" w:cs="微软雅黑"/>
                <w:sz w:val="18"/>
                <w:szCs w:val="18"/>
              </w:rPr>
            </w:pPr>
            <w:r>
              <w:rPr>
                <w:rFonts w:hint="eastAsia" w:ascii="微软雅黑" w:hAnsi="微软雅黑" w:eastAsia="微软雅黑" w:cs="微软雅黑"/>
              </w:rPr>
              <w:drawing>
                <wp:inline distT="0" distB="0" distL="114300" distR="114300">
                  <wp:extent cx="1133475" cy="609600"/>
                  <wp:effectExtent l="0" t="0" r="952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
                          <a:stretch>
                            <a:fillRect/>
                          </a:stretch>
                        </pic:blipFill>
                        <pic:spPr>
                          <a:xfrm>
                            <a:off x="0" y="0"/>
                            <a:ext cx="1133475" cy="609600"/>
                          </a:xfrm>
                          <a:prstGeom prst="rect">
                            <a:avLst/>
                          </a:prstGeom>
                          <a:noFill/>
                          <a:ln>
                            <a:noFill/>
                          </a:ln>
                        </pic:spPr>
                      </pic:pic>
                    </a:graphicData>
                  </a:graphic>
                </wp:inline>
              </w:drawing>
            </w:r>
          </w:p>
          <w:p>
            <w:pPr>
              <w:numPr>
                <w:ilvl w:val="0"/>
                <w:numId w:val="4"/>
              </w:numPr>
              <w:tabs>
                <w:tab w:val="left" w:pos="913"/>
              </w:tabs>
              <w:ind w:left="0" w:leftChars="0" w:firstLine="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当字段过多一行无法显示全部时则换行显示。换行会影响【已选择字段】模块的展示高度。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请选择字段</w:t>
            </w:r>
          </w:p>
        </w:tc>
        <w:tc>
          <w:tcPr>
            <w:tcW w:w="6643" w:type="dxa"/>
          </w:tcPr>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可选字段来源为当前表单的所有列：</w:t>
            </w:r>
          </w:p>
          <w:p>
            <w:pPr>
              <w:numPr>
                <w:ilvl w:val="0"/>
                <w:numId w:val="5"/>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默认勾选当前表单的全部字段</w:t>
            </w:r>
          </w:p>
          <w:p>
            <w:pPr>
              <w:numPr>
                <w:ilvl w:val="0"/>
                <w:numId w:val="5"/>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分组：若当前表单的字段存在表头分组，则显示分组，例如薪资项在创建时置于具体的分组下，则该模块则显示分组；若部分字段不在分组下，则聚拢显示在所有分组的最上方，例如：</w:t>
            </w:r>
          </w:p>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rPr>
              <w:drawing>
                <wp:inline distT="0" distB="0" distL="114300" distR="114300">
                  <wp:extent cx="3011805" cy="1322070"/>
                  <wp:effectExtent l="0" t="0" r="17145" b="1143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9"/>
                          <a:stretch>
                            <a:fillRect/>
                          </a:stretch>
                        </pic:blipFill>
                        <pic:spPr>
                          <a:xfrm>
                            <a:off x="0" y="0"/>
                            <a:ext cx="3011805" cy="1322070"/>
                          </a:xfrm>
                          <a:prstGeom prst="rect">
                            <a:avLst/>
                          </a:prstGeom>
                          <a:noFill/>
                          <a:ln>
                            <a:noFill/>
                          </a:ln>
                        </pic:spPr>
                      </pic:pic>
                    </a:graphicData>
                  </a:graphic>
                </wp:inline>
              </w:drawing>
            </w:r>
          </w:p>
          <w:p>
            <w:pPr>
              <w:numPr>
                <w:ilvl w:val="0"/>
                <w:numId w:val="5"/>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勾选/取消勾选：允许勾选/取消勾选字段加入或移除【已选择字段】</w:t>
            </w:r>
          </w:p>
          <w:p>
            <w:pPr>
              <w:numPr>
                <w:ilvl w:val="0"/>
                <w:numId w:val="4"/>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固定多选字段的长宽，当字段文本过长时显示...  当鼠标经过时显示完整的名称，如下图所示：</w:t>
            </w:r>
          </w:p>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rPr>
              <w:drawing>
                <wp:inline distT="0" distB="0" distL="114300" distR="114300">
                  <wp:extent cx="1000125" cy="514350"/>
                  <wp:effectExtent l="0" t="0" r="9525"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0"/>
                          <a:stretch>
                            <a:fillRect/>
                          </a:stretch>
                        </pic:blipFill>
                        <pic:spPr>
                          <a:xfrm>
                            <a:off x="0" y="0"/>
                            <a:ext cx="1000125" cy="5143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重置按钮</w:t>
            </w:r>
          </w:p>
        </w:tc>
        <w:tc>
          <w:tcPr>
            <w:tcW w:w="6643" w:type="dxa"/>
          </w:tcPr>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点击按钮则恢复默认的导出字段（即全选）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我选好了按钮</w:t>
            </w:r>
          </w:p>
        </w:tc>
        <w:tc>
          <w:tcPr>
            <w:tcW w:w="6643" w:type="dxa"/>
          </w:tcPr>
          <w:p>
            <w:pPr>
              <w:numPr>
                <w:ilvl w:val="0"/>
                <w:numId w:val="6"/>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点击按钮则触发校验，如下图所示（请开发人员联系人事索要接口）</w:t>
            </w:r>
          </w:p>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rPr>
              <w:drawing>
                <wp:inline distT="0" distB="0" distL="114300" distR="114300">
                  <wp:extent cx="4300855" cy="1558925"/>
                  <wp:effectExtent l="0" t="0" r="4445" b="317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1"/>
                          <a:stretch>
                            <a:fillRect/>
                          </a:stretch>
                        </pic:blipFill>
                        <pic:spPr>
                          <a:xfrm>
                            <a:off x="0" y="0"/>
                            <a:ext cx="4300855" cy="1558925"/>
                          </a:xfrm>
                          <a:prstGeom prst="rect">
                            <a:avLst/>
                          </a:prstGeom>
                          <a:noFill/>
                          <a:ln>
                            <a:noFill/>
                          </a:ln>
                        </pic:spPr>
                      </pic:pic>
                    </a:graphicData>
                  </a:graphic>
                </wp:inline>
              </w:drawing>
            </w:r>
          </w:p>
          <w:p>
            <w:pPr>
              <w:numPr>
                <w:ilvl w:val="0"/>
                <w:numId w:val="6"/>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校验完成则根据选定的字段生成下载链接并触发文件下载器指定目录下载。默认下载文件名称根据模块路径表单的名称自动生成。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X按钮</w:t>
            </w:r>
          </w:p>
        </w:tc>
        <w:tc>
          <w:tcPr>
            <w:tcW w:w="6643" w:type="dxa"/>
          </w:tcPr>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点击按钮关闭侧边栏。</w:t>
            </w:r>
          </w:p>
        </w:tc>
      </w:tr>
    </w:tbl>
    <w:p>
      <w:pPr>
        <w:outlineLvl w:val="9"/>
        <w:rPr>
          <w:rFonts w:hint="eastAsia" w:ascii="微软雅黑" w:hAnsi="微软雅黑" w:eastAsia="微软雅黑" w:cs="微软雅黑"/>
        </w:rPr>
      </w:pPr>
    </w:p>
    <w:p>
      <w:pPr>
        <w:outlineLvl w:val="9"/>
        <w:rPr>
          <w:rFonts w:hint="eastAsia" w:ascii="微软雅黑" w:hAnsi="微软雅黑" w:eastAsia="微软雅黑" w:cs="微软雅黑"/>
          <w:lang w:val="en-US" w:eastAsia="zh-CN"/>
        </w:rPr>
      </w:pPr>
    </w:p>
    <w:p>
      <w:pPr>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3.1.3.4 导出表单单元格要求</w:t>
      </w:r>
    </w:p>
    <w:p>
      <w:pPr>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问题描述：</w:t>
      </w:r>
    </w:p>
    <w:p>
      <w:pPr>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当前部分表单导出时，所有字段默认为“文本”，导致业务侧需要通过单元格内的字段进行函数运算时出错，如下图所示。</w:t>
      </w:r>
    </w:p>
    <w:p>
      <w:pPr>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352800" cy="3368675"/>
            <wp:effectExtent l="0" t="0" r="0" b="317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2"/>
                    <a:stretch>
                      <a:fillRect/>
                    </a:stretch>
                  </pic:blipFill>
                  <pic:spPr>
                    <a:xfrm>
                      <a:off x="0" y="0"/>
                      <a:ext cx="3352800" cy="3368675"/>
                    </a:xfrm>
                    <a:prstGeom prst="rect">
                      <a:avLst/>
                    </a:prstGeom>
                    <a:noFill/>
                    <a:ln>
                      <a:noFill/>
                    </a:ln>
                  </pic:spPr>
                </pic:pic>
              </a:graphicData>
            </a:graphic>
          </wp:inline>
        </w:drawing>
      </w:r>
    </w:p>
    <w:p>
      <w:pPr>
        <w:outlineLvl w:val="9"/>
        <w:rPr>
          <w:rFonts w:hint="eastAsia" w:ascii="微软雅黑" w:hAnsi="微软雅黑" w:eastAsia="微软雅黑" w:cs="微软雅黑"/>
        </w:rPr>
      </w:pPr>
    </w:p>
    <w:p>
      <w:pPr>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本期优化方案：导出的列在生成表单时所有的单元格均默认为常规属性，如下图所示：</w:t>
      </w:r>
    </w:p>
    <w:p>
      <w:pPr>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790950" cy="2409825"/>
            <wp:effectExtent l="0" t="0" r="0" b="952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3"/>
                    <a:stretch>
                      <a:fillRect/>
                    </a:stretch>
                  </pic:blipFill>
                  <pic:spPr>
                    <a:xfrm>
                      <a:off x="0" y="0"/>
                      <a:ext cx="3790950" cy="2409825"/>
                    </a:xfrm>
                    <a:prstGeom prst="rect">
                      <a:avLst/>
                    </a:prstGeom>
                    <a:noFill/>
                    <a:ln>
                      <a:noFill/>
                    </a:ln>
                  </pic:spPr>
                </pic:pic>
              </a:graphicData>
            </a:graphic>
          </wp:inline>
        </w:drawing>
      </w:r>
    </w:p>
    <w:p>
      <w:pPr>
        <w:outlineLvl w:val="9"/>
        <w:rPr>
          <w:rFonts w:hint="eastAsia" w:ascii="微软雅黑" w:hAnsi="微软雅黑" w:eastAsia="微软雅黑" w:cs="微软雅黑"/>
        </w:rPr>
      </w:pPr>
    </w:p>
    <w:p>
      <w:pPr>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3.1.3.5 导出显示默认的系统项</w:t>
      </w:r>
    </w:p>
    <w:p>
      <w:pPr>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各类报表涉及模板导出时，将姓名、身份证号、工号、UserID、在所有模板中作为固定的可选字段，即使当前表单不存在上述的列也显示，默认选中，与【姓名】不同的是它们允许取消勾选。</w:t>
      </w:r>
    </w:p>
    <w:p>
      <w:pPr>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352925" cy="1000125"/>
            <wp:effectExtent l="0" t="0" r="9525" b="952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4"/>
                    <a:stretch>
                      <a:fillRect/>
                    </a:stretch>
                  </pic:blipFill>
                  <pic:spPr>
                    <a:xfrm>
                      <a:off x="0" y="0"/>
                      <a:ext cx="4352925" cy="1000125"/>
                    </a:xfrm>
                    <a:prstGeom prst="rect">
                      <a:avLst/>
                    </a:prstGeom>
                    <a:noFill/>
                    <a:ln>
                      <a:noFill/>
                    </a:ln>
                  </pic:spPr>
                </pic:pic>
              </a:graphicData>
            </a:graphic>
          </wp:inline>
        </w:drawing>
      </w:r>
    </w:p>
    <w:p>
      <w:pPr>
        <w:outlineLvl w:val="9"/>
        <w:rPr>
          <w:rFonts w:hint="eastAsia" w:ascii="微软雅黑" w:hAnsi="微软雅黑" w:eastAsia="微软雅黑" w:cs="微软雅黑"/>
          <w:lang w:val="en-US" w:eastAsia="zh-CN"/>
        </w:rPr>
      </w:pPr>
    </w:p>
    <w:p>
      <w:pPr>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w:t>
      </w:r>
    </w:p>
    <w:p>
      <w:pPr>
        <w:numPr>
          <w:ilvl w:val="0"/>
          <w:numId w:val="7"/>
        </w:numPr>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下图所示路径的【模板】已经将该4项纳入系统项，如下图所示，本期无需调整：</w:t>
      </w:r>
    </w:p>
    <w:p>
      <w:pPr>
        <w:numPr>
          <w:ilvl w:val="0"/>
          <w:numId w:val="0"/>
        </w:numPr>
        <w:outlineLvl w:val="9"/>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4233545" cy="2192020"/>
            <wp:effectExtent l="0" t="0" r="14605" b="1778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5"/>
                    <a:stretch>
                      <a:fillRect/>
                    </a:stretch>
                  </pic:blipFill>
                  <pic:spPr>
                    <a:xfrm>
                      <a:off x="0" y="0"/>
                      <a:ext cx="4233545" cy="2192020"/>
                    </a:xfrm>
                    <a:prstGeom prst="rect">
                      <a:avLst/>
                    </a:prstGeom>
                    <a:noFill/>
                    <a:ln>
                      <a:noFill/>
                    </a:ln>
                  </pic:spPr>
                </pic:pic>
              </a:graphicData>
            </a:graphic>
          </wp:inline>
        </w:drawing>
      </w:r>
    </w:p>
    <w:p>
      <w:pPr>
        <w:numPr>
          <w:ilvl w:val="0"/>
          <w:numId w:val="0"/>
        </w:numPr>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本期仅针对3.1.3.1中的【导出】需要产生【导出侧边栏】的可字段做优化。</w:t>
      </w:r>
    </w:p>
    <w:p>
      <w:pPr>
        <w:outlineLvl w:val="9"/>
        <w:rPr>
          <w:rFonts w:hint="eastAsia" w:ascii="微软雅黑" w:hAnsi="微软雅黑" w:eastAsia="微软雅黑" w:cs="微软雅黑"/>
          <w:lang w:val="en-US" w:eastAsia="zh-CN"/>
        </w:rPr>
      </w:pPr>
    </w:p>
    <w:p>
      <w:pPr>
        <w:outlineLvl w:val="1"/>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3.2 人员选择器优化</w:t>
      </w:r>
    </w:p>
    <w:p>
      <w:pPr>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3.2.1 问题描述</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目前只支持2个月内离职人员搜索，导致实际业务过程中需要搜索更久远的离职人员时搜索不到，该问题不局限在薪酬，在其他应用同样存在类似问题。</w:t>
      </w:r>
    </w:p>
    <w:p>
      <w:pPr>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3.2.2 方案说明</w:t>
      </w:r>
    </w:p>
    <w:p>
      <w:pPr>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4428490" cy="3242945"/>
            <wp:effectExtent l="0" t="0" r="10160" b="1460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6"/>
                    <a:stretch>
                      <a:fillRect/>
                    </a:stretch>
                  </pic:blipFill>
                  <pic:spPr>
                    <a:xfrm>
                      <a:off x="0" y="0"/>
                      <a:ext cx="4428490" cy="3242945"/>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1）已离职人员：支持所有离职人员的查询，不限制离职日期的时间范围</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2）原架构下：支持半年的离职人员的查询</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3）搜索器：支持所有离职人员的查询，不限制离职日期的时间范围，且当离职人员超过半年导致原架构下人员不显示，则不显示【去部门】的按钮，如下图所示：</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028950" cy="1181100"/>
            <wp:effectExtent l="9525" t="9525" r="9525" b="952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7"/>
                    <a:stretch>
                      <a:fillRect/>
                    </a:stretch>
                  </pic:blipFill>
                  <pic:spPr>
                    <a:xfrm>
                      <a:off x="0" y="0"/>
                      <a:ext cx="3028950" cy="1181100"/>
                    </a:xfrm>
                    <a:prstGeom prst="rect">
                      <a:avLst/>
                    </a:prstGeom>
                    <a:noFill/>
                    <a:ln>
                      <a:solidFill>
                        <a:schemeClr val="bg1">
                          <a:lumMod val="85000"/>
                        </a:schemeClr>
                      </a:solidFill>
                    </a:ln>
                  </pic:spPr>
                </pic:pic>
              </a:graphicData>
            </a:graphic>
          </wp:inline>
        </w:drawing>
      </w:r>
    </w:p>
    <w:p>
      <w:pPr>
        <w:rPr>
          <w:rFonts w:hint="eastAsia" w:ascii="微软雅黑" w:hAnsi="微软雅黑" w:eastAsia="微软雅黑" w:cs="微软雅黑"/>
          <w:lang w:val="en-US" w:eastAsia="zh-CN"/>
        </w:rPr>
      </w:pPr>
    </w:p>
    <w:p>
      <w:pPr>
        <w:outlineLvl w:val="1"/>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3.3 薪资组列表优化</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说明：创建薪资组时新创建的薪资组为倒叙，应调整为正序。</w:t>
      </w:r>
    </w:p>
    <w:p>
      <w:pPr>
        <w:rPr>
          <w:rFonts w:hint="eastAsia" w:ascii="微软雅黑" w:hAnsi="微软雅黑" w:eastAsia="微软雅黑" w:cs="微软雅黑"/>
          <w:lang w:val="en-US" w:eastAsia="zh-CN"/>
        </w:rPr>
      </w:pPr>
    </w:p>
    <w:p>
      <w:pPr>
        <w:numPr>
          <w:ilvl w:val="0"/>
          <w:numId w:val="0"/>
        </w:numPr>
        <w:ind w:leftChars="0"/>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4、薪资组设置界面</w:t>
      </w:r>
    </w:p>
    <w:p>
      <w:pPr>
        <w:numPr>
          <w:ilvl w:val="0"/>
          <w:numId w:val="0"/>
        </w:numPr>
        <w:ind w:leftChars="0"/>
        <w:outlineLvl w:val="1"/>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4.1 薪资组设置界面框架调整</w:t>
      </w:r>
    </w:p>
    <w:p>
      <w:pPr>
        <w:numPr>
          <w:ilvl w:val="0"/>
          <w:numId w:val="0"/>
        </w:numPr>
        <w:ind w:leftChars="0"/>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4.1.1 子级界面的显示逻辑</w:t>
      </w:r>
    </w:p>
    <w:p>
      <w:pPr>
        <w:numPr>
          <w:ilvl w:val="0"/>
          <w:numId w:val="0"/>
        </w:numPr>
        <w:ind w:leftChars="0"/>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下图以“计薪规则设置”TAB菜单为例。</w:t>
      </w:r>
    </w:p>
    <w:p>
      <w:pPr>
        <w:numPr>
          <w:ilvl w:val="0"/>
          <w:numId w:val="0"/>
        </w:numPr>
        <w:ind w:leftChars="0"/>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2405" cy="2980690"/>
            <wp:effectExtent l="0" t="0" r="4445" b="1016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18"/>
                    <a:stretch>
                      <a:fillRect/>
                    </a:stretch>
                  </pic:blipFill>
                  <pic:spPr>
                    <a:xfrm>
                      <a:off x="0" y="0"/>
                      <a:ext cx="5272405" cy="2980690"/>
                    </a:xfrm>
                    <a:prstGeom prst="rect">
                      <a:avLst/>
                    </a:prstGeom>
                    <a:noFill/>
                    <a:ln>
                      <a:noFill/>
                    </a:ln>
                  </pic:spPr>
                </pic:pic>
              </a:graphicData>
            </a:graphic>
          </wp:inline>
        </w:drawing>
      </w:r>
    </w:p>
    <w:p>
      <w:pPr>
        <w:numPr>
          <w:ilvl w:val="0"/>
          <w:numId w:val="0"/>
        </w:numPr>
        <w:ind w:leftChars="0"/>
        <w:outlineLvl w:val="9"/>
        <w:rPr>
          <w:rFonts w:hint="eastAsia" w:ascii="微软雅黑" w:hAnsi="微软雅黑" w:eastAsia="微软雅黑" w:cs="微软雅黑"/>
        </w:rPr>
      </w:pP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7"/>
        <w:gridCol w:w="7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7"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字段</w:t>
            </w:r>
          </w:p>
        </w:tc>
        <w:tc>
          <w:tcPr>
            <w:tcW w:w="7276"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返回按钮与标题栏</w:t>
            </w:r>
          </w:p>
        </w:tc>
        <w:tc>
          <w:tcPr>
            <w:tcW w:w="7276" w:type="dxa"/>
          </w:tcPr>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1、作为子级界面，移除面包屑，显示返回按钮，在返回按钮处显示当前界面的名称，示例如下：</w:t>
            </w:r>
          </w:p>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原版：</w:t>
            </w:r>
          </w:p>
          <w:p>
            <w:pPr>
              <w:numPr>
                <w:ilvl w:val="0"/>
                <w:numId w:val="0"/>
              </w:numPr>
              <w:tabs>
                <w:tab w:val="left" w:pos="913"/>
              </w:tabs>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3345180" cy="466090"/>
                  <wp:effectExtent l="9525" t="9525" r="17145" b="19685"/>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19"/>
                          <a:stretch>
                            <a:fillRect/>
                          </a:stretch>
                        </pic:blipFill>
                        <pic:spPr>
                          <a:xfrm>
                            <a:off x="0" y="0"/>
                            <a:ext cx="3345180" cy="466090"/>
                          </a:xfrm>
                          <a:prstGeom prst="rect">
                            <a:avLst/>
                          </a:prstGeom>
                          <a:noFill/>
                          <a:ln>
                            <a:solidFill>
                              <a:schemeClr val="bg1">
                                <a:lumMod val="85000"/>
                              </a:schemeClr>
                            </a:solidFill>
                          </a:ln>
                        </pic:spPr>
                      </pic:pic>
                    </a:graphicData>
                  </a:graphic>
                </wp:inline>
              </w:drawing>
            </w:r>
          </w:p>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新版：</w:t>
            </w:r>
          </w:p>
          <w:p>
            <w:pPr>
              <w:numPr>
                <w:ilvl w:val="0"/>
                <w:numId w:val="0"/>
              </w:numPr>
              <w:tabs>
                <w:tab w:val="left" w:pos="913"/>
              </w:tabs>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2599055" cy="694055"/>
                  <wp:effectExtent l="9525" t="9525" r="20320" b="20320"/>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20"/>
                          <a:stretch>
                            <a:fillRect/>
                          </a:stretch>
                        </pic:blipFill>
                        <pic:spPr>
                          <a:xfrm>
                            <a:off x="0" y="0"/>
                            <a:ext cx="2599055" cy="694055"/>
                          </a:xfrm>
                          <a:prstGeom prst="rect">
                            <a:avLst/>
                          </a:prstGeom>
                          <a:noFill/>
                          <a:ln>
                            <a:solidFill>
                              <a:schemeClr val="bg1">
                                <a:lumMod val="85000"/>
                              </a:schemeClr>
                            </a:solidFill>
                          </a:ln>
                        </pic:spPr>
                      </pic:pic>
                    </a:graphicData>
                  </a:graphic>
                </wp:inline>
              </w:drawing>
            </w:r>
          </w:p>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2、本界面区域为固定冻结栏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TAB菜单栏</w:t>
            </w:r>
          </w:p>
        </w:tc>
        <w:tc>
          <w:tcPr>
            <w:tcW w:w="7276" w:type="dxa"/>
          </w:tcPr>
          <w:p>
            <w:pPr>
              <w:numPr>
                <w:ilvl w:val="0"/>
                <w:numId w:val="8"/>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本界面区域为固定冻结栏，当切换TAB菜单时，不校验当前TAB菜单下的信息是否保存，而是需要通过返回或保存设置来控制调整项的更新。</w:t>
            </w:r>
          </w:p>
          <w:p>
            <w:pPr>
              <w:numPr>
                <w:ilvl w:val="0"/>
                <w:numId w:val="8"/>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适配当前显示界面的宽度，若无法完整显示所有的tab菜单则显示&lt;&gt;允许展示更多，示例如下：</w:t>
            </w:r>
          </w:p>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原版：</w:t>
            </w:r>
          </w:p>
          <w:p>
            <w:pPr>
              <w:numPr>
                <w:ilvl w:val="0"/>
                <w:numId w:val="0"/>
              </w:numPr>
              <w:tabs>
                <w:tab w:val="left" w:pos="913"/>
              </w:tabs>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3923665" cy="1768475"/>
                  <wp:effectExtent l="9525" t="9525" r="10160" b="12700"/>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pic:cNvPicPr>
                            <a:picLocks noChangeAspect="1"/>
                          </pic:cNvPicPr>
                        </pic:nvPicPr>
                        <pic:blipFill>
                          <a:blip r:embed="rId21"/>
                          <a:stretch>
                            <a:fillRect/>
                          </a:stretch>
                        </pic:blipFill>
                        <pic:spPr>
                          <a:xfrm>
                            <a:off x="0" y="0"/>
                            <a:ext cx="3923665" cy="1768475"/>
                          </a:xfrm>
                          <a:prstGeom prst="rect">
                            <a:avLst/>
                          </a:prstGeom>
                          <a:noFill/>
                          <a:ln>
                            <a:solidFill>
                              <a:schemeClr val="bg1">
                                <a:lumMod val="85000"/>
                              </a:schemeClr>
                            </a:solidFill>
                          </a:ln>
                        </pic:spPr>
                      </pic:pic>
                    </a:graphicData>
                  </a:graphic>
                </wp:inline>
              </w:drawing>
            </w:r>
          </w:p>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新版：</w:t>
            </w:r>
          </w:p>
          <w:p>
            <w:pPr>
              <w:numPr>
                <w:ilvl w:val="0"/>
                <w:numId w:val="0"/>
              </w:numPr>
              <w:tabs>
                <w:tab w:val="left" w:pos="913"/>
              </w:tabs>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4469130" cy="1887855"/>
                  <wp:effectExtent l="0" t="0" r="7620" b="17145"/>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r:embed="rId22"/>
                          <a:stretch>
                            <a:fillRect/>
                          </a:stretch>
                        </pic:blipFill>
                        <pic:spPr>
                          <a:xfrm>
                            <a:off x="0" y="0"/>
                            <a:ext cx="4469130" cy="1887855"/>
                          </a:xfrm>
                          <a:prstGeom prst="rect">
                            <a:avLst/>
                          </a:prstGeom>
                          <a:noFill/>
                          <a:ln>
                            <a:noFill/>
                          </a:ln>
                        </pic:spPr>
                      </pic:pic>
                    </a:graphicData>
                  </a:graphic>
                </wp:inline>
              </w:drawing>
            </w:r>
          </w:p>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同理，当左侧TAB菜单无法显示完全时，左侧显示按钮”&lt;”，点击&lt;时以当前选中的TAB菜单项为基准显示前所有可展示的TAB菜单。点击&gt;亦同。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TAB菜单下的固定按钮栏</w:t>
            </w:r>
          </w:p>
        </w:tc>
        <w:tc>
          <w:tcPr>
            <w:tcW w:w="7276" w:type="dxa"/>
          </w:tcPr>
          <w:p>
            <w:pPr>
              <w:numPr>
                <w:ilvl w:val="0"/>
                <w:numId w:val="9"/>
              </w:numPr>
              <w:tabs>
                <w:tab w:val="left" w:pos="913"/>
              </w:tabs>
              <w:ind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部分TAB菜单界面的顶部按钮为冻结行，本期涉及：</w:t>
            </w:r>
          </w:p>
          <w:p>
            <w:pPr>
              <w:numPr>
                <w:ilvl w:val="0"/>
                <w:numId w:val="1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计薪规则设置中的【新建分组】与本期新增的【添加薪资项】所在行，见4.3.3</w:t>
            </w:r>
          </w:p>
          <w:p>
            <w:pPr>
              <w:numPr>
                <w:ilvl w:val="0"/>
                <w:numId w:val="1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人力成本统计规则中的【统计项管理】按钮所在行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TAB菜单下主要内容显示区域</w:t>
            </w:r>
          </w:p>
        </w:tc>
        <w:tc>
          <w:tcPr>
            <w:tcW w:w="7276" w:type="dxa"/>
          </w:tcPr>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根据各个TAB菜单下的内容显示，当界面无法完整展示所有内容时，允许在该区域内展示横向与纵向的滚动条，拖动滚动条显示更多内容。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保存按钮</w:t>
            </w:r>
          </w:p>
        </w:tc>
        <w:tc>
          <w:tcPr>
            <w:tcW w:w="7276" w:type="dxa"/>
          </w:tcPr>
          <w:p>
            <w:pPr>
              <w:numPr>
                <w:ilvl w:val="0"/>
                <w:numId w:val="0"/>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本期统一【保存设置】按钮的显示位置为底部固定位置，且不再区分各个TAB菜单，保存时允许多个TAB菜单的调整内容一并保存。</w:t>
            </w:r>
          </w:p>
        </w:tc>
      </w:tr>
    </w:tbl>
    <w:p>
      <w:pPr>
        <w:numPr>
          <w:ilvl w:val="0"/>
          <w:numId w:val="0"/>
        </w:numPr>
        <w:ind w:leftChars="0"/>
        <w:outlineLvl w:val="9"/>
        <w:rPr>
          <w:rFonts w:hint="eastAsia" w:ascii="微软雅黑" w:hAnsi="微软雅黑" w:eastAsia="微软雅黑" w:cs="微软雅黑"/>
          <w:lang w:val="en-US" w:eastAsia="zh-CN"/>
        </w:rPr>
      </w:pPr>
    </w:p>
    <w:p>
      <w:pPr>
        <w:numPr>
          <w:ilvl w:val="0"/>
          <w:numId w:val="0"/>
        </w:numPr>
        <w:ind w:leftChars="0"/>
        <w:outlineLvl w:val="1"/>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4.2 薪资项取整规则优化</w:t>
      </w:r>
    </w:p>
    <w:p>
      <w:pPr>
        <w:numPr>
          <w:ilvl w:val="0"/>
          <w:numId w:val="0"/>
        </w:numPr>
        <w:ind w:leftChars="0"/>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4.2.1 问题描述</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前线上版本是根据薪资项的数据来源自动配置整数规则与小数点位数规则，例如数据来源为授权应用、薪资档案、社保公积金、个税时如果薪资项为数字则默认四舍五入，小数点保留2位；若非数字则不取整，小数点位数保留0位，但实际线上版本存在如下问题：</w:t>
      </w:r>
    </w:p>
    <w:p>
      <w:pPr>
        <w:numPr>
          <w:ilvl w:val="0"/>
          <w:numId w:val="11"/>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未按规则很好的执行，导致明明是数字类型也默认为不取整且小数点位数保留0位。</w:t>
      </w:r>
    </w:p>
    <w:p>
      <w:pPr>
        <w:numPr>
          <w:ilvl w:val="0"/>
          <w:numId w:val="11"/>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当切换数据来源时，不会根据字段自动变更取整和小数点位数取整规则，会继承切换前的规则。</w:t>
      </w:r>
    </w:p>
    <w:p>
      <w:pPr>
        <w:numPr>
          <w:ilvl w:val="0"/>
          <w:numId w:val="11"/>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存在配置理解问题，用户不清楚字段的类型，导致有的需要取整有的不需要，还需要一个个排查。</w:t>
      </w:r>
    </w:p>
    <w:p>
      <w:pPr>
        <w:numPr>
          <w:ilvl w:val="0"/>
          <w:numId w:val="11"/>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已经配置取整规则和小数点位数后在核算薪资时不生效（已登记TAPD）</w:t>
      </w:r>
    </w:p>
    <w:p>
      <w:pPr>
        <w:numPr>
          <w:ilvl w:val="0"/>
          <w:numId w:val="11"/>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数据来源为手动导入或自定义公式计算的结果需要原样保存时，受整数规则与小数点位数约束，无法保留原值。（例如：120.123456789，受小数点位数最多正负4的规则约束导致无法完整显示小数点位数）</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4.2.2 优化策略</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1）取整规则与小数点位数绑定，取整本身就是基于小数点位数确认后的取值规则，若不取整则不应关联小数点位数，解决原值强制被小数点约束的问题。</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2）所有薪资项创建时均默认为不取整，由用户决定取整与小数点位数规则。</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3）重新梳理取值规则与小数点位数的联动规则，确保核算薪资关联字段按规则执行。</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4.2.3 方案说明</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729990" cy="4704715"/>
            <wp:effectExtent l="0" t="0" r="3810" b="63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3"/>
                    <a:stretch>
                      <a:fillRect/>
                    </a:stretch>
                  </pic:blipFill>
                  <pic:spPr>
                    <a:xfrm>
                      <a:off x="0" y="0"/>
                      <a:ext cx="3729990" cy="4704715"/>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取整规则与小数点位数应作为整体来看，不再区分为2个组件，规则如下：</w:t>
      </w: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7"/>
        <w:gridCol w:w="7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7"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整数</w:t>
            </w:r>
          </w:p>
        </w:tc>
        <w:tc>
          <w:tcPr>
            <w:tcW w:w="7426"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不取整</w:t>
            </w:r>
          </w:p>
        </w:tc>
        <w:tc>
          <w:tcPr>
            <w:tcW w:w="7426" w:type="dxa"/>
          </w:tcPr>
          <w:p>
            <w:pPr>
              <w:numPr>
                <w:ilvl w:val="0"/>
                <w:numId w:val="12"/>
              </w:num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任意薪资项初始状态均为【不取整】</w:t>
            </w:r>
          </w:p>
          <w:p>
            <w:pPr>
              <w:widowControl w:val="0"/>
              <w:numPr>
                <w:ilvl w:val="0"/>
                <w:numId w:val="12"/>
              </w:numPr>
              <w:ind w:left="0" w:leftChars="0" w:firstLine="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当整数规则为不取整时，则关联的小数点位数的配置项隐藏，示例如下：</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color w:val="FF0000"/>
                <w:sz w:val="18"/>
                <w:szCs w:val="18"/>
                <w:lang w:val="en-US" w:eastAsia="zh-CN"/>
              </w:rPr>
              <w:t>薪资项的值为12.123456，当设置为不取整时，则在试算/核算薪资时，该薪资项显示仍为【12.123456】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四舍五入</w:t>
            </w:r>
          </w:p>
        </w:tc>
        <w:tc>
          <w:tcPr>
            <w:tcW w:w="7426"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切换取整为【四舍五入】时，显示关联的小数点位数的配置项且默认取2位小数，示例如下：</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color w:val="FF0000"/>
                <w:sz w:val="18"/>
                <w:szCs w:val="18"/>
                <w:lang w:val="en-US" w:eastAsia="zh-CN"/>
              </w:rPr>
              <w:t>薪资项的值为12.123456，当设置为四舍五入且保留2位小数时，则在试算/核算薪资时，该薪资项显示仍为【12.12】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向上取整</w:t>
            </w:r>
          </w:p>
        </w:tc>
        <w:tc>
          <w:tcPr>
            <w:tcW w:w="7426"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切换取整为【向上取整】时，显示关联的小数点位数的配置项且默认取2位小数，示例如下：</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薪资项的值为12.123456，当设置为向上取整且保留2位小数时，则在试算/核算薪资时，该薪资项显示仍为【12.13】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向下取整</w:t>
            </w:r>
          </w:p>
        </w:tc>
        <w:tc>
          <w:tcPr>
            <w:tcW w:w="7426"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切换取整为【向下取整】时，显示关联的小数点位数的配置项且默认取2位小数，示例如下：</w:t>
            </w:r>
          </w:p>
          <w:p>
            <w:pPr>
              <w:widowControl w:val="0"/>
              <w:numPr>
                <w:ilvl w:val="0"/>
                <w:numId w:val="0"/>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薪资项的值为12.123456，当设置为向下取整且保留2位小数时，则在试算/核算薪资时，该薪资项显示仍为【12.12】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保存X</w:t>
            </w:r>
          </w:p>
        </w:tc>
        <w:tc>
          <w:tcPr>
            <w:tcW w:w="7426" w:type="dxa"/>
          </w:tcPr>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X为小数点位数，枚举值为正负4，正1~4，表示保留小数点1~4位，负值举例如下：</w:t>
            </w:r>
          </w:p>
          <w:p>
            <w:pPr>
              <w:widowControl w:val="0"/>
              <w:numPr>
                <w:ilvl w:val="0"/>
                <w:numId w:val="13"/>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当【保存-1】时，以12.1234为例则在四舍五入且保留-1位小数点的值为【10】，即个位四舍五入后为0导致的结果。</w:t>
            </w:r>
          </w:p>
          <w:p>
            <w:pPr>
              <w:widowControl w:val="0"/>
              <w:numPr>
                <w:ilvl w:val="0"/>
                <w:numId w:val="13"/>
              </w:numPr>
              <w:jc w:val="both"/>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当【保存-2】时，以12.1234为例则在四舍五入且保留-1位小数点的值为【0】，即个位十位四舍五入后为0导致的结果，</w:t>
            </w:r>
            <w:r>
              <w:rPr>
                <w:rFonts w:hint="eastAsia" w:ascii="微软雅黑" w:hAnsi="微软雅黑" w:eastAsia="微软雅黑" w:cs="微软雅黑"/>
                <w:color w:val="auto"/>
                <w:sz w:val="18"/>
                <w:szCs w:val="18"/>
                <w:lang w:val="en-US" w:eastAsia="zh-CN"/>
              </w:rPr>
              <w:t>以此类推。</w:t>
            </w:r>
          </w:p>
        </w:tc>
      </w:tr>
    </w:tbl>
    <w:p>
      <w:pPr>
        <w:widowControl w:val="0"/>
        <w:numPr>
          <w:ilvl w:val="0"/>
          <w:numId w:val="0"/>
        </w:numPr>
        <w:jc w:val="both"/>
        <w:outlineLvl w:val="9"/>
        <w:rPr>
          <w:rFonts w:hint="eastAsia" w:ascii="微软雅黑" w:hAnsi="微软雅黑" w:eastAsia="微软雅黑" w:cs="微软雅黑"/>
          <w:lang w:val="en-US" w:eastAsia="zh-CN"/>
        </w:rPr>
      </w:pPr>
    </w:p>
    <w:p>
      <w:pPr>
        <w:widowControl w:val="0"/>
        <w:numPr>
          <w:ilvl w:val="0"/>
          <w:numId w:val="0"/>
        </w:numPr>
        <w:jc w:val="both"/>
        <w:outlineLvl w:val="1"/>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4.3 薪资项取值规则逻辑优化</w:t>
      </w:r>
    </w:p>
    <w:p>
      <w:pPr>
        <w:widowControl w:val="0"/>
        <w:numPr>
          <w:ilvl w:val="0"/>
          <w:numId w:val="0"/>
        </w:numPr>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4.3.1 问题描述</w:t>
      </w:r>
    </w:p>
    <w:p>
      <w:pPr>
        <w:keepNext w:val="0"/>
        <w:keepLines w:val="0"/>
        <w:widowControl/>
        <w:suppressLineNumbers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以钉钉为例，当薪资项的数据来源源数据发生变化时，关联的薪资项的取值应判断变化情况，如数据来源的字段被移除则薪资项报错，表示找不到对应被授权的薪资项（详见文档12月1.0的4.4.2_4.4.2.1关于未授权字段的报错处理）。本期发现遗留问题。</w:t>
      </w:r>
    </w:p>
    <w:p>
      <w:pPr>
        <w:keepNext w:val="0"/>
        <w:keepLines w:val="0"/>
        <w:widowControl/>
        <w:numPr>
          <w:ilvl w:val="0"/>
          <w:numId w:val="14"/>
        </w:numPr>
        <w:suppressLineNumbers w:val="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非授权字段，如薪资档案的字段发生变化时，仍显示错误代码而不是提示字段未授权。</w:t>
      </w:r>
    </w:p>
    <w:p>
      <w:pPr>
        <w:keepNext w:val="0"/>
        <w:keepLines w:val="0"/>
        <w:widowControl/>
        <w:numPr>
          <w:ilvl w:val="0"/>
          <w:numId w:val="0"/>
        </w:numPr>
        <w:suppressLineNumbers w:val="0"/>
        <w:jc w:val="left"/>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6690" cy="2004695"/>
            <wp:effectExtent l="9525" t="9525" r="19685" b="24130"/>
            <wp:docPr id="5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pic:cNvPicPr>
                      <a:picLocks noChangeAspect="1"/>
                    </pic:cNvPicPr>
                  </pic:nvPicPr>
                  <pic:blipFill>
                    <a:blip r:embed="rId24"/>
                    <a:stretch>
                      <a:fillRect/>
                    </a:stretch>
                  </pic:blipFill>
                  <pic:spPr>
                    <a:xfrm>
                      <a:off x="0" y="0"/>
                      <a:ext cx="5266690" cy="2004695"/>
                    </a:xfrm>
                    <a:prstGeom prst="rect">
                      <a:avLst/>
                    </a:prstGeom>
                    <a:noFill/>
                    <a:ln>
                      <a:solidFill>
                        <a:schemeClr val="bg1">
                          <a:lumMod val="85000"/>
                        </a:schemeClr>
                      </a:solidFill>
                    </a:ln>
                  </pic:spPr>
                </pic:pic>
              </a:graphicData>
            </a:graphic>
          </wp:inline>
        </w:drawing>
      </w:r>
    </w:p>
    <w:p>
      <w:pPr>
        <w:keepNext w:val="0"/>
        <w:keepLines w:val="0"/>
        <w:widowControl/>
        <w:numPr>
          <w:ilvl w:val="0"/>
          <w:numId w:val="14"/>
        </w:numPr>
        <w:suppressLineNumbers w:val="0"/>
        <w:ind w:left="0" w:leftChars="0" w:firstLine="0" w:firstLineChars="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数据来源的取值逻辑是根据名称匹配，而不是字段ID，这导致若薪资档案的字段名称变更后数据取值错误且关联的薪资项（如计算公式关联）算的结果有误，或者错位匹配。</w:t>
      </w:r>
    </w:p>
    <w:p>
      <w:pPr>
        <w:keepNext w:val="0"/>
        <w:keepLines w:val="0"/>
        <w:widowControl/>
        <w:numPr>
          <w:ilvl w:val="0"/>
          <w:numId w:val="0"/>
        </w:numPr>
        <w:suppressLineNumbers w:val="0"/>
        <w:ind w:leftChars="0"/>
        <w:jc w:val="left"/>
        <w:rPr>
          <w:rFonts w:hint="eastAsia" w:ascii="微软雅黑" w:hAnsi="微软雅黑" w:eastAsia="微软雅黑" w:cs="微软雅黑"/>
          <w:lang w:val="en-US" w:eastAsia="zh-CN"/>
        </w:rPr>
      </w:pPr>
    </w:p>
    <w:p>
      <w:pPr>
        <w:keepNext w:val="0"/>
        <w:keepLines w:val="0"/>
        <w:widowControl/>
        <w:numPr>
          <w:ilvl w:val="0"/>
          <w:numId w:val="0"/>
        </w:numPr>
        <w:suppressLineNumbers w:val="0"/>
        <w:ind w:leftChars="0"/>
        <w:jc w:val="left"/>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4.3.2 优化策略</w:t>
      </w:r>
    </w:p>
    <w:p>
      <w:pPr>
        <w:keepNext w:val="0"/>
        <w:keepLines w:val="0"/>
        <w:widowControl/>
        <w:numPr>
          <w:ilvl w:val="0"/>
          <w:numId w:val="0"/>
        </w:numPr>
        <w:suppressLineNumbers w:val="0"/>
        <w:ind w:leftChars="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调整数据来源的匹配逻辑，改为按字段ID匹配，若字段名称的调整不影响ID的匹配。</w:t>
      </w:r>
    </w:p>
    <w:p>
      <w:pPr>
        <w:keepNext w:val="0"/>
        <w:keepLines w:val="0"/>
        <w:widowControl/>
        <w:numPr>
          <w:ilvl w:val="0"/>
          <w:numId w:val="0"/>
        </w:numPr>
        <w:suppressLineNumbers w:val="0"/>
        <w:ind w:leftChars="0"/>
        <w:jc w:val="left"/>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4.3.3 方案说明</w:t>
      </w:r>
    </w:p>
    <w:p>
      <w:pPr>
        <w:keepNext w:val="0"/>
        <w:keepLines w:val="0"/>
        <w:widowControl/>
        <w:numPr>
          <w:ilvl w:val="0"/>
          <w:numId w:val="0"/>
        </w:numPr>
        <w:suppressLineNumbers w:val="0"/>
        <w:ind w:leftChars="0"/>
        <w:jc w:val="left"/>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4.3.3.1 薪资项的取值逻辑</w:t>
      </w:r>
    </w:p>
    <w:p>
      <w:pPr>
        <w:keepNext w:val="0"/>
        <w:keepLines w:val="0"/>
        <w:widowControl/>
        <w:numPr>
          <w:ilvl w:val="0"/>
          <w:numId w:val="0"/>
        </w:numPr>
        <w:suppressLineNumbers w:val="0"/>
        <w:ind w:leftChars="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在文档【智能薪酬】23年12月V1.1 PRD】中的3.1.2关于数据来源组件的优化下，重新定义字段的取值逻辑，如下图所示。</w:t>
      </w:r>
    </w:p>
    <w:p>
      <w:pPr>
        <w:keepNext w:val="0"/>
        <w:keepLines w:val="0"/>
        <w:widowControl/>
        <w:numPr>
          <w:ilvl w:val="0"/>
          <w:numId w:val="0"/>
        </w:numPr>
        <w:suppressLineNumbers w:val="0"/>
        <w:ind w:leftChars="0"/>
        <w:jc w:val="left"/>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2092960" cy="1026160"/>
            <wp:effectExtent l="0" t="0" r="2540"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5"/>
                    <a:stretch>
                      <a:fillRect/>
                    </a:stretch>
                  </pic:blipFill>
                  <pic:spPr>
                    <a:xfrm>
                      <a:off x="0" y="0"/>
                      <a:ext cx="2092960" cy="1026160"/>
                    </a:xfrm>
                    <a:prstGeom prst="rect">
                      <a:avLst/>
                    </a:prstGeom>
                    <a:noFill/>
                    <a:ln>
                      <a:noFill/>
                    </a:ln>
                  </pic:spPr>
                </pic:pic>
              </a:graphicData>
            </a:graphic>
          </wp:inline>
        </w:drawing>
      </w: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1"/>
        <w:gridCol w:w="7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字段</w:t>
            </w:r>
          </w:p>
        </w:tc>
        <w:tc>
          <w:tcPr>
            <w:tcW w:w="7452"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下拉选择器</w:t>
            </w:r>
          </w:p>
        </w:tc>
        <w:tc>
          <w:tcPr>
            <w:tcW w:w="7452" w:type="dxa"/>
          </w:tcPr>
          <w:p>
            <w:pPr>
              <w:widowControl w:val="0"/>
              <w:numPr>
                <w:ilvl w:val="0"/>
                <w:numId w:val="15"/>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其他应用授权字段：在授权时在薪酬获取字段并生成字段类型为【字符串】的表，并生成对应的ID，在薪资组根据分类获取字段时，根据ID匹配并显示对应ID的字段名称。</w:t>
            </w:r>
          </w:p>
          <w:p>
            <w:pPr>
              <w:widowControl w:val="0"/>
              <w:numPr>
                <w:ilvl w:val="0"/>
                <w:numId w:val="15"/>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薪酬应用字段：【从个税及实发获取】【从薪资档案获取】【从应发获取】关联各自表的字段ID并显示对应ID的字段名称。</w:t>
            </w:r>
          </w:p>
          <w:p>
            <w:pPr>
              <w:widowControl w:val="0"/>
              <w:numPr>
                <w:ilvl w:val="0"/>
                <w:numId w:val="15"/>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社保公积金：默认关联授权，获取社保公积金表的字段ID并显示对应ID的字段名称。</w:t>
            </w:r>
          </w:p>
          <w:p>
            <w:pPr>
              <w:widowControl w:val="0"/>
              <w:numPr>
                <w:ilvl w:val="0"/>
                <w:numId w:val="0"/>
              </w:numPr>
              <w:jc w:val="both"/>
              <w:rPr>
                <w:rFonts w:hint="eastAsia" w:ascii="微软雅黑" w:hAnsi="微软雅黑" w:eastAsia="微软雅黑" w:cs="微软雅黑"/>
                <w:color w:val="7F7F7F" w:themeColor="background1" w:themeShade="80"/>
                <w:sz w:val="18"/>
                <w:szCs w:val="18"/>
                <w:lang w:val="en-US" w:eastAsia="zh-CN"/>
              </w:rPr>
            </w:pPr>
            <w:r>
              <w:rPr>
                <w:rFonts w:hint="eastAsia" w:ascii="微软雅黑" w:hAnsi="微软雅黑" w:eastAsia="微软雅黑" w:cs="微软雅黑"/>
                <w:color w:val="7F7F7F" w:themeColor="background1" w:themeShade="80"/>
                <w:sz w:val="18"/>
                <w:szCs w:val="18"/>
                <w:lang w:val="en-US" w:eastAsia="zh-CN"/>
              </w:rPr>
              <w:t>注意：该应用将作为独立应用参与规划，当前线上版本仍隶属薪酬应用。</w:t>
            </w:r>
          </w:p>
          <w:p>
            <w:pPr>
              <w:widowControl w:val="0"/>
              <w:numPr>
                <w:ilvl w:val="0"/>
                <w:numId w:val="15"/>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自定义公式计算与每月手动导入：本期不涉及。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字段变更</w:t>
            </w:r>
          </w:p>
        </w:tc>
        <w:tc>
          <w:tcPr>
            <w:tcW w:w="7452"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上一期将【智能人事】与【考勤打卡】授权字段应取消授权时薪资项的取值需仍显示原值，并在试算时显示错误信息【XX字段未授权】，本期针对薪酬应用字段也做相关优化。</w:t>
            </w:r>
          </w:p>
          <w:p>
            <w:pPr>
              <w:widowControl w:val="0"/>
              <w:numPr>
                <w:ilvl w:val="0"/>
                <w:numId w:val="16"/>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薪资档案：若薪资档案通过自定义薪资档案二次编辑导致字段被删除时，则显示错误信息“找不到XX”，如下图所示：</w:t>
            </w:r>
          </w:p>
          <w:p>
            <w:pPr>
              <w:widowControl w:val="0"/>
              <w:numPr>
                <w:ilvl w:val="0"/>
                <w:numId w:val="0"/>
              </w:numPr>
              <w:jc w:val="both"/>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2023745" cy="327660"/>
                  <wp:effectExtent l="9525" t="9525" r="24130" b="24765"/>
                  <wp:docPr id="6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2"/>
                          <pic:cNvPicPr>
                            <a:picLocks noChangeAspect="1"/>
                          </pic:cNvPicPr>
                        </pic:nvPicPr>
                        <pic:blipFill>
                          <a:blip r:embed="rId26"/>
                          <a:stretch>
                            <a:fillRect/>
                          </a:stretch>
                        </pic:blipFill>
                        <pic:spPr>
                          <a:xfrm>
                            <a:off x="0" y="0"/>
                            <a:ext cx="2023745" cy="327660"/>
                          </a:xfrm>
                          <a:prstGeom prst="rect">
                            <a:avLst/>
                          </a:prstGeom>
                          <a:noFill/>
                          <a:ln>
                            <a:solidFill>
                              <a:schemeClr val="bg1">
                                <a:lumMod val="85000"/>
                              </a:schemeClr>
                            </a:solidFill>
                          </a:ln>
                        </pic:spPr>
                      </pic:pic>
                    </a:graphicData>
                  </a:graphic>
                </wp:inline>
              </w:drawing>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rPr>
              <w:drawing>
                <wp:inline distT="0" distB="0" distL="114300" distR="114300">
                  <wp:extent cx="3739515" cy="850900"/>
                  <wp:effectExtent l="9525" t="9525" r="22860" b="15875"/>
                  <wp:docPr id="6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pic:cNvPicPr>
                            <a:picLocks noChangeAspect="1"/>
                          </pic:cNvPicPr>
                        </pic:nvPicPr>
                        <pic:blipFill>
                          <a:blip r:embed="rId27"/>
                          <a:stretch>
                            <a:fillRect/>
                          </a:stretch>
                        </pic:blipFill>
                        <pic:spPr>
                          <a:xfrm>
                            <a:off x="0" y="0"/>
                            <a:ext cx="3739515" cy="850900"/>
                          </a:xfrm>
                          <a:prstGeom prst="rect">
                            <a:avLst/>
                          </a:prstGeom>
                          <a:noFill/>
                          <a:ln>
                            <a:solidFill>
                              <a:schemeClr val="bg1">
                                <a:lumMod val="85000"/>
                              </a:schemeClr>
                            </a:solidFill>
                          </a:ln>
                        </pic:spPr>
                      </pic:pic>
                    </a:graphicData>
                  </a:graphic>
                </wp:inline>
              </w:drawing>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rPr>
              <w:drawing>
                <wp:inline distT="0" distB="0" distL="114300" distR="114300">
                  <wp:extent cx="4986020" cy="430530"/>
                  <wp:effectExtent l="0" t="0" r="5080" b="7620"/>
                  <wp:docPr id="6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4"/>
                          <pic:cNvPicPr>
                            <a:picLocks noChangeAspect="1"/>
                          </pic:cNvPicPr>
                        </pic:nvPicPr>
                        <pic:blipFill>
                          <a:blip r:embed="rId28"/>
                          <a:stretch>
                            <a:fillRect/>
                          </a:stretch>
                        </pic:blipFill>
                        <pic:spPr>
                          <a:xfrm>
                            <a:off x="0" y="0"/>
                            <a:ext cx="4986020" cy="430530"/>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注意：同【智能人事】与【考勤打卡】授权字段应取消授权时薪资项的取值需仍显示原值的逻辑，本期涉及薪资档案的数据若被移除，在规则列仍显示原值，避免因字段删除显示错误的情况，如图：</w:t>
            </w:r>
          </w:p>
          <w:p>
            <w:pPr>
              <w:widowControl w:val="0"/>
              <w:numPr>
                <w:ilvl w:val="0"/>
                <w:numId w:val="0"/>
              </w:numPr>
              <w:jc w:val="both"/>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2774315" cy="421640"/>
                  <wp:effectExtent l="0" t="0" r="6985" b="16510"/>
                  <wp:docPr id="6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6"/>
                          <pic:cNvPicPr>
                            <a:picLocks noChangeAspect="1"/>
                          </pic:cNvPicPr>
                        </pic:nvPicPr>
                        <pic:blipFill>
                          <a:blip r:embed="rId29"/>
                          <a:stretch>
                            <a:fillRect/>
                          </a:stretch>
                        </pic:blipFill>
                        <pic:spPr>
                          <a:xfrm>
                            <a:off x="0" y="0"/>
                            <a:ext cx="2774315" cy="421640"/>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2、【从个税及实发获取】【从应发获取】为计薪规则默认薪资项，不涉及被删除的情况。</w:t>
            </w:r>
          </w:p>
        </w:tc>
      </w:tr>
    </w:tbl>
    <w:p>
      <w:pPr>
        <w:keepNext w:val="0"/>
        <w:keepLines w:val="0"/>
        <w:widowControl/>
        <w:numPr>
          <w:ilvl w:val="0"/>
          <w:numId w:val="0"/>
        </w:numPr>
        <w:suppressLineNumbers w:val="0"/>
        <w:ind w:leftChars="0"/>
        <w:jc w:val="left"/>
        <w:rPr>
          <w:rFonts w:hint="eastAsia" w:ascii="微软雅黑" w:hAnsi="微软雅黑" w:eastAsia="微软雅黑" w:cs="微软雅黑"/>
          <w:lang w:val="en-US" w:eastAsia="zh-CN"/>
        </w:rPr>
      </w:pPr>
    </w:p>
    <w:p>
      <w:pPr>
        <w:keepNext w:val="0"/>
        <w:keepLines w:val="0"/>
        <w:widowControl/>
        <w:numPr>
          <w:ilvl w:val="0"/>
          <w:numId w:val="0"/>
        </w:numPr>
        <w:suppressLineNumbers w:val="0"/>
        <w:ind w:leftChars="0"/>
        <w:jc w:val="left"/>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4.3.3.2 薪资档案</w:t>
      </w:r>
    </w:p>
    <w:p>
      <w:pPr>
        <w:keepNext w:val="0"/>
        <w:keepLines w:val="0"/>
        <w:widowControl/>
        <w:numPr>
          <w:ilvl w:val="0"/>
          <w:numId w:val="0"/>
        </w:numPr>
        <w:suppressLineNumbers w:val="0"/>
        <w:ind w:leftChars="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取名称匹配而不是根据ID匹配的逻辑也发生在定调薪的逻辑上，本期需一并调整。</w:t>
      </w:r>
    </w:p>
    <w:p>
      <w:pPr>
        <w:keepNext w:val="0"/>
        <w:keepLines w:val="0"/>
        <w:widowControl/>
        <w:numPr>
          <w:ilvl w:val="0"/>
          <w:numId w:val="17"/>
        </w:numPr>
        <w:suppressLineNumbers w:val="0"/>
        <w:ind w:leftChars="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薪资档案的表单展示与手动调薪</w:t>
      </w:r>
    </w:p>
    <w:p>
      <w:pPr>
        <w:keepNext w:val="0"/>
        <w:keepLines w:val="0"/>
        <w:widowControl/>
        <w:numPr>
          <w:ilvl w:val="0"/>
          <w:numId w:val="0"/>
        </w:numPr>
        <w:suppressLineNumbers w:val="0"/>
        <w:jc w:val="left"/>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898390" cy="3888740"/>
            <wp:effectExtent l="0" t="0" r="16510" b="1651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7"/>
                    <pic:cNvPicPr>
                      <a:picLocks noChangeAspect="1"/>
                    </pic:cNvPicPr>
                  </pic:nvPicPr>
                  <pic:blipFill>
                    <a:blip r:embed="rId30"/>
                    <a:stretch>
                      <a:fillRect/>
                    </a:stretch>
                  </pic:blipFill>
                  <pic:spPr>
                    <a:xfrm>
                      <a:off x="0" y="0"/>
                      <a:ext cx="4898390" cy="388874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ascii="微软雅黑" w:hAnsi="微软雅黑" w:eastAsia="微软雅黑" w:cs="微软雅黑"/>
        </w:rPr>
      </w:pP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1"/>
        <w:gridCol w:w="7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元素</w:t>
            </w:r>
          </w:p>
        </w:tc>
        <w:tc>
          <w:tcPr>
            <w:tcW w:w="7452"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表单</w:t>
            </w:r>
          </w:p>
        </w:tc>
        <w:tc>
          <w:tcPr>
            <w:tcW w:w="7452"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当维护薪资字段后同步刷新表单列，但对应员工的定调薪数据应根据字段的ID取值，避免因名称的调整造成数值的张冠李戴。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手动调薪</w:t>
            </w:r>
          </w:p>
        </w:tc>
        <w:tc>
          <w:tcPr>
            <w:tcW w:w="7452"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侧边栏的原值取值逻辑需根据字段的ID取值</w:t>
            </w:r>
          </w:p>
        </w:tc>
      </w:tr>
    </w:tbl>
    <w:p>
      <w:pPr>
        <w:keepNext w:val="0"/>
        <w:keepLines w:val="0"/>
        <w:widowControl/>
        <w:numPr>
          <w:ilvl w:val="0"/>
          <w:numId w:val="0"/>
        </w:numPr>
        <w:suppressLineNumbers w:val="0"/>
        <w:jc w:val="left"/>
        <w:rPr>
          <w:rFonts w:hint="eastAsia" w:ascii="微软雅黑" w:hAnsi="微软雅黑" w:eastAsia="微软雅黑" w:cs="微软雅黑"/>
        </w:rPr>
      </w:pPr>
    </w:p>
    <w:p>
      <w:pPr>
        <w:keepNext w:val="0"/>
        <w:keepLines w:val="0"/>
        <w:widowControl/>
        <w:numPr>
          <w:ilvl w:val="0"/>
          <w:numId w:val="17"/>
        </w:numPr>
        <w:suppressLineNumbers w:val="0"/>
        <w:ind w:left="0" w:leftChars="0" w:firstLine="0" w:firstLineChars="0"/>
        <w:jc w:val="lef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调薪历史表单与编辑</w:t>
      </w:r>
    </w:p>
    <w:p>
      <w:pPr>
        <w:keepNext w:val="0"/>
        <w:keepLines w:val="0"/>
        <w:widowControl/>
        <w:numPr>
          <w:ilvl w:val="0"/>
          <w:numId w:val="0"/>
        </w:numPr>
        <w:suppressLineNumbers w:val="0"/>
        <w:ind w:leftChars="0"/>
        <w:jc w:val="left"/>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976495" cy="4457700"/>
            <wp:effectExtent l="0" t="0" r="14605" b="0"/>
            <wp:docPr id="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8"/>
                    <pic:cNvPicPr>
                      <a:picLocks noChangeAspect="1"/>
                    </pic:cNvPicPr>
                  </pic:nvPicPr>
                  <pic:blipFill>
                    <a:blip r:embed="rId31"/>
                    <a:stretch>
                      <a:fillRect/>
                    </a:stretch>
                  </pic:blipFill>
                  <pic:spPr>
                    <a:xfrm>
                      <a:off x="0" y="0"/>
                      <a:ext cx="4976495" cy="44577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微软雅黑" w:hAnsi="微软雅黑" w:eastAsia="微软雅黑" w:cs="微软雅黑"/>
        </w:rPr>
      </w:pP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1"/>
        <w:gridCol w:w="7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元素</w:t>
            </w:r>
          </w:p>
        </w:tc>
        <w:tc>
          <w:tcPr>
            <w:tcW w:w="7452"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表单</w:t>
            </w:r>
          </w:p>
        </w:tc>
        <w:tc>
          <w:tcPr>
            <w:tcW w:w="7452"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当打开对应员工的调薪历史载入界面时展示最新的表单，对应员工的生效日期行的定调薪数据应根据字段的ID取值，避免因名称的调整造成数值的张冠李戴。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1"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编辑</w:t>
            </w:r>
          </w:p>
        </w:tc>
        <w:tc>
          <w:tcPr>
            <w:tcW w:w="7452"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侧边栏的原值取值逻辑需根据字段的ID取值</w:t>
            </w:r>
          </w:p>
        </w:tc>
      </w:tr>
    </w:tbl>
    <w:p>
      <w:pPr>
        <w:widowControl w:val="0"/>
        <w:numPr>
          <w:ilvl w:val="0"/>
          <w:numId w:val="0"/>
        </w:numPr>
        <w:jc w:val="both"/>
        <w:outlineLvl w:val="9"/>
        <w:rPr>
          <w:rFonts w:hint="eastAsia" w:ascii="微软雅黑" w:hAnsi="微软雅黑" w:eastAsia="微软雅黑" w:cs="微软雅黑"/>
          <w:lang w:val="en-US" w:eastAsia="zh-CN"/>
        </w:rPr>
      </w:pPr>
    </w:p>
    <w:p>
      <w:pPr>
        <w:widowControl w:val="0"/>
        <w:numPr>
          <w:ilvl w:val="0"/>
          <w:numId w:val="0"/>
        </w:numPr>
        <w:jc w:val="both"/>
        <w:outlineLvl w:val="1"/>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4.4 计薪规则_添加薪资项优化</w:t>
      </w:r>
    </w:p>
    <w:p>
      <w:pPr>
        <w:widowControl w:val="0"/>
        <w:numPr>
          <w:ilvl w:val="0"/>
          <w:numId w:val="0"/>
        </w:numPr>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4.4.1 问题描述</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创建薪资组时若选择【使用空白模板】时，默认不存在分组概念，而当前的按钮“添加薪资项”与分组挂钩，导致无分组时，添加薪资项的理解成本很高。必须通过已经创建的薪资项列表行的【添加】按钮在薪资项的下方添加，如下图所示。</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7325" cy="2253615"/>
            <wp:effectExtent l="9525" t="9525" r="19050" b="2286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32"/>
                    <a:stretch>
                      <a:fillRect/>
                    </a:stretch>
                  </pic:blipFill>
                  <pic:spPr>
                    <a:xfrm>
                      <a:off x="0" y="0"/>
                      <a:ext cx="5267325" cy="2253615"/>
                    </a:xfrm>
                    <a:prstGeom prst="rect">
                      <a:avLst/>
                    </a:prstGeom>
                    <a:noFill/>
                    <a:ln>
                      <a:solidFill>
                        <a:schemeClr val="bg1">
                          <a:lumMod val="85000"/>
                        </a:schemeClr>
                      </a:solidFill>
                    </a:ln>
                  </pic:spPr>
                </pic:pic>
              </a:graphicData>
            </a:graphic>
          </wp:inline>
        </w:drawing>
      </w:r>
    </w:p>
    <w:p>
      <w:pPr>
        <w:widowControl w:val="0"/>
        <w:numPr>
          <w:ilvl w:val="0"/>
          <w:numId w:val="0"/>
        </w:numPr>
        <w:jc w:val="both"/>
        <w:rPr>
          <w:rFonts w:hint="eastAsia" w:ascii="微软雅黑" w:hAnsi="微软雅黑" w:eastAsia="微软雅黑" w:cs="微软雅黑"/>
        </w:rPr>
      </w:pPr>
    </w:p>
    <w:p>
      <w:pPr>
        <w:widowControl w:val="0"/>
        <w:numPr>
          <w:ilvl w:val="0"/>
          <w:numId w:val="0"/>
        </w:numPr>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4.4.2 优化策略</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1）添加薪资项按钮不再跟分组绑定，在分组外也需要常显。</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2）判断是否存在分组，若无分组可通过新增薪资项时自动创建分组。</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4.4.3 方案说明</w:t>
      </w:r>
    </w:p>
    <w:p>
      <w:pPr>
        <w:widowControl w:val="0"/>
        <w:numPr>
          <w:ilvl w:val="0"/>
          <w:numId w:val="0"/>
        </w:numPr>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4.4.3.1 添加薪资项的按钮显示</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040" cy="2933700"/>
            <wp:effectExtent l="0" t="0" r="3810" b="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33"/>
                    <a:stretch>
                      <a:fillRect/>
                    </a:stretch>
                  </pic:blipFill>
                  <pic:spPr>
                    <a:xfrm>
                      <a:off x="0" y="0"/>
                      <a:ext cx="5273040" cy="2933700"/>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说明：添加常显按钮【添加薪资项】</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当点击按钮时触发添加薪资项的弹窗，通过勾选/自定义薪资项完成薪资项的添加后会自动在薪资项行的底部添加该薪资项，并自动定位到最新的薪资项处。</w:t>
      </w:r>
    </w:p>
    <w:p>
      <w:pPr>
        <w:widowControl w:val="0"/>
        <w:numPr>
          <w:ilvl w:val="0"/>
          <w:numId w:val="0"/>
        </w:numPr>
        <w:jc w:val="both"/>
        <w:rPr>
          <w:rFonts w:hint="eastAsia" w:ascii="微软雅黑" w:hAnsi="微软雅黑" w:eastAsia="微软雅黑" w:cs="微软雅黑"/>
          <w:color w:val="7F7F7F" w:themeColor="background1" w:themeShade="80"/>
          <w:lang w:val="en-US" w:eastAsia="zh-CN"/>
        </w:rPr>
      </w:pPr>
      <w:r>
        <w:rPr>
          <w:rFonts w:hint="eastAsia" w:ascii="微软雅黑" w:hAnsi="微软雅黑" w:eastAsia="微软雅黑" w:cs="微软雅黑"/>
          <w:color w:val="7F7F7F" w:themeColor="background1" w:themeShade="80"/>
          <w:lang w:val="en-US" w:eastAsia="zh-CN"/>
        </w:rPr>
        <w:t>注意：定位以当前界面纵向滚动条为基准，即最新的薪资项一定是纵向滚动条的最底部，但基于4.1.1的说明，不会影响其他区域内容的显示。</w:t>
      </w:r>
    </w:p>
    <w:p>
      <w:pPr>
        <w:widowControl w:val="0"/>
        <w:numPr>
          <w:ilvl w:val="0"/>
          <w:numId w:val="0"/>
        </w:numPr>
        <w:jc w:val="both"/>
        <w:rPr>
          <w:rFonts w:hint="eastAsia" w:ascii="微软雅黑" w:hAnsi="微软雅黑" w:eastAsia="微软雅黑" w:cs="微软雅黑"/>
          <w:color w:val="7F7F7F" w:themeColor="background1" w:themeShade="80"/>
          <w:lang w:val="en-US" w:eastAsia="zh-CN"/>
        </w:rPr>
      </w:pPr>
    </w:p>
    <w:p>
      <w:pPr>
        <w:widowControl w:val="0"/>
        <w:numPr>
          <w:ilvl w:val="0"/>
          <w:numId w:val="4"/>
        </w:numPr>
        <w:ind w:left="0" w:leftChars="0" w:firstLine="0" w:firstLineChars="0"/>
        <w:jc w:val="both"/>
        <w:outlineLvl w:val="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核算薪资</w:t>
      </w:r>
    </w:p>
    <w:p>
      <w:pPr>
        <w:widowControl w:val="0"/>
        <w:numPr>
          <w:ilvl w:val="0"/>
          <w:numId w:val="0"/>
        </w:numPr>
        <w:ind w:leftChars="0"/>
        <w:jc w:val="both"/>
        <w:outlineLvl w:val="1"/>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5.1 核算薪资过程样式调整</w:t>
      </w:r>
    </w:p>
    <w:p>
      <w:pPr>
        <w:widowControl w:val="0"/>
        <w:numPr>
          <w:ilvl w:val="0"/>
          <w:numId w:val="0"/>
        </w:numPr>
        <w:ind w:leftChars="0"/>
        <w:jc w:val="both"/>
        <w:outlineLvl w:val="2"/>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5.1.1 问题描述</w:t>
      </w:r>
    </w:p>
    <w:p>
      <w:pPr>
        <w:widowControl w:val="0"/>
        <w:numPr>
          <w:ilvl w:val="0"/>
          <w:numId w:val="0"/>
        </w:numPr>
        <w:ind w:leftChars="0"/>
        <w:jc w:val="both"/>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当前的四叶草Loding导致用户在界面无法操作任何其他事情，因为一旦终止就会导致计算失败，且无法继续计算。</w:t>
      </w:r>
    </w:p>
    <w:p>
      <w:pPr>
        <w:widowControl w:val="0"/>
        <w:numPr>
          <w:ilvl w:val="0"/>
          <w:numId w:val="0"/>
        </w:numPr>
        <w:jc w:val="both"/>
        <w:outlineLvl w:val="2"/>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5.1.2 优化策略</w:t>
      </w:r>
    </w:p>
    <w:p>
      <w:pPr>
        <w:widowControl w:val="0"/>
        <w:numPr>
          <w:ilvl w:val="0"/>
          <w:numId w:val="0"/>
        </w:numPr>
        <w:jc w:val="both"/>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在性能优化的基础上，是否可以通过任务模块/日志的方式，将计算薪资作为一个任务新建，不影响界面的操作。当任务未完成时，始终显示进度条的Loding，允许用户主动终止。</w:t>
      </w:r>
    </w:p>
    <w:p>
      <w:pPr>
        <w:widowControl w:val="0"/>
        <w:numPr>
          <w:ilvl w:val="0"/>
          <w:numId w:val="0"/>
        </w:numPr>
        <w:jc w:val="both"/>
        <w:outlineLvl w:val="2"/>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5.1.3 方案说明</w:t>
      </w:r>
    </w:p>
    <w:p>
      <w:pPr>
        <w:widowControl w:val="0"/>
        <w:numPr>
          <w:ilvl w:val="0"/>
          <w:numId w:val="0"/>
        </w:numPr>
        <w:jc w:val="both"/>
        <w:outlineLvl w:val="3"/>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5.1.3.1 调整Loding样式</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040" cy="2933700"/>
            <wp:effectExtent l="0" t="0" r="381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9"/>
                    <pic:cNvPicPr>
                      <a:picLocks noChangeAspect="1"/>
                    </pic:cNvPicPr>
                  </pic:nvPicPr>
                  <pic:blipFill>
                    <a:blip r:embed="rId34"/>
                    <a:stretch>
                      <a:fillRect/>
                    </a:stretch>
                  </pic:blipFill>
                  <pic:spPr>
                    <a:xfrm>
                      <a:off x="0" y="0"/>
                      <a:ext cx="5273040" cy="2933700"/>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rPr>
      </w:pP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7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元素</w:t>
            </w:r>
          </w:p>
        </w:tc>
        <w:tc>
          <w:tcPr>
            <w:tcW w:w="7096"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进度条</w:t>
            </w:r>
          </w:p>
        </w:tc>
        <w:tc>
          <w:tcPr>
            <w:tcW w:w="7096"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显示进度条，根据选定的核对算薪人员的数量，基于处理的情况适配进度条的进度。</w:t>
            </w:r>
          </w:p>
          <w:p>
            <w:pPr>
              <w:widowControl w:val="0"/>
              <w:numPr>
                <w:ilvl w:val="0"/>
                <w:numId w:val="18"/>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未完成进度：蓝框白底区域所占的进度条总长的比例，按公式计算。</w:t>
            </w:r>
          </w:p>
          <w:p>
            <w:pPr>
              <w:widowControl w:val="0"/>
              <w:numPr>
                <w:ilvl w:val="0"/>
                <w:numId w:val="18"/>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已完成进度：蓝框蓝底区域所占的进度条总长的比例，按公式计算。</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color w:val="7F7F7F" w:themeColor="background1" w:themeShade="80"/>
                <w:sz w:val="18"/>
                <w:szCs w:val="18"/>
                <w:lang w:val="en-US" w:eastAsia="zh-CN"/>
              </w:rPr>
              <w:t>注意：处理办法根据技术实现逻辑处理，若允许返回实际的进度处理情况则根据【已完成算薪人员数量】/【总算薪人员数量】取整数*100的值作为进度结果展示，并适配进度条已完成的显示范围。若无法实时返回处理进度则制作假进度，卡50%、80%、99%来完成数据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tabs>
                <w:tab w:val="left" w:pos="913"/>
              </w:tabs>
              <w:rPr>
                <w:rFonts w:hint="eastAsia" w:ascii="微软雅黑" w:hAnsi="微软雅黑" w:eastAsia="微软雅黑" w:cs="微软雅黑"/>
                <w:color w:val="000000" w:themeColor="text1"/>
                <w:sz w:val="18"/>
                <w:szCs w:val="18"/>
                <w:lang w:val="en-US" w:eastAsia="zh-CN"/>
                <w14:textFill>
                  <w14:solidFill>
                    <w14:schemeClr w14:val="tx1"/>
                  </w14:solidFill>
                </w14:textFill>
              </w:rPr>
            </w:pPr>
            <w:commentRangeStart w:id="0"/>
            <w:r>
              <w:rPr>
                <w:rFonts w:hint="eastAsia" w:ascii="微软雅黑" w:hAnsi="微软雅黑" w:eastAsia="微软雅黑" w:cs="微软雅黑"/>
                <w:color w:val="000000" w:themeColor="text1"/>
                <w:sz w:val="18"/>
                <w:szCs w:val="18"/>
                <w:lang w:val="en-US" w:eastAsia="zh-CN"/>
                <w14:textFill>
                  <w14:solidFill>
                    <w14:schemeClr w14:val="tx1"/>
                  </w14:solidFill>
                </w14:textFill>
              </w:rPr>
              <w:t>X</w:t>
            </w:r>
          </w:p>
        </w:tc>
        <w:tc>
          <w:tcPr>
            <w:tcW w:w="7096" w:type="dxa"/>
          </w:tcPr>
          <w:p>
            <w:pPr>
              <w:widowControl w:val="0"/>
              <w:numPr>
                <w:ilvl w:val="0"/>
                <w:numId w:val="0"/>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点击X按钮则终止进度，点击时需弹窗提示“是否停止计算”点击【是】才生效，点击【否】则关闭弹窗。</w:t>
            </w:r>
            <w:commentRangeEnd w:id="0"/>
            <w:r>
              <w:rPr>
                <w:rFonts w:hint="eastAsia" w:ascii="微软雅黑" w:hAnsi="微软雅黑" w:eastAsia="微软雅黑" w:cs="微软雅黑"/>
              </w:rPr>
              <w:commentReference w:id="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文本</w:t>
            </w:r>
          </w:p>
        </w:tc>
        <w:tc>
          <w:tcPr>
            <w:tcW w:w="7096"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文本为：“正在拼命计算X/Y条员工的薪资”；其中X为当前处理数据完成的累计值，Y为当前总的数据量。X为动态值，动态刷新逻辑为1S。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7" w:type="dxa"/>
          </w:tcPr>
          <w:p>
            <w:pPr>
              <w:tabs>
                <w:tab w:val="left" w:pos="913"/>
              </w:tabs>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进度值</w:t>
            </w:r>
          </w:p>
        </w:tc>
        <w:tc>
          <w:tcPr>
            <w:tcW w:w="7096" w:type="dxa"/>
          </w:tcPr>
          <w:p>
            <w:pPr>
              <w:widowControl w:val="0"/>
              <w:numPr>
                <w:ilvl w:val="0"/>
                <w:numId w:val="0"/>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根据【已完成算薪人员数量】/【总算薪人员数量】取整数*100的值计算展示。</w:t>
            </w:r>
          </w:p>
        </w:tc>
      </w:tr>
    </w:tbl>
    <w:p>
      <w:pPr>
        <w:widowControl w:val="0"/>
        <w:numPr>
          <w:ilvl w:val="0"/>
          <w:numId w:val="0"/>
        </w:numPr>
        <w:jc w:val="both"/>
        <w:rPr>
          <w:rFonts w:hint="eastAsia" w:ascii="微软雅黑" w:hAnsi="微软雅黑" w:eastAsia="微软雅黑" w:cs="微软雅黑"/>
          <w:color w:val="000000" w:themeColor="text1"/>
          <w:lang w:val="en-US" w:eastAsia="zh-CN"/>
          <w14:textFill>
            <w14:solidFill>
              <w14:schemeClr w14:val="tx1"/>
            </w14:solidFill>
          </w14:textFill>
        </w:rPr>
      </w:pPr>
    </w:p>
    <w:p>
      <w:pPr>
        <w:widowControl w:val="0"/>
        <w:numPr>
          <w:ilvl w:val="0"/>
          <w:numId w:val="19"/>
        </w:numPr>
        <w:jc w:val="both"/>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触发逻辑：</w:t>
      </w:r>
    </w:p>
    <w:p>
      <w:pPr>
        <w:widowControl w:val="0"/>
        <w:numPr>
          <w:ilvl w:val="0"/>
          <w:numId w:val="0"/>
        </w:numPr>
        <w:jc w:val="both"/>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当点击【开始计算/重新计算】或当计薪规则、计税规则、薪资组配置（含修改算薪人员）发生变化时（参见23年1.1的文档内关于调整事件弹窗三合一的说明）。则触发loding。Loding过程包含校验与处理进度两件事，具体如下：</w:t>
      </w:r>
    </w:p>
    <w:p>
      <w:pPr>
        <w:widowControl w:val="0"/>
        <w:numPr>
          <w:ilvl w:val="0"/>
          <w:numId w:val="20"/>
        </w:numPr>
        <w:jc w:val="both"/>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优先校验选定的核对算薪人员的计算公式是否有误</w:t>
      </w:r>
    </w:p>
    <w:p>
      <w:pPr>
        <w:widowControl w:val="0"/>
        <w:numPr>
          <w:ilvl w:val="0"/>
          <w:numId w:val="0"/>
        </w:numPr>
        <w:jc w:val="both"/>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针对存在运算逻辑的薪资项逐一校验：</w:t>
      </w: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5"/>
        <w:gridCol w:w="7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错误项</w:t>
            </w:r>
          </w:p>
        </w:tc>
        <w:tc>
          <w:tcPr>
            <w:tcW w:w="7398"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计算无误</w:t>
            </w:r>
          </w:p>
        </w:tc>
        <w:tc>
          <w:tcPr>
            <w:tcW w:w="7398" w:type="dxa"/>
          </w:tcPr>
          <w:p>
            <w:pPr>
              <w:widowControl w:val="0"/>
              <w:numPr>
                <w:ilvl w:val="0"/>
                <w:numId w:val="21"/>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若运算格式无误且参与计算的因子均为数值，则计算无误。</w:t>
            </w:r>
          </w:p>
          <w:p>
            <w:pPr>
              <w:widowControl w:val="0"/>
              <w:numPr>
                <w:ilvl w:val="0"/>
                <w:numId w:val="21"/>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若运算格式无误且参与计算的因子值为空时，则计0计算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计算有误</w:t>
            </w:r>
          </w:p>
        </w:tc>
        <w:tc>
          <w:tcPr>
            <w:tcW w:w="7398"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1、当薪资项的取值方式涉及授权字段未授权的情况时，显示授权说明弹窗，见【12月1.0文档中的4.4.3的描述】，本期不赘述。</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2、当运算格式无误但计算因子（薪资项）关联参与计算的人员实际取值为非数值时，则计算有误，弹窗样式如下：</w:t>
            </w:r>
          </w:p>
          <w:p>
            <w:pPr>
              <w:widowControl w:val="0"/>
              <w:numPr>
                <w:ilvl w:val="0"/>
                <w:numId w:val="0"/>
              </w:numPr>
              <w:jc w:val="both"/>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4130040" cy="2348230"/>
                  <wp:effectExtent l="0" t="0" r="3810" b="13970"/>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
                          <pic:cNvPicPr>
                            <a:picLocks noChangeAspect="1"/>
                          </pic:cNvPicPr>
                        </pic:nvPicPr>
                        <pic:blipFill>
                          <a:blip r:embed="rId35"/>
                          <a:stretch>
                            <a:fillRect/>
                          </a:stretch>
                        </pic:blipFill>
                        <pic:spPr>
                          <a:xfrm>
                            <a:off x="0" y="0"/>
                            <a:ext cx="4130040" cy="2348230"/>
                          </a:xfrm>
                          <a:prstGeom prst="rect">
                            <a:avLst/>
                          </a:prstGeom>
                          <a:noFill/>
                          <a:ln>
                            <a:noFill/>
                          </a:ln>
                        </pic:spPr>
                      </pic:pic>
                    </a:graphicData>
                  </a:graphic>
                </wp:inline>
              </w:drawing>
            </w:r>
          </w:p>
          <w:p>
            <w:pPr>
              <w:widowControl w:val="0"/>
              <w:numPr>
                <w:ilvl w:val="0"/>
                <w:numId w:val="22"/>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算薪人员：校验会根据选定的算薪人员逐一校验，若错误则显示算薪人员的姓名</w:t>
            </w:r>
          </w:p>
          <w:p>
            <w:pPr>
              <w:widowControl w:val="0"/>
              <w:numPr>
                <w:ilvl w:val="0"/>
                <w:numId w:val="22"/>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薪资项：算薪人员下的薪资项存在运算错误，则显示对应薪资项的名称。</w:t>
            </w:r>
          </w:p>
          <w:p>
            <w:pPr>
              <w:widowControl w:val="0"/>
              <w:numPr>
                <w:ilvl w:val="0"/>
                <w:numId w:val="22"/>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失败原因：在错误信息弹窗中的失败原因处显示“XX的值为“Y”，非数字中无法参与计算”；XX为薪资项下的计算公式中存在非数值的计算因子，该因子用[]框定，可以是函数、也可以是参数、也可以是薪资项，运算符为【+、-、*、/】，不含【（）、””、&gt;、&lt;、&lt;&gt;、&gt;=、&lt;=】；Y以2个运算符之间的内容。示例如下</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（1）常规薪资项参与计算：应发工资为例：</w:t>
            </w:r>
          </w:p>
          <w:p>
            <w:pPr>
              <w:widowControl w:val="0"/>
              <w:numPr>
                <w:ilvl w:val="0"/>
                <w:numId w:val="0"/>
              </w:numPr>
              <w:jc w:val="both"/>
              <w:rPr>
                <w:rFonts w:hint="eastAsia" w:ascii="微软雅黑" w:hAnsi="微软雅黑" w:eastAsia="微软雅黑" w:cs="微软雅黑"/>
                <w:color w:val="7F7F7F" w:themeColor="background1" w:themeShade="80"/>
                <w:sz w:val="18"/>
                <w:szCs w:val="18"/>
                <w:lang w:val="en-US" w:eastAsia="zh-CN"/>
              </w:rPr>
            </w:pPr>
            <w:r>
              <w:rPr>
                <w:rFonts w:hint="eastAsia" w:ascii="微软雅黑" w:hAnsi="微软雅黑" w:eastAsia="微软雅黑" w:cs="微软雅黑"/>
                <w:color w:val="7F7F7F" w:themeColor="background1" w:themeShade="80"/>
                <w:sz w:val="18"/>
                <w:szCs w:val="18"/>
                <w:lang w:val="en-US" w:eastAsia="zh-CN"/>
              </w:rPr>
              <w:t>应发工资=</w:t>
            </w:r>
            <w:r>
              <w:rPr>
                <w:rFonts w:hint="eastAsia" w:ascii="微软雅黑" w:hAnsi="微软雅黑" w:eastAsia="微软雅黑" w:cs="微软雅黑"/>
                <w:i w:val="0"/>
                <w:iCs w:val="0"/>
                <w:caps w:val="0"/>
                <w:color w:val="7F7F7F" w:themeColor="background1" w:themeShade="80"/>
                <w:spacing w:val="0"/>
                <w:sz w:val="18"/>
                <w:szCs w:val="18"/>
                <w:shd w:val="clear" w:fill="FFFFFF"/>
              </w:rPr>
              <w:t>#基本工资#+#岗位补贴#+#绩效奖金#+ #业绩提成#+#税前补差#-#事假扣款#-#病假扣款#-#入离职缺勤扣款#</w:t>
            </w:r>
            <w:r>
              <w:rPr>
                <w:rFonts w:hint="eastAsia" w:ascii="微软雅黑" w:hAnsi="微软雅黑" w:eastAsia="微软雅黑" w:cs="微软雅黑"/>
                <w:i w:val="0"/>
                <w:iCs w:val="0"/>
                <w:caps w:val="0"/>
                <w:color w:val="7F7F7F" w:themeColor="background1" w:themeShade="80"/>
                <w:spacing w:val="0"/>
                <w:sz w:val="18"/>
                <w:szCs w:val="18"/>
                <w:shd w:val="clear" w:fill="FFFFFF"/>
                <w:lang w:eastAsia="zh-CN"/>
              </w:rPr>
              <w:t>；</w:t>
            </w:r>
            <w:r>
              <w:rPr>
                <w:rFonts w:hint="eastAsia" w:ascii="微软雅黑" w:hAnsi="微软雅黑" w:eastAsia="微软雅黑" w:cs="微软雅黑"/>
                <w:i w:val="0"/>
                <w:iCs w:val="0"/>
                <w:caps w:val="0"/>
                <w:color w:val="7F7F7F" w:themeColor="background1" w:themeShade="80"/>
                <w:spacing w:val="0"/>
                <w:sz w:val="18"/>
                <w:szCs w:val="18"/>
                <w:shd w:val="clear" w:fill="FFFFFF"/>
                <w:lang w:val="en-US" w:eastAsia="zh-CN"/>
              </w:rPr>
              <w:t>若岗位补贴取值为【A】，校验A不是数字，则提示“岗位补贴</w:t>
            </w:r>
            <w:r>
              <w:rPr>
                <w:rFonts w:hint="eastAsia" w:ascii="微软雅黑" w:hAnsi="微软雅黑" w:eastAsia="微软雅黑" w:cs="微软雅黑"/>
                <w:color w:val="7F7F7F" w:themeColor="background1" w:themeShade="80"/>
                <w:sz w:val="18"/>
                <w:szCs w:val="18"/>
                <w:lang w:val="en-US" w:eastAsia="zh-CN"/>
              </w:rPr>
              <w:t>的值为“A”，非数字中无法参与计算”</w:t>
            </w:r>
          </w:p>
          <w:p>
            <w:pPr>
              <w:widowControl w:val="0"/>
              <w:numPr>
                <w:ilvl w:val="0"/>
                <w:numId w:val="20"/>
              </w:numPr>
              <w:ind w:left="0" w:leftChars="0" w:firstLine="0" w:firstLineChars="0"/>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函数参与计算：不满7天扣款为例：</w:t>
            </w:r>
          </w:p>
          <w:p>
            <w:pPr>
              <w:widowControl w:val="0"/>
              <w:numPr>
                <w:ilvl w:val="0"/>
                <w:numId w:val="0"/>
              </w:numPr>
              <w:jc w:val="both"/>
              <w:rPr>
                <w:rFonts w:hint="eastAsia" w:ascii="微软雅黑" w:hAnsi="微软雅黑" w:eastAsia="微软雅黑" w:cs="微软雅黑"/>
                <w:color w:val="7F7F7F" w:themeColor="background1" w:themeShade="80"/>
                <w:sz w:val="18"/>
                <w:szCs w:val="18"/>
                <w:lang w:val="en-US" w:eastAsia="zh-CN"/>
              </w:rPr>
            </w:pPr>
            <w:r>
              <w:rPr>
                <w:rFonts w:hint="eastAsia" w:ascii="微软雅黑" w:hAnsi="微软雅黑" w:eastAsia="微软雅黑" w:cs="微软雅黑"/>
                <w:color w:val="7F7F7F" w:themeColor="background1" w:themeShade="80"/>
                <w:sz w:val="18"/>
                <w:szCs w:val="18"/>
                <w:lang w:val="en-US" w:eastAsia="zh-CN"/>
              </w:rPr>
              <w:t>通过公式计算[100+IF(离职性质="企业辞退",A,IF(AND(离职日期&lt;&gt;"",在职天数&lt;=7),MAX(应发工资,0),0))]；若IF函数的结果为非数字，例如上述案例如果离职性质为“企业辞退”则IF结果为A时，参与100+A的运算时，</w:t>
            </w:r>
            <w:r>
              <w:rPr>
                <w:rFonts w:hint="eastAsia" w:ascii="微软雅黑" w:hAnsi="微软雅黑" w:eastAsia="微软雅黑" w:cs="微软雅黑"/>
                <w:i w:val="0"/>
                <w:iCs w:val="0"/>
                <w:caps w:val="0"/>
                <w:color w:val="7F7F7F" w:themeColor="background1" w:themeShade="80"/>
                <w:spacing w:val="0"/>
                <w:sz w:val="18"/>
                <w:szCs w:val="18"/>
                <w:shd w:val="clear" w:fill="FFFFFF"/>
                <w:lang w:val="en-US" w:eastAsia="zh-CN"/>
              </w:rPr>
              <w:t>校验A不是数字，则提示“IF函数的结果为</w:t>
            </w:r>
            <w:r>
              <w:rPr>
                <w:rFonts w:hint="eastAsia" w:ascii="微软雅黑" w:hAnsi="微软雅黑" w:eastAsia="微软雅黑" w:cs="微软雅黑"/>
                <w:color w:val="7F7F7F" w:themeColor="background1" w:themeShade="80"/>
                <w:sz w:val="18"/>
                <w:szCs w:val="18"/>
                <w:lang w:val="en-US" w:eastAsia="zh-CN"/>
              </w:rPr>
              <w:t>“A”，非数字中无法参与计算”</w:t>
            </w:r>
          </w:p>
          <w:p>
            <w:pPr>
              <w:widowControl w:val="0"/>
              <w:numPr>
                <w:ilvl w:val="0"/>
                <w:numId w:val="21"/>
              </w:numPr>
              <w:ind w:left="0" w:leftChars="0" w:firstLine="0" w:firstLineChars="0"/>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修改计薪规则：该按钮与计薪规则中的【试算示例】中的【</w:t>
            </w:r>
            <w:r>
              <w:rPr>
                <w:rFonts w:hint="eastAsia" w:ascii="微软雅黑" w:hAnsi="微软雅黑" w:eastAsia="微软雅黑" w:cs="微软雅黑"/>
                <w:i w:val="0"/>
                <w:iCs w:val="0"/>
                <w:caps w:val="0"/>
                <w:color w:val="000000" w:themeColor="text1"/>
                <w:spacing w:val="0"/>
                <w:sz w:val="18"/>
                <w:szCs w:val="18"/>
                <w:shd w:val="clear" w:fill="FFFFFF"/>
                <w14:textFill>
                  <w14:solidFill>
                    <w14:schemeClr w14:val="tx1"/>
                  </w14:solidFill>
                </w14:textFill>
              </w:rPr>
              <w:t>修改试算人员与薪资月份</w:t>
            </w:r>
            <w:r>
              <w:rPr>
                <w:rFonts w:hint="eastAsia" w:ascii="微软雅黑" w:hAnsi="微软雅黑" w:eastAsia="微软雅黑" w:cs="微软雅黑"/>
                <w:color w:val="000000" w:themeColor="text1"/>
                <w:sz w:val="18"/>
                <w:szCs w:val="18"/>
                <w:lang w:val="en-US" w:eastAsia="zh-CN"/>
                <w14:textFill>
                  <w14:solidFill>
                    <w14:schemeClr w14:val="tx1"/>
                  </w14:solidFill>
                </w14:textFill>
              </w:rPr>
              <w:t>】绑定，自动切换为弹窗中第一个算薪人员，且薪资月份从核算薪资的算薪月度获取。（切换过程则计薪规则表单展示最新结果），同步试算结果处显示报错信息，如下图所示：</w:t>
            </w:r>
          </w:p>
          <w:p>
            <w:pPr>
              <w:numPr>
                <w:ilvl w:val="0"/>
                <w:numId w:val="0"/>
              </w:numPr>
              <w:tabs>
                <w:tab w:val="left" w:pos="913"/>
              </w:tabs>
              <w:ind w:leftChars="0"/>
              <w:rPr>
                <w:rFonts w:hint="eastAsia" w:ascii="微软雅黑" w:hAnsi="微软雅黑" w:eastAsia="微软雅黑" w:cs="微软雅黑"/>
                <w:sz w:val="18"/>
                <w:szCs w:val="18"/>
              </w:rPr>
            </w:pPr>
            <w:r>
              <w:rPr>
                <w:rFonts w:hint="eastAsia" w:ascii="微软雅黑" w:hAnsi="微软雅黑" w:eastAsia="微软雅黑" w:cs="微软雅黑"/>
              </w:rPr>
              <w:drawing>
                <wp:inline distT="0" distB="0" distL="114300" distR="114300">
                  <wp:extent cx="4489450" cy="389255"/>
                  <wp:effectExtent l="0" t="0" r="6350" b="10795"/>
                  <wp:docPr id="5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9"/>
                          <pic:cNvPicPr>
                            <a:picLocks noChangeAspect="1"/>
                          </pic:cNvPicPr>
                        </pic:nvPicPr>
                        <pic:blipFill>
                          <a:blip r:embed="rId36"/>
                          <a:stretch>
                            <a:fillRect/>
                          </a:stretch>
                        </pic:blipFill>
                        <pic:spPr>
                          <a:xfrm>
                            <a:off x="0" y="0"/>
                            <a:ext cx="4489450" cy="389255"/>
                          </a:xfrm>
                          <a:prstGeom prst="rect">
                            <a:avLst/>
                          </a:prstGeom>
                          <a:noFill/>
                          <a:ln>
                            <a:noFill/>
                          </a:ln>
                        </pic:spPr>
                      </pic:pic>
                    </a:graphicData>
                  </a:graphic>
                </wp:inline>
              </w:drawing>
            </w:r>
          </w:p>
          <w:p>
            <w:pPr>
              <w:numPr>
                <w:ilvl w:val="0"/>
                <w:numId w:val="0"/>
              </w:numPr>
              <w:tabs>
                <w:tab w:val="left" w:pos="913"/>
              </w:tabs>
              <w:ind w:leftChars="0"/>
              <w:rPr>
                <w:rFonts w:hint="eastAsia" w:ascii="微软雅黑" w:hAnsi="微软雅黑" w:eastAsia="微软雅黑" w:cs="微软雅黑"/>
                <w:color w:val="7F7F7F" w:themeColor="background1" w:themeShade="80"/>
                <w:sz w:val="18"/>
                <w:szCs w:val="18"/>
                <w:lang w:val="en-US" w:eastAsia="zh-CN"/>
              </w:rPr>
            </w:pPr>
            <w:r>
              <w:rPr>
                <w:rFonts w:hint="eastAsia" w:ascii="微软雅黑" w:hAnsi="微软雅黑" w:eastAsia="微软雅黑" w:cs="微软雅黑"/>
                <w:sz w:val="18"/>
                <w:szCs w:val="18"/>
                <w:lang w:val="en-US" w:eastAsia="zh-CN"/>
              </w:rPr>
              <w:t>说明：当鼠标经过【计算错误】文本按钮时显示气泡提示，气泡文案格式[计算因子内容]未的值为“AAA”，非数字无法参与计算。</w:t>
            </w:r>
          </w:p>
        </w:tc>
      </w:tr>
    </w:tbl>
    <w:p>
      <w:pPr>
        <w:widowControl w:val="0"/>
        <w:numPr>
          <w:ilvl w:val="0"/>
          <w:numId w:val="0"/>
        </w:numPr>
        <w:jc w:val="both"/>
        <w:rPr>
          <w:rFonts w:hint="eastAsia" w:ascii="微软雅黑" w:hAnsi="微软雅黑" w:eastAsia="微软雅黑" w:cs="微软雅黑"/>
          <w:color w:val="000000" w:themeColor="text1"/>
          <w:lang w:val="en-US" w:eastAsia="zh-CN"/>
          <w14:textFill>
            <w14:solidFill>
              <w14:schemeClr w14:val="tx1"/>
            </w14:solidFill>
          </w14:textFill>
        </w:rPr>
      </w:pPr>
    </w:p>
    <w:p>
      <w:pPr>
        <w:widowControl w:val="0"/>
        <w:numPr>
          <w:ilvl w:val="0"/>
          <w:numId w:val="20"/>
        </w:numPr>
        <w:ind w:left="0" w:leftChars="0" w:firstLine="0" w:firstLineChars="0"/>
        <w:jc w:val="both"/>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处理进度</w:t>
      </w: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5"/>
        <w:gridCol w:w="7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5"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状态</w:t>
            </w:r>
          </w:p>
        </w:tc>
        <w:tc>
          <w:tcPr>
            <w:tcW w:w="7398"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处理中</w:t>
            </w:r>
          </w:p>
        </w:tc>
        <w:tc>
          <w:tcPr>
            <w:tcW w:w="7398"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当生成进度条过程中因进度条下的界面显示蒙层，会导致无法无法操作返回和切换TAB菜单，避免处理进程的中断。</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color w:val="7F7F7F" w:themeColor="background1" w:themeShade="80"/>
                <w:sz w:val="18"/>
                <w:szCs w:val="18"/>
                <w:lang w:val="en-US" w:eastAsia="zh-CN"/>
              </w:rPr>
              <w:t>注意：一定要优化性能，避免算薪人员过多时，始终计算不出来的情况。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处理完成</w:t>
            </w:r>
          </w:p>
        </w:tc>
        <w:tc>
          <w:tcPr>
            <w:tcW w:w="7398" w:type="dxa"/>
          </w:tcPr>
          <w:p>
            <w:pPr>
              <w:widowControl w:val="0"/>
              <w:numPr>
                <w:ilvl w:val="0"/>
                <w:numId w:val="0"/>
              </w:numPr>
              <w:jc w:val="both"/>
              <w:rPr>
                <w:rFonts w:hint="eastAsia" w:ascii="微软雅黑" w:hAnsi="微软雅黑" w:eastAsia="微软雅黑" w:cs="微软雅黑"/>
                <w:color w:val="7F7F7F" w:themeColor="background1" w:themeShade="80"/>
                <w:sz w:val="18"/>
                <w:szCs w:val="18"/>
                <w:lang w:val="en-US" w:eastAsia="zh-CN"/>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当loding结束则关闭进度条弹窗并刷新表单。</w:t>
            </w:r>
          </w:p>
        </w:tc>
      </w:tr>
    </w:tbl>
    <w:p>
      <w:pPr>
        <w:widowControl w:val="0"/>
        <w:numPr>
          <w:ilvl w:val="0"/>
          <w:numId w:val="0"/>
        </w:numPr>
        <w:ind w:leftChars="0"/>
        <w:jc w:val="both"/>
        <w:rPr>
          <w:rFonts w:hint="eastAsia" w:ascii="微软雅黑" w:hAnsi="微软雅黑" w:eastAsia="微软雅黑" w:cs="微软雅黑"/>
          <w:color w:val="000000" w:themeColor="text1"/>
          <w:lang w:val="en-US" w:eastAsia="zh-CN"/>
          <w14:textFill>
            <w14:solidFill>
              <w14:schemeClr w14:val="tx1"/>
            </w14:solidFill>
          </w14:textFill>
        </w:rPr>
      </w:pPr>
    </w:p>
    <w:p>
      <w:pPr>
        <w:widowControl w:val="0"/>
        <w:numPr>
          <w:ilvl w:val="0"/>
          <w:numId w:val="0"/>
        </w:numPr>
        <w:jc w:val="both"/>
        <w:outlineLvl w:val="1"/>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5.2 新增表单管理与全屏按钮</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6690" cy="2932430"/>
            <wp:effectExtent l="0" t="0" r="10160" b="1270"/>
            <wp:docPr id="7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pic:cNvPicPr>
                      <a:picLocks noChangeAspect="1"/>
                    </pic:cNvPicPr>
                  </pic:nvPicPr>
                  <pic:blipFill>
                    <a:blip r:embed="rId37"/>
                    <a:stretch>
                      <a:fillRect/>
                    </a:stretch>
                  </pic:blipFill>
                  <pic:spPr>
                    <a:xfrm>
                      <a:off x="0" y="0"/>
                      <a:ext cx="5266690" cy="2932430"/>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rPr>
      </w:pP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替换原【操作】列的文案为【表单管理】和【全屏】按钮，当鼠标经过时显示提示对应按钮名称：</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1771015" cy="775335"/>
            <wp:effectExtent l="0" t="0" r="635" b="5715"/>
            <wp:docPr id="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pic:cNvPicPr>
                      <a:picLocks noChangeAspect="1"/>
                    </pic:cNvPicPr>
                  </pic:nvPicPr>
                  <pic:blipFill>
                    <a:blip r:embed="rId38"/>
                    <a:stretch>
                      <a:fillRect/>
                    </a:stretch>
                  </pic:blipFill>
                  <pic:spPr>
                    <a:xfrm>
                      <a:off x="0" y="0"/>
                      <a:ext cx="1771015" cy="775335"/>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rPr>
      </w:pPr>
    </w:p>
    <w:p>
      <w:pPr>
        <w:widowControl w:val="0"/>
        <w:numPr>
          <w:ilvl w:val="0"/>
          <w:numId w:val="0"/>
        </w:numPr>
        <w:jc w:val="both"/>
        <w:outlineLvl w:val="2"/>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5.2.1 全屏按钮</w:t>
      </w:r>
    </w:p>
    <w:p>
      <w:pPr>
        <w:widowControl w:val="0"/>
        <w:numPr>
          <w:ilvl w:val="0"/>
          <w:numId w:val="0"/>
        </w:numPr>
        <w:jc w:val="both"/>
        <w:rPr>
          <w:rFonts w:hint="eastAsia" w:ascii="微软雅黑" w:hAnsi="微软雅黑" w:eastAsia="微软雅黑" w:cs="微软雅黑"/>
          <w:lang w:val="en-US" w:eastAsia="zh-CN"/>
        </w:rPr>
      </w:pPr>
      <w:commentRangeStart w:id="1"/>
      <w:r>
        <w:rPr>
          <w:rFonts w:hint="eastAsia" w:ascii="微软雅黑" w:hAnsi="微软雅黑" w:eastAsia="微软雅黑" w:cs="微软雅黑"/>
          <w:lang w:val="en-US" w:eastAsia="zh-CN"/>
        </w:rPr>
        <w:t>当鼠标经过全屏按钮时，显示手状并显示提示文本“全屏”</w:t>
      </w:r>
      <w:commentRangeEnd w:id="1"/>
      <w:r>
        <w:rPr>
          <w:rFonts w:hint="eastAsia" w:ascii="微软雅黑" w:hAnsi="微软雅黑" w:eastAsia="微软雅黑" w:cs="微软雅黑"/>
        </w:rPr>
        <w:commentReference w:id="1"/>
      </w:r>
      <w:r>
        <w:rPr>
          <w:rFonts w:hint="eastAsia" w:ascii="微软雅黑" w:hAnsi="微软雅黑" w:eastAsia="微软雅黑" w:cs="微软雅黑"/>
          <w:lang w:val="en-US" w:eastAsia="zh-CN"/>
        </w:rPr>
        <w:t>点击按钮载入子级界面，显示当前薪资组算薪人员的全屏界面。</w:t>
      </w:r>
    </w:p>
    <w:p>
      <w:pPr>
        <w:widowControl w:val="0"/>
        <w:numPr>
          <w:ilvl w:val="0"/>
          <w:numId w:val="0"/>
        </w:numPr>
        <w:jc w:val="both"/>
        <w:outlineLvl w:val="9"/>
        <w:rPr>
          <w:rFonts w:hint="eastAsia" w:ascii="微软雅黑" w:hAnsi="微软雅黑" w:eastAsia="微软雅黑" w:cs="微软雅黑"/>
          <w:lang w:val="en-US" w:eastAsia="zh-CN"/>
        </w:rPr>
      </w:pPr>
    </w:p>
    <w:p>
      <w:pPr>
        <w:widowControl w:val="0"/>
        <w:numPr>
          <w:ilvl w:val="0"/>
          <w:numId w:val="0"/>
        </w:numPr>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5.2.1.1 全屏界面说明</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040" cy="2933700"/>
            <wp:effectExtent l="9525" t="9525" r="13335" b="9525"/>
            <wp:docPr id="7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2"/>
                    <pic:cNvPicPr>
                      <a:picLocks noChangeAspect="1"/>
                    </pic:cNvPicPr>
                  </pic:nvPicPr>
                  <pic:blipFill>
                    <a:blip r:embed="rId39"/>
                    <a:stretch>
                      <a:fillRect/>
                    </a:stretch>
                  </pic:blipFill>
                  <pic:spPr>
                    <a:xfrm>
                      <a:off x="0" y="0"/>
                      <a:ext cx="5273040" cy="2933700"/>
                    </a:xfrm>
                    <a:prstGeom prst="rect">
                      <a:avLst/>
                    </a:prstGeom>
                    <a:noFill/>
                    <a:ln>
                      <a:solidFill>
                        <a:schemeClr val="bg1">
                          <a:lumMod val="85000"/>
                        </a:schemeClr>
                      </a:solidFill>
                    </a:ln>
                  </pic:spPr>
                </pic:pic>
              </a:graphicData>
            </a:graphic>
          </wp:inline>
        </w:drawing>
      </w:r>
    </w:p>
    <w:p>
      <w:pPr>
        <w:widowControl w:val="0"/>
        <w:numPr>
          <w:ilvl w:val="0"/>
          <w:numId w:val="0"/>
        </w:numPr>
        <w:jc w:val="both"/>
        <w:rPr>
          <w:rFonts w:hint="eastAsia" w:ascii="微软雅黑" w:hAnsi="微软雅黑" w:eastAsia="微软雅黑" w:cs="微软雅黑"/>
        </w:rPr>
      </w:pP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5"/>
        <w:gridCol w:w="7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字段</w:t>
            </w:r>
          </w:p>
        </w:tc>
        <w:tc>
          <w:tcPr>
            <w:tcW w:w="7398"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首行</w:t>
            </w:r>
          </w:p>
        </w:tc>
        <w:tc>
          <w:tcPr>
            <w:tcW w:w="7398"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固定行，除第一列外根据列数依次显示ABCD....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首列</w:t>
            </w:r>
          </w:p>
        </w:tc>
        <w:tc>
          <w:tcPr>
            <w:tcW w:w="7398" w:type="dxa"/>
          </w:tcPr>
          <w:p>
            <w:pPr>
              <w:widowControl w:val="0"/>
              <w:numPr>
                <w:ilvl w:val="0"/>
                <w:numId w:val="0"/>
              </w:numPr>
              <w:jc w:val="both"/>
              <w:rPr>
                <w:rFonts w:hint="eastAsia" w:ascii="微软雅黑" w:hAnsi="微软雅黑" w:eastAsia="微软雅黑" w:cs="微软雅黑"/>
                <w:color w:val="7F7F7F" w:themeColor="background1" w:themeShade="80"/>
                <w:sz w:val="18"/>
                <w:szCs w:val="18"/>
                <w:lang w:val="en-US" w:eastAsia="zh-CN"/>
              </w:rPr>
            </w:pPr>
            <w:r>
              <w:rPr>
                <w:rFonts w:hint="eastAsia" w:ascii="微软雅黑" w:hAnsi="微软雅黑" w:eastAsia="微软雅黑" w:cs="微软雅黑"/>
                <w:color w:val="auto"/>
                <w:sz w:val="18"/>
                <w:szCs w:val="18"/>
                <w:lang w:val="en-US" w:eastAsia="zh-CN"/>
              </w:rPr>
              <w:t>固定行，除首行与表头行外根据行数依次显示12345....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表头行</w:t>
            </w:r>
          </w:p>
        </w:tc>
        <w:tc>
          <w:tcPr>
            <w:tcW w:w="7398" w:type="dxa"/>
          </w:tcPr>
          <w:p>
            <w:pPr>
              <w:widowControl w:val="0"/>
              <w:numPr>
                <w:ilvl w:val="0"/>
                <w:numId w:val="0"/>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根据当前薪资组的计薪规则的薪资项的排列和分组显示表头，其中【姓名】为固定列，非姓名的以外薪资项根据各自所在分组显示。</w:t>
            </w:r>
          </w:p>
          <w:p>
            <w:pPr>
              <w:widowControl w:val="0"/>
              <w:numPr>
                <w:ilvl w:val="0"/>
                <w:numId w:val="0"/>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注意：即使姓名在某个分组下，仍然剥离所在分组独立显示。</w:t>
            </w:r>
          </w:p>
          <w:p>
            <w:pPr>
              <w:widowControl w:val="0"/>
              <w:numPr>
                <w:ilvl w:val="0"/>
                <w:numId w:val="23"/>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无分组的薪资项：如姓名，如下图所示，分组与表头合并单元格显示：</w:t>
            </w:r>
          </w:p>
          <w:p>
            <w:pPr>
              <w:widowControl w:val="0"/>
              <w:numPr>
                <w:ilvl w:val="0"/>
                <w:numId w:val="0"/>
              </w:numPr>
              <w:jc w:val="both"/>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1156335" cy="843280"/>
                  <wp:effectExtent l="0" t="0" r="571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1156335" cy="843280"/>
                          </a:xfrm>
                          <a:prstGeom prst="rect">
                            <a:avLst/>
                          </a:prstGeom>
                          <a:noFill/>
                          <a:ln>
                            <a:noFill/>
                          </a:ln>
                        </pic:spPr>
                      </pic:pic>
                    </a:graphicData>
                  </a:graphic>
                </wp:inline>
              </w:drawing>
            </w:r>
          </w:p>
          <w:p>
            <w:pPr>
              <w:widowControl w:val="0"/>
              <w:numPr>
                <w:ilvl w:val="0"/>
                <w:numId w:val="23"/>
              </w:numPr>
              <w:ind w:left="0" w:leftChars="0" w:firstLine="0" w:firstLine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有分组的薪资项：如岗位补贴与基本工资在固定工资分组下时，如下图显示：</w:t>
            </w:r>
          </w:p>
          <w:p>
            <w:pPr>
              <w:widowControl w:val="0"/>
              <w:numPr>
                <w:ilvl w:val="0"/>
                <w:numId w:val="0"/>
              </w:numPr>
              <w:ind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rPr>
              <w:drawing>
                <wp:inline distT="0" distB="0" distL="114300" distR="114300">
                  <wp:extent cx="1590040" cy="812165"/>
                  <wp:effectExtent l="0" t="0" r="1016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1"/>
                          <a:stretch>
                            <a:fillRect/>
                          </a:stretch>
                        </pic:blipFill>
                        <pic:spPr>
                          <a:xfrm>
                            <a:off x="0" y="0"/>
                            <a:ext cx="1590040" cy="8121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数据行</w:t>
            </w:r>
          </w:p>
        </w:tc>
        <w:tc>
          <w:tcPr>
            <w:tcW w:w="7398" w:type="dxa"/>
          </w:tcPr>
          <w:p>
            <w:pPr>
              <w:widowControl w:val="0"/>
              <w:numPr>
                <w:ilvl w:val="0"/>
                <w:numId w:val="24"/>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根据核算薪资的表单，展示所有参与算薪的人员并依次显示对应的薪资项的数据。</w:t>
            </w:r>
          </w:p>
          <w:p>
            <w:pPr>
              <w:widowControl w:val="0"/>
              <w:numPr>
                <w:ilvl w:val="0"/>
                <w:numId w:val="0"/>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注意：不是根据勾选的人员去显示。</w:t>
            </w:r>
          </w:p>
          <w:p>
            <w:pPr>
              <w:widowControl w:val="0"/>
              <w:numPr>
                <w:ilvl w:val="0"/>
                <w:numId w:val="0"/>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2、当鼠标经过且停留超过1.5秒时，显示薪资项的计算规则，展示信息来源如下图所示：</w:t>
            </w:r>
          </w:p>
          <w:p>
            <w:pPr>
              <w:widowControl w:val="0"/>
              <w:numPr>
                <w:ilvl w:val="0"/>
                <w:numId w:val="0"/>
              </w:numPr>
              <w:jc w:val="both"/>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3028950" cy="325755"/>
                  <wp:effectExtent l="9525" t="9525" r="9525" b="266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stretch>
                            <a:fillRect/>
                          </a:stretch>
                        </pic:blipFill>
                        <pic:spPr>
                          <a:xfrm>
                            <a:off x="0" y="0"/>
                            <a:ext cx="3028950" cy="325755"/>
                          </a:xfrm>
                          <a:prstGeom prst="rect">
                            <a:avLst/>
                          </a:prstGeom>
                          <a:noFill/>
                          <a:ln>
                            <a:solidFill>
                              <a:schemeClr val="bg1">
                                <a:lumMod val="85000"/>
                              </a:schemeClr>
                            </a:solidFill>
                          </a:ln>
                        </pic:spPr>
                      </pic:pic>
                    </a:graphicData>
                  </a:graphic>
                </wp:inline>
              </w:drawing>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具体展示内容如下图所示，结构：规则+查看明细</w:t>
            </w:r>
          </w:p>
          <w:p>
            <w:pPr>
              <w:widowControl w:val="0"/>
              <w:numPr>
                <w:ilvl w:val="0"/>
                <w:numId w:val="0"/>
              </w:numPr>
              <w:jc w:val="both"/>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2454910" cy="822960"/>
                  <wp:effectExtent l="9525" t="9525" r="12065" b="247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3"/>
                          <a:stretch>
                            <a:fillRect/>
                          </a:stretch>
                        </pic:blipFill>
                        <pic:spPr>
                          <a:xfrm>
                            <a:off x="0" y="0"/>
                            <a:ext cx="2454910" cy="822960"/>
                          </a:xfrm>
                          <a:prstGeom prst="rect">
                            <a:avLst/>
                          </a:prstGeom>
                          <a:noFill/>
                          <a:ln>
                            <a:solidFill>
                              <a:schemeClr val="bg1">
                                <a:lumMod val="85000"/>
                              </a:schemeClr>
                            </a:solidFill>
                          </a:ln>
                        </pic:spPr>
                      </pic:pic>
                    </a:graphicData>
                  </a:graphic>
                </wp:inline>
              </w:drawing>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查看明细为按钮，点击按钮触发5.2.1.2的弹窗。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保存并继续编辑</w:t>
            </w:r>
          </w:p>
        </w:tc>
        <w:tc>
          <w:tcPr>
            <w:tcW w:w="7398" w:type="dxa"/>
          </w:tcPr>
          <w:p>
            <w:pPr>
              <w:widowControl w:val="0"/>
              <w:numPr>
                <w:ilvl w:val="0"/>
                <w:numId w:val="0"/>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常显按钮，点击按钮则保存（触发四叶草Loding并刷新界面）当前表单允许二次编辑的数据字段（数据来源为：每月手动编辑）的值。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保存并计算</w:t>
            </w:r>
          </w:p>
        </w:tc>
        <w:tc>
          <w:tcPr>
            <w:tcW w:w="7398" w:type="dxa"/>
          </w:tcPr>
          <w:p>
            <w:pPr>
              <w:widowControl w:val="0"/>
              <w:numPr>
                <w:ilvl w:val="0"/>
                <w:numId w:val="0"/>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常显按钮，点击按钮依次核算当前表单的算薪人员的数据，触发计算loding事件，具体的数据计算方式如下：</w:t>
            </w:r>
          </w:p>
          <w:p>
            <w:pPr>
              <w:widowControl w:val="0"/>
              <w:numPr>
                <w:ilvl w:val="0"/>
                <w:numId w:val="25"/>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数据来源为授权应用：获取对应应用下的对应员工的字段值。</w:t>
            </w:r>
          </w:p>
          <w:p>
            <w:pPr>
              <w:widowControl w:val="0"/>
              <w:numPr>
                <w:ilvl w:val="0"/>
                <w:numId w:val="25"/>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数据来源为薪资数据：获取对应员工的薪资档案数据。</w:t>
            </w:r>
          </w:p>
          <w:p>
            <w:pPr>
              <w:widowControl w:val="0"/>
              <w:numPr>
                <w:ilvl w:val="0"/>
                <w:numId w:val="25"/>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数据来源为自定义公式计算：根据公式计算结果，同样需校验该员工的薪资项的字段是否授权与是否非数字的情况并触发对应的弹窗事件。</w:t>
            </w:r>
          </w:p>
          <w:p>
            <w:pPr>
              <w:widowControl w:val="0"/>
              <w:numPr>
                <w:ilvl w:val="0"/>
                <w:numId w:val="25"/>
              </w:numPr>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数据来源为每月手动编辑：为空记0，非空显示手动维护并保存的值</w:t>
            </w:r>
          </w:p>
          <w:p>
            <w:pPr>
              <w:widowControl w:val="0"/>
              <w:numPr>
                <w:ilvl w:val="0"/>
                <w:numId w:val="25"/>
              </w:numPr>
              <w:ind w:left="0" w:leftChars="0" w:firstLine="0" w:firstLineChars="0"/>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数据来源为薪酬系统项（如个税、应发工资等）：根据薪酬定义的公式自动计算结果。</w:t>
            </w:r>
          </w:p>
          <w:p>
            <w:pPr>
              <w:widowControl w:val="0"/>
              <w:numPr>
                <w:ilvl w:val="0"/>
                <w:numId w:val="0"/>
              </w:numPr>
              <w:ind w:leftChars="0"/>
              <w:jc w:val="both"/>
              <w:rPr>
                <w:rFonts w:hint="eastAsia" w:ascii="微软雅黑" w:hAnsi="微软雅黑" w:eastAsia="微软雅黑" w:cs="微软雅黑"/>
                <w:color w:val="000000" w:themeColor="text1"/>
                <w:sz w:val="18"/>
                <w:szCs w:val="18"/>
                <w:lang w:val="en-US" w:eastAsia="zh-CN"/>
                <w14:textFill>
                  <w14:solidFill>
                    <w14:schemeClr w14:val="tx1"/>
                  </w14:solidFill>
                </w14:textFill>
              </w:rPr>
            </w:pPr>
            <w:r>
              <w:rPr>
                <w:rFonts w:hint="eastAsia" w:ascii="微软雅黑" w:hAnsi="微软雅黑" w:eastAsia="微软雅黑" w:cs="微软雅黑"/>
                <w:color w:val="000000" w:themeColor="text1"/>
                <w:sz w:val="18"/>
                <w:szCs w:val="18"/>
                <w:lang w:val="en-US" w:eastAsia="zh-CN"/>
                <w14:textFill>
                  <w14:solidFill>
                    <w14:schemeClr w14:val="tx1"/>
                  </w14:solidFill>
                </w14:textFill>
              </w:rPr>
              <w:t>完成计算后返回上级界面（退出全屏），并刷新核算薪资项本次参与算薪的人员的的表单展示计算结果。</w:t>
            </w:r>
          </w:p>
        </w:tc>
      </w:tr>
    </w:tbl>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both"/>
        <w:outlineLvl w:val="3"/>
        <w:rPr>
          <w:rFonts w:hint="eastAsia" w:ascii="微软雅黑" w:hAnsi="微软雅黑" w:eastAsia="微软雅黑" w:cs="微软雅黑"/>
        </w:rPr>
      </w:pPr>
      <w:r>
        <w:rPr>
          <w:rFonts w:hint="eastAsia" w:ascii="微软雅黑" w:hAnsi="微软雅黑" w:eastAsia="微软雅黑" w:cs="微软雅黑"/>
          <w:lang w:val="en-US" w:eastAsia="zh-CN"/>
        </w:rPr>
        <w:t>5.2.1.2 鼠标经过显示计算过程</w:t>
      </w:r>
    </w:p>
    <w:p>
      <w:pPr>
        <w:widowControl w:val="0"/>
        <w:numPr>
          <w:ilvl w:val="0"/>
          <w:numId w:val="26"/>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每月手动编辑薪资项</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说明：无底色，鼠标双击单元格可定位光标到输入框并单元格边框改色，允许键入任意字符，如下图所示（下图个税只为数据来源为“每月手都导入”的示例）：</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1007745" cy="819150"/>
            <wp:effectExtent l="0" t="0" r="190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4"/>
                    <a:stretch>
                      <a:fillRect/>
                    </a:stretch>
                  </pic:blipFill>
                  <pic:spPr>
                    <a:xfrm>
                      <a:off x="0" y="0"/>
                      <a:ext cx="1007745" cy="819150"/>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注意：这里允许键入任意信息，可以说数字、字母、字符串、汉字等信息；在保存时不做校验，但计算时若该项参与计算，则根据运算规则判定是否为非数值。</w:t>
      </w:r>
    </w:p>
    <w:p>
      <w:pPr>
        <w:widowControl w:val="0"/>
        <w:numPr>
          <w:ilvl w:val="0"/>
          <w:numId w:val="26"/>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来自其他应用授权且非公式的薪资项</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701290" cy="1203960"/>
            <wp:effectExtent l="0" t="0" r="381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5"/>
                    <a:stretch>
                      <a:fillRect/>
                    </a:stretch>
                  </pic:blipFill>
                  <pic:spPr>
                    <a:xfrm>
                      <a:off x="0" y="0"/>
                      <a:ext cx="2701290" cy="1203960"/>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说明：显示对应薪资项的数据来源并显示【不可修改】的固定文案。</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26"/>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参与公式计算的薪资项（自定义公式计算、系统默认公式计算的薪资项）</w:t>
      </w:r>
    </w:p>
    <w:p>
      <w:pPr>
        <w:widowControl w:val="0"/>
        <w:numPr>
          <w:ilvl w:val="0"/>
          <w:numId w:val="0"/>
        </w:numPr>
        <w:jc w:val="both"/>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3478530" cy="1165860"/>
            <wp:effectExtent l="9525" t="9525" r="17145" b="247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3"/>
                    <a:stretch>
                      <a:fillRect/>
                    </a:stretch>
                  </pic:blipFill>
                  <pic:spPr>
                    <a:xfrm>
                      <a:off x="0" y="0"/>
                      <a:ext cx="3478530" cy="1165860"/>
                    </a:xfrm>
                    <a:prstGeom prst="rect">
                      <a:avLst/>
                    </a:prstGeom>
                    <a:noFill/>
                    <a:ln>
                      <a:solidFill>
                        <a:schemeClr val="bg1">
                          <a:lumMod val="85000"/>
                        </a:schemeClr>
                      </a:solid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说明：显示对应薪资项的数据来源并判定该算薪人员是否完成算薪，若否则不显示【查看明细】的固定按钮，若是则显示，点击按钮触发弹层，不同薪资项的计算明细，如下图所示。</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675" cy="3533140"/>
            <wp:effectExtent l="0" t="0" r="3175" b="1016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46"/>
                    <a:stretch>
                      <a:fillRect/>
                    </a:stretch>
                  </pic:blipFill>
                  <pic:spPr>
                    <a:xfrm>
                      <a:off x="0" y="0"/>
                      <a:ext cx="5273675" cy="3533140"/>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0"/>
        <w:gridCol w:w="7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shd w:val="clear" w:color="auto" w:fill="BEBEBE" w:themeFill="background1" w:themeFillShade="BF"/>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字段</w:t>
            </w:r>
          </w:p>
        </w:tc>
        <w:tc>
          <w:tcPr>
            <w:tcW w:w="7533" w:type="dxa"/>
            <w:shd w:val="clear" w:color="auto" w:fill="BEBEBE" w:themeFill="background1" w:themeFillShade="BF"/>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标题栏</w:t>
            </w:r>
          </w:p>
        </w:tc>
        <w:tc>
          <w:tcPr>
            <w:tcW w:w="7533" w:type="dxa"/>
          </w:tcPr>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格式：姓名+薪资项每次+的计算明细，其中姓名后用2个空格隔开，示例如下：</w:t>
            </w:r>
          </w:p>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【张三  应发工资的计算明细】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规则</w:t>
            </w:r>
          </w:p>
        </w:tc>
        <w:tc>
          <w:tcPr>
            <w:tcW w:w="7533" w:type="dxa"/>
          </w:tcPr>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显示薪资项对应的规则明细，如应发工资的规则明细是“从「应发-应发工资」自动提取数据”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运算表达式</w:t>
            </w:r>
          </w:p>
        </w:tc>
        <w:tc>
          <w:tcPr>
            <w:tcW w:w="7533" w:type="dxa"/>
          </w:tcPr>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按矩形显示运算表达式：</w:t>
            </w:r>
          </w:p>
          <w:p>
            <w:pPr>
              <w:widowControl w:val="0"/>
              <w:numPr>
                <w:ilvl w:val="0"/>
                <w:numId w:val="27"/>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涉及到函数：函数为运算表达式的参数结果，显示【函数名称+函数】，例如：IF函数。</w:t>
            </w:r>
          </w:p>
          <w:p>
            <w:pPr>
              <w:widowControl w:val="0"/>
              <w:numPr>
                <w:ilvl w:val="0"/>
                <w:numId w:val="27"/>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涉及薪资折算：需显示调薪前XX、YY天数、调薪前YY天数、调薪后XX、调薪后YY天数；XX为薪资项名称，YY为薪资组设置的折算规则中设置的【计薪日、工作日、自然日】</w:t>
            </w:r>
          </w:p>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注意：当参与算薪的计算因子为空时，计0显示。</w:t>
            </w:r>
          </w:p>
        </w:tc>
      </w:tr>
    </w:tbl>
    <w:p>
      <w:pPr>
        <w:widowControl w:val="0"/>
        <w:numPr>
          <w:ilvl w:val="0"/>
          <w:numId w:val="0"/>
        </w:numPr>
        <w:jc w:val="both"/>
        <w:rPr>
          <w:rFonts w:hint="eastAsia" w:ascii="微软雅黑" w:hAnsi="微软雅黑" w:eastAsia="微软雅黑" w:cs="微软雅黑"/>
          <w:color w:val="000000" w:themeColor="text1"/>
          <w:lang w:val="en-US" w:eastAsia="zh-CN"/>
          <w14:textFill>
            <w14:solidFill>
              <w14:schemeClr w14:val="tx1"/>
            </w14:solidFill>
          </w14:textFill>
        </w:rPr>
      </w:pPr>
    </w:p>
    <w:p>
      <w:pPr>
        <w:widowControl w:val="0"/>
        <w:numPr>
          <w:ilvl w:val="0"/>
          <w:numId w:val="0"/>
        </w:numPr>
        <w:jc w:val="both"/>
        <w:outlineLvl w:val="2"/>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5.2.2 列管理</w:t>
      </w:r>
    </w:p>
    <w:p>
      <w:pPr>
        <w:widowControl w:val="0"/>
        <w:numPr>
          <w:ilvl w:val="0"/>
          <w:numId w:val="0"/>
        </w:numPr>
        <w:jc w:val="both"/>
        <w:outlineLvl w:val="3"/>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5.2.2.1 列管理侧边栏</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本期涉及到的【核算薪资】界面新增并显示列管理按钮，允许添加/移除字段的方式来补充或精简表头字段，且显示的表头字段关联【导出】时的默认字段勾选，生成对应表头的excel表单。</w:t>
      </w:r>
    </w:p>
    <w:p>
      <w:pPr>
        <w:numPr>
          <w:ilvl w:val="0"/>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1552575" cy="1027430"/>
            <wp:effectExtent l="0" t="0" r="9525" b="127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7"/>
                    <a:stretch>
                      <a:fillRect/>
                    </a:stretch>
                  </pic:blipFill>
                  <pic:spPr>
                    <a:xfrm>
                      <a:off x="0" y="0"/>
                      <a:ext cx="1552575" cy="102743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lang w:val="en-US" w:eastAsia="zh-CN"/>
        </w:rPr>
      </w:pPr>
      <w:commentRangeStart w:id="2"/>
      <w:r>
        <w:rPr>
          <w:rFonts w:hint="eastAsia" w:ascii="微软雅黑" w:hAnsi="微软雅黑" w:eastAsia="微软雅黑" w:cs="微软雅黑"/>
          <w:lang w:val="en-US" w:eastAsia="zh-CN"/>
        </w:rPr>
        <w:t>当鼠标经过列管理按钮时，显示手状并显示提示文本“列管理”</w:t>
      </w:r>
      <w:commentRangeEnd w:id="2"/>
      <w:r>
        <w:rPr>
          <w:rFonts w:hint="eastAsia" w:ascii="微软雅黑" w:hAnsi="微软雅黑" w:eastAsia="微软雅黑" w:cs="微软雅黑"/>
        </w:rPr>
        <w:commentReference w:id="2"/>
      </w:r>
      <w:r>
        <w:rPr>
          <w:rFonts w:hint="eastAsia" w:ascii="微软雅黑" w:hAnsi="微软雅黑" w:eastAsia="微软雅黑" w:cs="微软雅黑"/>
          <w:lang w:val="en-US" w:eastAsia="zh-CN"/>
        </w:rPr>
        <w:t>，点击上图所示的列管理图标，触发如下图的侧边栏：</w:t>
      </w:r>
    </w:p>
    <w:p>
      <w:pPr>
        <w:numPr>
          <w:ilvl w:val="0"/>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760980" cy="4801235"/>
            <wp:effectExtent l="0" t="0" r="1270" b="1841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48"/>
                    <a:stretch>
                      <a:fillRect/>
                    </a:stretch>
                  </pic:blipFill>
                  <pic:spPr>
                    <a:xfrm>
                      <a:off x="0" y="0"/>
                      <a:ext cx="2760980" cy="4801235"/>
                    </a:xfrm>
                    <a:prstGeom prst="rect">
                      <a:avLst/>
                    </a:prstGeom>
                    <a:noFill/>
                    <a:ln>
                      <a:noFill/>
                    </a:ln>
                  </pic:spPr>
                </pic:pic>
              </a:graphicData>
            </a:graphic>
          </wp:inline>
        </w:drawing>
      </w: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6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50" w:type="dxa"/>
            <w:shd w:val="clear" w:color="auto" w:fill="BEBEBE" w:themeFill="background1" w:themeFillShade="BF"/>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字段/内容</w:t>
            </w:r>
          </w:p>
        </w:tc>
        <w:tc>
          <w:tcPr>
            <w:tcW w:w="6643" w:type="dxa"/>
            <w:shd w:val="clear" w:color="auto" w:fill="BEBEBE" w:themeFill="background1" w:themeFillShade="BF"/>
          </w:tcPr>
          <w:p>
            <w:pPr>
              <w:tabs>
                <w:tab w:val="left" w:pos="913"/>
              </w:tabs>
              <w:rPr>
                <w:rFonts w:hint="eastAsia" w:ascii="微软雅黑" w:hAnsi="微软雅黑" w:eastAsia="微软雅黑" w:cs="微软雅黑"/>
                <w:sz w:val="18"/>
                <w:szCs w:val="18"/>
              </w:rPr>
            </w:pPr>
            <w:r>
              <w:rPr>
                <w:rFonts w:hint="eastAsia" w:ascii="微软雅黑" w:hAnsi="微软雅黑" w:eastAsia="微软雅黑" w:cs="微软雅黑"/>
                <w:sz w:val="18"/>
                <w:szCs w:val="18"/>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标题栏</w:t>
            </w:r>
          </w:p>
        </w:tc>
        <w:tc>
          <w:tcPr>
            <w:tcW w:w="6643" w:type="dxa"/>
          </w:tcPr>
          <w:p>
            <w:pPr>
              <w:widowControl w:val="0"/>
              <w:numPr>
                <w:ilvl w:val="0"/>
                <w:numId w:val="0"/>
              </w:numPr>
              <w:ind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显示固定标题文本“列管理”，允许点击X按钮关闭侧边栏。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侧边栏</w:t>
            </w:r>
          </w:p>
        </w:tc>
        <w:tc>
          <w:tcPr>
            <w:tcW w:w="6643" w:type="dxa"/>
          </w:tcPr>
          <w:p>
            <w:pPr>
              <w:widowControl w:val="0"/>
              <w:numPr>
                <w:ilvl w:val="0"/>
                <w:numId w:val="0"/>
              </w:numPr>
              <w:ind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当字段过多时，允许显示纵向滚动条显示更多配置内容。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已选择字段</w:t>
            </w:r>
          </w:p>
        </w:tc>
        <w:tc>
          <w:tcPr>
            <w:tcW w:w="6643" w:type="dxa"/>
          </w:tcPr>
          <w:p>
            <w:pPr>
              <w:widowControl w:val="0"/>
              <w:numPr>
                <w:ilvl w:val="0"/>
                <w:numId w:val="0"/>
              </w:numPr>
              <w:ind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1、字段：系统默认字段灰度显示，且不可编辑，不可移除但允许拖拽以改变字段排序，可选字段在已选择字段处显示X，允许点击X按钮取消勾选。</w:t>
            </w:r>
          </w:p>
          <w:p>
            <w:pPr>
              <w:widowControl w:val="0"/>
              <w:numPr>
                <w:ilvl w:val="0"/>
                <w:numId w:val="0"/>
              </w:numPr>
              <w:ind w:leftChars="0"/>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2、已选择字段与请选择字段互斥。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请选择字段</w:t>
            </w:r>
          </w:p>
        </w:tc>
        <w:tc>
          <w:tcPr>
            <w:tcW w:w="6643"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勾选：系统默认字段为不可取消勾选，其余字段均可由用户配置是否勾选，勾选后则自动显示到“已选择字段”下，且勾选的先后顺序依次排列。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0" w:type="dxa"/>
          </w:tcPr>
          <w:p>
            <w:pPr>
              <w:tabs>
                <w:tab w:val="left" w:pos="913"/>
              </w:tabs>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保存与取消按钮</w:t>
            </w:r>
          </w:p>
        </w:tc>
        <w:tc>
          <w:tcPr>
            <w:tcW w:w="6643" w:type="dxa"/>
          </w:tcPr>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按钮位置固定悬浮显示在侧边栏的底部，点击保存按钮则关闭侧边栏且根据已选择字段和对应的排序逻辑重新载入主界面的表单信息；点击取消按钮则关闭侧边栏，不执行任何操作且列管理回归至上一次保存的结果。</w:t>
            </w:r>
          </w:p>
        </w:tc>
      </w:tr>
    </w:tbl>
    <w:p>
      <w:pPr>
        <w:widowControl w:val="0"/>
        <w:numPr>
          <w:ilvl w:val="0"/>
          <w:numId w:val="0"/>
        </w:numPr>
        <w:jc w:val="both"/>
        <w:rPr>
          <w:rFonts w:hint="eastAsia" w:ascii="微软雅黑" w:hAnsi="微软雅黑" w:eastAsia="微软雅黑" w:cs="微软雅黑"/>
          <w:color w:val="000000" w:themeColor="text1"/>
          <w:lang w:val="en-US" w:eastAsia="zh-CN"/>
          <w14:textFill>
            <w14:solidFill>
              <w14:schemeClr w14:val="tx1"/>
            </w14:solidFill>
          </w14:textFill>
        </w:rPr>
      </w:pPr>
    </w:p>
    <w:p>
      <w:pPr>
        <w:widowControl w:val="0"/>
        <w:numPr>
          <w:ilvl w:val="0"/>
          <w:numId w:val="4"/>
        </w:numPr>
        <w:ind w:left="0" w:leftChars="0" w:firstLine="0" w:firstLineChars="0"/>
        <w:jc w:val="both"/>
        <w:outlineLvl w:val="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 xml:space="preserve">核对算薪人员 </w:t>
      </w:r>
    </w:p>
    <w:p>
      <w:pPr>
        <w:widowControl w:val="0"/>
        <w:numPr>
          <w:ilvl w:val="0"/>
          <w:numId w:val="0"/>
        </w:numPr>
        <w:ind w:leftChars="0"/>
        <w:jc w:val="both"/>
        <w:outlineLvl w:val="1"/>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6.1 统计栏统计优化</w:t>
      </w:r>
    </w:p>
    <w:p>
      <w:pPr>
        <w:widowControl w:val="0"/>
        <w:numPr>
          <w:ilvl w:val="0"/>
          <w:numId w:val="0"/>
        </w:numPr>
        <w:ind w:leftChars="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7960" cy="379730"/>
            <wp:effectExtent l="9525" t="9525" r="18415"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9"/>
                    <a:stretch>
                      <a:fillRect/>
                    </a:stretch>
                  </pic:blipFill>
                  <pic:spPr>
                    <a:xfrm>
                      <a:off x="0" y="0"/>
                      <a:ext cx="5267960" cy="379730"/>
                    </a:xfrm>
                    <a:prstGeom prst="rect">
                      <a:avLst/>
                    </a:prstGeom>
                    <a:noFill/>
                    <a:ln>
                      <a:solidFill>
                        <a:schemeClr val="bg1">
                          <a:lumMod val="85000"/>
                        </a:schemeClr>
                      </a:solidFill>
                    </a:ln>
                  </pic:spPr>
                </pic:pic>
              </a:graphicData>
            </a:graphic>
          </wp:inline>
        </w:drawing>
      </w:r>
    </w:p>
    <w:p>
      <w:pPr>
        <w:widowControl w:val="0"/>
        <w:numPr>
          <w:ilvl w:val="0"/>
          <w:numId w:val="0"/>
        </w:numPr>
        <w:ind w:leftChars="0"/>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6.1.1 问题描述</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目前除【本月算薪人员】取值无误外，剩余统计项均存在取值有误的问题，如下图：</w:t>
      </w:r>
    </w:p>
    <w:p>
      <w:pPr>
        <w:widowControl w:val="0"/>
        <w:numPr>
          <w:ilvl w:val="0"/>
          <w:numId w:val="28"/>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本月离职与表单筛选结果有偏差</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4785" cy="1562100"/>
            <wp:effectExtent l="9525" t="9525" r="21590"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50"/>
                    <a:stretch>
                      <a:fillRect/>
                    </a:stretch>
                  </pic:blipFill>
                  <pic:spPr>
                    <a:xfrm>
                      <a:off x="0" y="0"/>
                      <a:ext cx="5264785" cy="1562100"/>
                    </a:xfrm>
                    <a:prstGeom prst="rect">
                      <a:avLst/>
                    </a:prstGeom>
                    <a:noFill/>
                    <a:ln>
                      <a:solidFill>
                        <a:schemeClr val="bg1">
                          <a:lumMod val="85000"/>
                        </a:schemeClr>
                      </a:solid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显示本月1人，但历史离职人员也会被筛选出来。</w:t>
      </w:r>
    </w:p>
    <w:p>
      <w:pPr>
        <w:widowControl w:val="0"/>
        <w:numPr>
          <w:ilvl w:val="0"/>
          <w:numId w:val="28"/>
        </w:numPr>
        <w:ind w:left="0" w:leftChars="0" w:firstLine="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本月入职与表单筛选结果有偏差</w:t>
      </w:r>
    </w:p>
    <w:p>
      <w:pPr>
        <w:widowControl w:val="0"/>
        <w:numPr>
          <w:ilvl w:val="0"/>
          <w:numId w:val="0"/>
        </w:numPr>
        <w:ind w:leftChars="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2245" cy="1478915"/>
            <wp:effectExtent l="9525" t="9525" r="24130" b="1651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51"/>
                    <a:stretch>
                      <a:fillRect/>
                    </a:stretch>
                  </pic:blipFill>
                  <pic:spPr>
                    <a:xfrm>
                      <a:off x="0" y="0"/>
                      <a:ext cx="5262245" cy="1478915"/>
                    </a:xfrm>
                    <a:prstGeom prst="rect">
                      <a:avLst/>
                    </a:prstGeom>
                    <a:noFill/>
                    <a:ln>
                      <a:solidFill>
                        <a:schemeClr val="bg1">
                          <a:lumMod val="85000"/>
                        </a:schemeClr>
                      </a:solidFill>
                    </a:ln>
                  </pic:spPr>
                </pic:pic>
              </a:graphicData>
            </a:graphic>
          </wp:inline>
        </w:drawing>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显示本月0人，但历史离职人员也会被筛选出来。</w:t>
      </w:r>
    </w:p>
    <w:p>
      <w:pPr>
        <w:widowControl w:val="0"/>
        <w:numPr>
          <w:ilvl w:val="0"/>
          <w:numId w:val="28"/>
        </w:numPr>
        <w:ind w:left="0" w:leftChars="0" w:firstLine="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本月新增/减少人员与上月数据比较有偏差</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逻辑问题，当本月首次同步时，会根据当前表单的同步结果与上月比较显示新增人数，但如果重新同步数据时则不会触发与上月数据的比较，默认同步的结果为上月的核对算薪人员。</w:t>
      </w:r>
    </w:p>
    <w:p>
      <w:pPr>
        <w:widowControl w:val="0"/>
        <w:numPr>
          <w:ilvl w:val="0"/>
          <w:numId w:val="0"/>
        </w:numPr>
        <w:ind w:leftChars="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135" cy="1532255"/>
            <wp:effectExtent l="9525" t="9525" r="15240" b="203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52"/>
                    <a:stretch>
                      <a:fillRect/>
                    </a:stretch>
                  </pic:blipFill>
                  <pic:spPr>
                    <a:xfrm>
                      <a:off x="0" y="0"/>
                      <a:ext cx="5271135" cy="1532255"/>
                    </a:xfrm>
                    <a:prstGeom prst="rect">
                      <a:avLst/>
                    </a:prstGeom>
                    <a:noFill/>
                    <a:ln>
                      <a:solidFill>
                        <a:schemeClr val="bg1">
                          <a:lumMod val="85000"/>
                        </a:schemeClr>
                      </a:solidFill>
                    </a:ln>
                  </pic:spPr>
                </pic:pic>
              </a:graphicData>
            </a:graphic>
          </wp:inline>
        </w:drawing>
      </w:r>
    </w:p>
    <w:p>
      <w:pPr>
        <w:widowControl w:val="0"/>
        <w:numPr>
          <w:ilvl w:val="0"/>
          <w:numId w:val="0"/>
        </w:numPr>
        <w:ind w:leftChars="0"/>
        <w:jc w:val="both"/>
        <w:rPr>
          <w:rFonts w:hint="eastAsia" w:ascii="微软雅黑" w:hAnsi="微软雅黑" w:eastAsia="微软雅黑" w:cs="微软雅黑"/>
          <w:lang w:val="en-US" w:eastAsia="zh-CN"/>
        </w:rPr>
      </w:pPr>
    </w:p>
    <w:p>
      <w:pPr>
        <w:widowControl w:val="0"/>
        <w:numPr>
          <w:ilvl w:val="0"/>
          <w:numId w:val="0"/>
        </w:numPr>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6.1.2 优化策略</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重新定义各个统计项的数据比对规则，并优化筛选条件与内页的界面。</w:t>
      </w:r>
    </w:p>
    <w:p>
      <w:pPr>
        <w:widowControl w:val="0"/>
        <w:numPr>
          <w:ilvl w:val="0"/>
          <w:numId w:val="0"/>
        </w:numPr>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6.1.3 方案说明</w:t>
      </w:r>
    </w:p>
    <w:p>
      <w:pPr>
        <w:widowControl w:val="0"/>
        <w:numPr>
          <w:ilvl w:val="0"/>
          <w:numId w:val="0"/>
        </w:numPr>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6.1.3.1 本月新入职</w:t>
      </w:r>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说明：移除筛选条件【本月新入职】，获取当前参与算薪人员的入职日期并与算薪周期判定：</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【算薪开始日期&lt;=当入职日期&lt;=算薪结束日期】则纳入该统计项。</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更新：当核对算薪人员更新时则同步更新该统计项，涉及：</w:t>
      </w:r>
    </w:p>
    <w:p>
      <w:pPr>
        <w:widowControl w:val="0"/>
        <w:numPr>
          <w:ilvl w:val="0"/>
          <w:numId w:val="29"/>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首次同步算薪人员/重新同步算薪人员（含因薪资组设置导致的重新同步）</w:t>
      </w:r>
    </w:p>
    <w:p>
      <w:pPr>
        <w:widowControl w:val="0"/>
        <w:numPr>
          <w:ilvl w:val="0"/>
          <w:numId w:val="29"/>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操作修改算薪人员、批量添加算薪人员</w:t>
      </w:r>
    </w:p>
    <w:p>
      <w:pPr>
        <w:widowControl w:val="0"/>
        <w:numPr>
          <w:ilvl w:val="0"/>
          <w:numId w:val="29"/>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手动在本月算薪人员表单行的操作列操作删除列表行。</w:t>
      </w:r>
    </w:p>
    <w:p>
      <w:pPr>
        <w:widowControl w:val="0"/>
        <w:numPr>
          <w:ilvl w:val="0"/>
          <w:numId w:val="29"/>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在“未加入算薪组”“人数差异校验员工列表”中操作添加算薪。</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6.1.3.2 本月离职</w:t>
      </w:r>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说明：移除筛选条件【本月离职】，获取当前参与算薪人员的入职日期并与算薪周期判定：</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【算薪开始日期&lt;=当离职日期&lt;=算薪结束日期】则纳入该统计项。</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更新：当核对算薪人员更新时则同步更新该统计项，涉及：</w:t>
      </w:r>
    </w:p>
    <w:p>
      <w:pPr>
        <w:widowControl w:val="0"/>
        <w:numPr>
          <w:ilvl w:val="0"/>
          <w:numId w:val="3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首次同步算薪人员/重新同步算薪人员（含因薪资组设置导致的重新同步）</w:t>
      </w:r>
    </w:p>
    <w:p>
      <w:pPr>
        <w:widowControl w:val="0"/>
        <w:numPr>
          <w:ilvl w:val="0"/>
          <w:numId w:val="3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操作修改算薪人员、批量添加算薪人员</w:t>
      </w:r>
    </w:p>
    <w:p>
      <w:pPr>
        <w:widowControl w:val="0"/>
        <w:numPr>
          <w:ilvl w:val="0"/>
          <w:numId w:val="3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手动在本月算薪人员表单行的操作列操作删除列表行。</w:t>
      </w:r>
    </w:p>
    <w:p>
      <w:pPr>
        <w:widowControl w:val="0"/>
        <w:numPr>
          <w:ilvl w:val="0"/>
          <w:numId w:val="3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在“未加入算薪组”“人数差异校验员工列表”中操作添加算薪。</w:t>
      </w:r>
    </w:p>
    <w:p>
      <w:pPr>
        <w:widowControl w:val="0"/>
        <w:numPr>
          <w:ilvl w:val="0"/>
          <w:numId w:val="0"/>
        </w:numPr>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注意：之前有个优化是把【最后工作日】改为【离职日期】目前未上线。</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6.1.4.3 人数差异校验员工列表</w:t>
      </w:r>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1）总览</w:t>
      </w:r>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核对算薪人员的新增与减少的数据为【人数差异校验员工列表】的结果数据的外显，具体取值规则见后文2）3）的描述。这里调整一下标识，移除上下箭头，并固定新增为绿字、减少为红字，为0（持平）时常态黑字显示，如下图：</w:t>
      </w:r>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3986530" cy="835660"/>
            <wp:effectExtent l="0" t="0" r="13970" b="25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3"/>
                    <a:stretch>
                      <a:fillRect/>
                    </a:stretch>
                  </pic:blipFill>
                  <pic:spPr>
                    <a:xfrm>
                      <a:off x="0" y="0"/>
                      <a:ext cx="3986530" cy="835660"/>
                    </a:xfrm>
                    <a:prstGeom prst="rect">
                      <a:avLst/>
                    </a:prstGeom>
                    <a:noFill/>
                    <a:ln>
                      <a:noFill/>
                    </a:ln>
                  </pic:spPr>
                </pic:pic>
              </a:graphicData>
            </a:graphic>
          </wp:inline>
        </w:drawing>
      </w:r>
    </w:p>
    <w:p>
      <w:pPr>
        <w:widowControl w:val="0"/>
        <w:numPr>
          <w:ilvl w:val="0"/>
          <w:numId w:val="0"/>
        </w:numPr>
        <w:ind w:leftChars="0"/>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（2）界面名称调整为【与上月人数差异列表】，用新的子集界面框架重构该界面，涉及两个Tab菜单【新增】与【减少】，具体如下。</w:t>
      </w:r>
    </w:p>
    <w:p>
      <w:pPr>
        <w:widowControl w:val="0"/>
        <w:numPr>
          <w:ilvl w:val="0"/>
          <w:numId w:val="0"/>
        </w:numPr>
        <w:ind w:leftChars="0"/>
        <w:jc w:val="both"/>
        <w:outlineLvl w:val="9"/>
        <w:rPr>
          <w:rFonts w:hint="eastAsia" w:ascii="微软雅黑" w:hAnsi="微软雅黑" w:eastAsia="微软雅黑" w:cs="微软雅黑"/>
          <w:lang w:val="en-US" w:eastAsia="zh-CN"/>
        </w:rPr>
      </w:pPr>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2）与上月人数差异列表明细</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040" cy="2933700"/>
            <wp:effectExtent l="0" t="0" r="381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54"/>
                    <a:stretch>
                      <a:fillRect/>
                    </a:stretch>
                  </pic:blipFill>
                  <pic:spPr>
                    <a:xfrm>
                      <a:off x="0" y="0"/>
                      <a:ext cx="5273040" cy="2933700"/>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（1）表单取值逻辑说明</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以当前算薪月度与本年度上个算薪月度的核对算薪人员比较：</w:t>
      </w:r>
    </w:p>
    <w:p>
      <w:pPr>
        <w:widowControl w:val="0"/>
        <w:numPr>
          <w:ilvl w:val="0"/>
          <w:numId w:val="31"/>
        </w:numPr>
        <w:ind w:left="420" w:leftChars="0" w:hanging="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获取上个月核对算薪人员的员工ID并与当前算薪月度的核对算薪人员轮询比对：</w:t>
      </w:r>
    </w:p>
    <w:p>
      <w:pPr>
        <w:widowControl w:val="0"/>
        <w:numPr>
          <w:ilvl w:val="1"/>
          <w:numId w:val="31"/>
        </w:numPr>
        <w:ind w:left="840" w:leftChars="0" w:hanging="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当月与上个月比较，核对算薪人员增多1个则记为增加+1</w:t>
      </w:r>
    </w:p>
    <w:p>
      <w:pPr>
        <w:widowControl w:val="0"/>
        <w:numPr>
          <w:ilvl w:val="1"/>
          <w:numId w:val="31"/>
        </w:numPr>
        <w:ind w:left="840" w:leftChars="0" w:hanging="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上个月与当月比较，核对算薪人员减少1个则记为减少+1</w:t>
      </w:r>
    </w:p>
    <w:p>
      <w:pPr>
        <w:widowControl w:val="0"/>
        <w:numPr>
          <w:ilvl w:val="1"/>
          <w:numId w:val="31"/>
        </w:numPr>
        <w:ind w:left="840" w:leftChars="0" w:hanging="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当当月为1月时，则增减员人数均固定为0</w:t>
      </w:r>
    </w:p>
    <w:p>
      <w:pPr>
        <w:widowControl w:val="0"/>
        <w:numPr>
          <w:ilvl w:val="0"/>
          <w:numId w:val="32"/>
        </w:numPr>
        <w:ind w:left="420" w:leftChars="0" w:hanging="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当月的核对算薪人员变化需要重新与上个月的核对算薪人员比对并刷新表单数据。</w:t>
      </w:r>
    </w:p>
    <w:p>
      <w:pPr>
        <w:widowControl w:val="0"/>
        <w:numPr>
          <w:ilvl w:val="0"/>
          <w:numId w:val="0"/>
        </w:numPr>
        <w:ind w:leftChars="0"/>
        <w:jc w:val="both"/>
        <w:rPr>
          <w:rFonts w:hint="eastAsia" w:ascii="微软雅黑" w:hAnsi="微软雅黑" w:eastAsia="微软雅黑" w:cs="微软雅黑"/>
          <w:lang w:val="en-US" w:eastAsia="zh-CN"/>
        </w:rPr>
      </w:pPr>
    </w:p>
    <w:p>
      <w:pPr>
        <w:widowControl w:val="0"/>
        <w:numPr>
          <w:ilvl w:val="0"/>
          <w:numId w:val="0"/>
        </w:numPr>
        <w:ind w:leftChars="0"/>
        <w:jc w:val="both"/>
        <w:rPr>
          <w:rFonts w:hint="eastAsia" w:ascii="微软雅黑" w:hAnsi="微软雅黑" w:eastAsia="微软雅黑" w:cs="微软雅黑"/>
        </w:rPr>
      </w:pP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2）界面元素说明</w:t>
      </w:r>
    </w:p>
    <w:tbl>
      <w:tblPr>
        <w:tblStyle w:val="6"/>
        <w:tblW w:w="0" w:type="auto"/>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3"/>
        <w:gridCol w:w="7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3" w:type="dxa"/>
            <w:shd w:val="clear" w:color="auto" w:fill="BEBEBE" w:themeFill="background1" w:themeFillShade="BF"/>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字段</w:t>
            </w:r>
          </w:p>
        </w:tc>
        <w:tc>
          <w:tcPr>
            <w:tcW w:w="7260" w:type="dxa"/>
            <w:shd w:val="clear" w:color="auto" w:fill="BEBEBE" w:themeFill="background1" w:themeFillShade="BF"/>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返回</w:t>
            </w:r>
          </w:p>
        </w:tc>
        <w:tc>
          <w:tcPr>
            <w:tcW w:w="7260" w:type="dxa"/>
          </w:tcPr>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点击按钮返回上级界面，显示当前界面的名称“与上月人数差异列表”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提示栏</w:t>
            </w:r>
          </w:p>
        </w:tc>
        <w:tc>
          <w:tcPr>
            <w:tcW w:w="7260" w:type="dxa"/>
          </w:tcPr>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固定文本：本月算薪: X人 相比上月算薪新增: Y人 减少:Z人</w:t>
            </w:r>
          </w:p>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X为当前薪资组对应算薪月度下核对算薪人员的总人数、Y为本年度与比上个月度比较的新增人数差额、Z为本年度与比上个月度比较的新增人数差额。</w:t>
            </w:r>
          </w:p>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注意：</w:t>
            </w:r>
          </w:p>
          <w:p>
            <w:pPr>
              <w:widowControl w:val="0"/>
              <w:numPr>
                <w:ilvl w:val="0"/>
                <w:numId w:val="33"/>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若本月算薪为1月，则不存在上个月度，即Y与Z默认为0</w:t>
            </w:r>
          </w:p>
          <w:p>
            <w:pPr>
              <w:widowControl w:val="0"/>
              <w:numPr>
                <w:ilvl w:val="0"/>
                <w:numId w:val="33"/>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在每次同步或更新（修改算薪人员、添加/删除算薪人员）当前月度的核对算薪人员名单后，则刷新表单并更新提示栏的信息。</w:t>
            </w:r>
          </w:p>
          <w:p>
            <w:pPr>
              <w:widowControl w:val="0"/>
              <w:numPr>
                <w:ilvl w:val="0"/>
                <w:numId w:val="33"/>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点击X可关闭提示栏，但仅限本月度。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TAB菜单</w:t>
            </w:r>
          </w:p>
        </w:tc>
        <w:tc>
          <w:tcPr>
            <w:tcW w:w="7260" w:type="dxa"/>
          </w:tcPr>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1、根据上级界面选择的入口，显示对应的tab菜单，允许切换为【全部】</w:t>
            </w:r>
          </w:p>
          <w:p>
            <w:pPr>
              <w:widowControl w:val="0"/>
              <w:numPr>
                <w:ilvl w:val="0"/>
                <w:numId w:val="0"/>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2、TAB菜单绑定【增减状态】，当值为新增则在【新增】tab菜单下；当值为减少则在【减少】tab菜单下。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筛选器</w:t>
            </w:r>
          </w:p>
        </w:tc>
        <w:tc>
          <w:tcPr>
            <w:tcW w:w="7260" w:type="dxa"/>
          </w:tcPr>
          <w:p>
            <w:pPr>
              <w:widowControl w:val="0"/>
              <w:numPr>
                <w:ilvl w:val="0"/>
                <w:numId w:val="34"/>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人员/部门选择器：支持点击触发组件，检索员工后与当前表单匹配显示结果。</w:t>
            </w:r>
          </w:p>
          <w:p>
            <w:pPr>
              <w:widowControl w:val="0"/>
              <w:numPr>
                <w:ilvl w:val="0"/>
                <w:numId w:val="34"/>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员工类型：关联当前架构的人事的员工类型字段，勾选类型后与表单的员工ID匹配对应的员工类型并与当前表单匹配显示结果。</w:t>
            </w:r>
          </w:p>
          <w:p>
            <w:pPr>
              <w:widowControl w:val="0"/>
              <w:numPr>
                <w:ilvl w:val="0"/>
                <w:numId w:val="34"/>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员工状态：关联当前架构的人事的员工状态字段，勾选类型后与表单的员工ID匹配对应的员工状态并与当前表单匹配显示结果。</w:t>
            </w:r>
          </w:p>
          <w:p>
            <w:pPr>
              <w:widowControl w:val="0"/>
              <w:numPr>
                <w:ilvl w:val="0"/>
                <w:numId w:val="34"/>
              </w:numPr>
              <w:jc w:val="both"/>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模糊匹配：</w:t>
            </w:r>
          </w:p>
          <w:p>
            <w:pPr>
              <w:numPr>
                <w:ilvl w:val="0"/>
                <w:numId w:val="0"/>
              </w:numPr>
              <w:tabs>
                <w:tab w:val="left" w:pos="913"/>
              </w:tabs>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1）默认为空，为空时筛选即为全局搜索</w:t>
            </w:r>
          </w:p>
          <w:p>
            <w:pPr>
              <w:widowControl w:val="0"/>
              <w:numPr>
                <w:ilvl w:val="0"/>
                <w:numId w:val="0"/>
              </w:numPr>
              <w:tabs>
                <w:tab w:val="left" w:pos="913"/>
              </w:tabs>
              <w:jc w:val="both"/>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2）可键入姓名或工号以匹配花名册的员工</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3）体现在筛选条件栏的格式为：“匹配：全公司/具体的部门或员工姓名“</w:t>
            </w:r>
          </w:p>
          <w:p>
            <w:pPr>
              <w:widowControl w:val="0"/>
              <w:numPr>
                <w:ilvl w:val="0"/>
                <w:numId w:val="0"/>
              </w:numPr>
              <w:jc w:val="both"/>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注意：以上筛选条件若存在多个，则取交集匹配表单数据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筛选条件烂</w:t>
            </w:r>
          </w:p>
        </w:tc>
        <w:tc>
          <w:tcPr>
            <w:tcW w:w="7260" w:type="dxa"/>
          </w:tcPr>
          <w:p>
            <w:pPr>
              <w:numPr>
                <w:ilvl w:val="0"/>
                <w:numId w:val="0"/>
              </w:numPr>
              <w:tabs>
                <w:tab w:val="left" w:pos="913"/>
              </w:tabs>
              <w:outlineLvl w:val="9"/>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4291965" cy="441325"/>
                  <wp:effectExtent l="0" t="0" r="13335" b="1587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55"/>
                          <a:stretch>
                            <a:fillRect/>
                          </a:stretch>
                        </pic:blipFill>
                        <pic:spPr>
                          <a:xfrm>
                            <a:off x="0" y="0"/>
                            <a:ext cx="4291965" cy="441325"/>
                          </a:xfrm>
                          <a:prstGeom prst="rect">
                            <a:avLst/>
                          </a:prstGeom>
                          <a:noFill/>
                          <a:ln>
                            <a:noFill/>
                          </a:ln>
                        </pic:spPr>
                      </pic:pic>
                    </a:graphicData>
                  </a:graphic>
                </wp:inline>
              </w:drawing>
            </w:r>
          </w:p>
          <w:p>
            <w:pPr>
              <w:numPr>
                <w:ilvl w:val="0"/>
                <w:numId w:val="0"/>
              </w:numPr>
              <w:tabs>
                <w:tab w:val="left" w:pos="913"/>
              </w:tabs>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当筛选器存在筛选条件时，将条件显示在筛选条件栏，如上图。</w:t>
            </w:r>
          </w:p>
          <w:p>
            <w:pPr>
              <w:numPr>
                <w:ilvl w:val="0"/>
                <w:numId w:val="35"/>
              </w:numPr>
              <w:tabs>
                <w:tab w:val="left" w:pos="913"/>
              </w:tabs>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vertAlign w:val="baseline"/>
                <w:lang w:val="en-US" w:eastAsia="zh-CN"/>
              </w:rPr>
              <w:t>共筛选出X人：</w:t>
            </w:r>
            <w:r>
              <w:rPr>
                <w:rFonts w:hint="eastAsia" w:ascii="微软雅黑" w:hAnsi="微软雅黑" w:eastAsia="微软雅黑" w:cs="微软雅黑"/>
                <w:sz w:val="18"/>
                <w:szCs w:val="18"/>
                <w:lang w:val="en-US" w:eastAsia="zh-CN"/>
              </w:rPr>
              <w:t>该元素为常显，根据匹配的筛选条件过滤出最终表单列表行的数据为X值</w:t>
            </w:r>
          </w:p>
          <w:p>
            <w:pPr>
              <w:numPr>
                <w:ilvl w:val="0"/>
                <w:numId w:val="35"/>
              </w:numPr>
              <w:tabs>
                <w:tab w:val="left" w:pos="913"/>
              </w:tabs>
              <w:ind w:left="0" w:leftChars="0" w:firstLine="0" w:firstLineChars="0"/>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条件：</w:t>
            </w:r>
          </w:p>
          <w:p>
            <w:pPr>
              <w:numPr>
                <w:ilvl w:val="0"/>
                <w:numId w:val="0"/>
              </w:numPr>
              <w:tabs>
                <w:tab w:val="left" w:pos="913"/>
              </w:tabs>
              <w:ind w:leftChars="0"/>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1）格式：【组件类型：筛选条件 X】，当条件过多无法一行显示则分行显示。</w:t>
            </w:r>
          </w:p>
          <w:p>
            <w:pPr>
              <w:numPr>
                <w:ilvl w:val="0"/>
                <w:numId w:val="0"/>
              </w:numPr>
              <w:tabs>
                <w:tab w:val="left" w:pos="913"/>
              </w:tabs>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2）组件类型：指默认筛选条件或高级筛选中的组件名称，如通过【选择员工】的联系人组件生成的筛选条件则默认为“员工/部门：产品部  X”</w:t>
            </w:r>
          </w:p>
          <w:p>
            <w:pPr>
              <w:numPr>
                <w:ilvl w:val="0"/>
                <w:numId w:val="0"/>
              </w:numPr>
              <w:tabs>
                <w:tab w:val="left" w:pos="913"/>
              </w:tabs>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3）筛选条件：或组件下存在多个筛选条件值（如多选器）则条件、分隔，例如“员工部门：产品部、技术部、研发部 X”</w:t>
            </w:r>
          </w:p>
          <w:p>
            <w:pPr>
              <w:numPr>
                <w:ilvl w:val="0"/>
                <w:numId w:val="0"/>
              </w:numPr>
              <w:tabs>
                <w:tab w:val="left" w:pos="913"/>
              </w:tabs>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4）X：固定的关闭按钮，允许点击X移除该条件。</w:t>
            </w:r>
          </w:p>
          <w:p>
            <w:pPr>
              <w:tabs>
                <w:tab w:val="left" w:pos="913"/>
              </w:tabs>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vertAlign w:val="baseline"/>
                <w:lang w:val="en-US" w:eastAsia="zh-CN"/>
              </w:rPr>
              <w:t>3、重置按钮：</w:t>
            </w:r>
            <w:r>
              <w:rPr>
                <w:rFonts w:hint="eastAsia" w:ascii="微软雅黑" w:hAnsi="微软雅黑" w:eastAsia="微软雅黑" w:cs="微软雅黑"/>
                <w:sz w:val="18"/>
                <w:szCs w:val="18"/>
                <w:lang w:val="en-US" w:eastAsia="zh-CN"/>
              </w:rPr>
              <w:t>当条件&gt;=1时，则在最后一则【条件】后面显示【重置】按钮，点击按钮则清空筛选条件，并刷新表单。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表单</w:t>
            </w:r>
          </w:p>
        </w:tc>
        <w:tc>
          <w:tcPr>
            <w:tcW w:w="7260" w:type="dxa"/>
          </w:tcPr>
          <w:p>
            <w:pPr>
              <w:tabs>
                <w:tab w:val="left" w:pos="913"/>
              </w:tabs>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根据增减员逻辑载入表单数据，并根据筛选条件过滤条件后显示，列如下：</w:t>
            </w:r>
          </w:p>
          <w:p>
            <w:pPr>
              <w:numPr>
                <w:ilvl w:val="0"/>
                <w:numId w:val="36"/>
              </w:numPr>
              <w:tabs>
                <w:tab w:val="left" w:pos="913"/>
              </w:tabs>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姓名：关联智能人事获取对应增减员工的姓名</w:t>
            </w:r>
          </w:p>
          <w:p>
            <w:pPr>
              <w:numPr>
                <w:ilvl w:val="0"/>
                <w:numId w:val="36"/>
              </w:numPr>
              <w:tabs>
                <w:tab w:val="left" w:pos="913"/>
              </w:tabs>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工号：根据姓名获取对应的员工工号</w:t>
            </w:r>
          </w:p>
          <w:p>
            <w:pPr>
              <w:numPr>
                <w:ilvl w:val="0"/>
                <w:numId w:val="36"/>
              </w:numPr>
              <w:tabs>
                <w:tab w:val="left" w:pos="913"/>
              </w:tabs>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部门：根据姓名获取对应的员工部门</w:t>
            </w:r>
          </w:p>
          <w:p>
            <w:pPr>
              <w:numPr>
                <w:ilvl w:val="0"/>
                <w:numId w:val="36"/>
              </w:numPr>
              <w:tabs>
                <w:tab w:val="left" w:pos="913"/>
              </w:tabs>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增减状态：分为新增和减少两个值，根据增减员逻辑将员工纳入对应的状态。</w:t>
            </w:r>
          </w:p>
          <w:p>
            <w:pPr>
              <w:numPr>
                <w:ilvl w:val="0"/>
                <w:numId w:val="36"/>
              </w:numPr>
              <w:tabs>
                <w:tab w:val="left" w:pos="913"/>
              </w:tabs>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员工类型：根据姓名获取对应的员工类型</w:t>
            </w:r>
          </w:p>
          <w:p>
            <w:pPr>
              <w:numPr>
                <w:ilvl w:val="0"/>
                <w:numId w:val="36"/>
              </w:numPr>
              <w:tabs>
                <w:tab w:val="left" w:pos="913"/>
              </w:tabs>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入职日期：根据姓名获取对应的员工的入职日期</w:t>
            </w:r>
          </w:p>
          <w:p>
            <w:pPr>
              <w:numPr>
                <w:ilvl w:val="0"/>
                <w:numId w:val="36"/>
              </w:numPr>
              <w:tabs>
                <w:tab w:val="left" w:pos="913"/>
              </w:tabs>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离职日期：根据姓名获取对应的员工的离职日期</w:t>
            </w:r>
          </w:p>
          <w:p>
            <w:pPr>
              <w:numPr>
                <w:ilvl w:val="0"/>
                <w:numId w:val="36"/>
              </w:numPr>
              <w:tabs>
                <w:tab w:val="left" w:pos="913"/>
              </w:tabs>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操作：根据增减状态显示对应的按钮：</w:t>
            </w:r>
          </w:p>
          <w:p>
            <w:pPr>
              <w:numPr>
                <w:ilvl w:val="0"/>
                <w:numId w:val="37"/>
              </w:numPr>
              <w:tabs>
                <w:tab w:val="left" w:pos="913"/>
              </w:tabs>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新增→移除算薪：点击按钮则将员工从当月核对算薪人员删除，且当前界面刷新界面移除该员工的列表行，同步更新固定算薪人员与仅在本月算薪，逻辑见6.2.2与6.2.3</w:t>
            </w:r>
          </w:p>
          <w:p>
            <w:pPr>
              <w:numPr>
                <w:ilvl w:val="0"/>
                <w:numId w:val="37"/>
              </w:numPr>
              <w:tabs>
                <w:tab w:val="left" w:pos="913"/>
              </w:tabs>
              <w:outlineLvl w:val="9"/>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减少→添加算薪：点击按钮基于未加入算薪人员的判定逻辑，判定目标员工是否存在【未维护入职日期】【未维护离职日期】【已加入其他薪资组】的情况，若不存在则将员工添加到当月核对算薪人员表单（重新载入核对算薪人员界面时显示），同步更新固定算薪人员与仅在本月算薪，逻辑见6.2.2与6.2.3；且当前界面刷新界面移除该员工的列表行；若存在添加算薪的异常逻辑则触发对应的添加算薪的弹窗事件，具体略。</w:t>
            </w:r>
          </w:p>
        </w:tc>
      </w:tr>
    </w:tbl>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both"/>
        <w:outlineLvl w:val="1"/>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6.2 算薪人员逻辑优化</w:t>
      </w:r>
    </w:p>
    <w:p>
      <w:pPr>
        <w:widowControl w:val="0"/>
        <w:numPr>
          <w:ilvl w:val="0"/>
          <w:numId w:val="0"/>
        </w:numPr>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6.2.1 人员选择器</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3.2的规则描述，适用于薪资组设置_基本设置中的【参与计薪人员/公司】与【无需算薪人员】；适用于计算薪资中的【核对算薪人员】下【修改算薪人员】中的【固定算薪人员】【无需算薪人员】【仅在本月算薪人员】。</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6.2.2 组件赋值逻辑调整</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路径：修改算薪人员</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固定算薪人员与仅在本月算薪人员数据取值调整，先从基本设置同步固定算薪人员与无需算薪人员；【修改算薪人员】中的数据也会同步到【基本设置】。但仅在本月算薪人员通过【未加入算薪人员表单】和【与上月比较】中点击【添加算薪】获取。这部分数据不会与【基本设置】中的数据同步，仅适用于当前算薪月；当完成修改算薪人员的配置后才触发同步弹窗，将【固定算薪人员】-【无需算薪人员】+【仅在本月算薪】的结果在核对算薪人员显示。</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前置条件：</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先获取【修改算薪人员】的算薪人员信息再获取当前薪资组算薪月度的算薪周期。</w:t>
      </w:r>
    </w:p>
    <w:p>
      <w:pPr>
        <w:widowControl w:val="0"/>
        <w:numPr>
          <w:ilvl w:val="0"/>
          <w:numId w:val="0"/>
        </w:numPr>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同步判断逻辑：</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（1）若算薪人员为部门，则显示部门（即使部门下人员全部离职也显示部门）。</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（2）若算薪人员为具体的人员，则判断是否离职，具体判断逻辑与图示如下：</w:t>
      </w:r>
    </w:p>
    <w:p>
      <w:pPr>
        <w:widowControl w:val="0"/>
        <w:numPr>
          <w:ilvl w:val="0"/>
          <w:numId w:val="38"/>
        </w:numPr>
        <w:ind w:left="840" w:leftChars="0" w:hanging="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离职日期&gt;算薪周期的结束日期（就是算薪月的时候人还没离职）：可全部同步人员至核对算薪人员（下图</w:t>
      </w:r>
      <w:r>
        <w:rPr>
          <w:rFonts w:hint="eastAsia" w:ascii="微软雅黑" w:hAnsi="微软雅黑" w:eastAsia="微软雅黑" w:cs="微软雅黑"/>
          <w:b/>
          <w:bCs/>
          <w:color w:val="548235" w:themeColor="accent6" w:themeShade="BF"/>
          <w:u w:val="single"/>
          <w:lang w:val="en-US" w:eastAsia="zh-CN"/>
        </w:rPr>
        <w:t>绿点</w:t>
      </w:r>
      <w:r>
        <w:rPr>
          <w:rFonts w:hint="eastAsia" w:ascii="微软雅黑" w:hAnsi="微软雅黑" w:eastAsia="微软雅黑" w:cs="微软雅黑"/>
          <w:lang w:val="en-US" w:eastAsia="zh-CN"/>
        </w:rPr>
        <w:t>所示）</w:t>
      </w:r>
    </w:p>
    <w:p>
      <w:pPr>
        <w:widowControl w:val="0"/>
        <w:numPr>
          <w:ilvl w:val="0"/>
          <w:numId w:val="38"/>
        </w:numPr>
        <w:ind w:left="840" w:leftChars="0" w:hanging="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离职日期&lt;算薪周期的开始日期（就是算薪月的时候人已经离职）：过滤已离职人员后再同步人员至核对算薪人员（下图</w:t>
      </w:r>
      <w:r>
        <w:rPr>
          <w:rFonts w:hint="eastAsia" w:ascii="微软雅黑" w:hAnsi="微软雅黑" w:eastAsia="微软雅黑" w:cs="微软雅黑"/>
          <w:color w:val="ED7D31" w:themeColor="accent2"/>
          <w:u w:val="single"/>
          <w:lang w:val="en-US" w:eastAsia="zh-CN"/>
          <w14:textFill>
            <w14:solidFill>
              <w14:schemeClr w14:val="accent2"/>
            </w14:solidFill>
          </w14:textFill>
        </w:rPr>
        <w:t>橙点</w:t>
      </w:r>
      <w:r>
        <w:rPr>
          <w:rFonts w:hint="eastAsia" w:ascii="微软雅黑" w:hAnsi="微软雅黑" w:eastAsia="微软雅黑" w:cs="微软雅黑"/>
          <w:lang w:val="en-US" w:eastAsia="zh-CN"/>
        </w:rPr>
        <w:t>所示）</w:t>
      </w:r>
    </w:p>
    <w:p>
      <w:pPr>
        <w:widowControl w:val="0"/>
        <w:numPr>
          <w:ilvl w:val="0"/>
          <w:numId w:val="38"/>
        </w:numPr>
        <w:ind w:left="840" w:leftChars="0" w:hanging="42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算薪周期的结束日期&gt;=离职日期&gt;=算薪周期的开始日期：可全部同步人员至核对算薪人员（下图</w:t>
      </w:r>
      <w:r>
        <w:rPr>
          <w:rFonts w:hint="eastAsia" w:ascii="微软雅黑" w:hAnsi="微软雅黑" w:eastAsia="微软雅黑" w:cs="微软雅黑"/>
          <w:color w:val="FF0000"/>
          <w:lang w:val="en-US" w:eastAsia="zh-CN"/>
        </w:rPr>
        <w:t>红点</w:t>
      </w:r>
      <w:r>
        <w:rPr>
          <w:rFonts w:hint="eastAsia" w:ascii="微软雅黑" w:hAnsi="微软雅黑" w:eastAsia="微软雅黑" w:cs="微软雅黑"/>
          <w:lang w:val="en-US" w:eastAsia="zh-CN"/>
        </w:rPr>
        <w:t>所示）</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center"/>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4171950" cy="89535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56"/>
                    <a:stretch>
                      <a:fillRect/>
                    </a:stretch>
                  </pic:blipFill>
                  <pic:spPr>
                    <a:xfrm>
                      <a:off x="0" y="0"/>
                      <a:ext cx="4171950" cy="895350"/>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6.2.3 表单取值逻辑调整</w:t>
      </w:r>
    </w:p>
    <w:p>
      <w:pPr>
        <w:widowControl w:val="0"/>
        <w:numPr>
          <w:ilvl w:val="0"/>
          <w:numId w:val="0"/>
        </w:numPr>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6.2.3.1 核对算薪人员表单</w:t>
      </w:r>
    </w:p>
    <w:p>
      <w:pPr>
        <w:widowControl w:val="0"/>
        <w:numPr>
          <w:ilvl w:val="0"/>
          <w:numId w:val="0"/>
        </w:numPr>
        <w:jc w:val="both"/>
        <w:outlineLvl w:val="9"/>
        <w:rPr>
          <w:rFonts w:hint="eastAsia" w:ascii="微软雅黑" w:hAnsi="微软雅黑" w:eastAsia="微软雅黑" w:cs="微软雅黑"/>
          <w:lang w:val="en-US" w:eastAsia="zh-CN"/>
        </w:rPr>
      </w:pP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3515" cy="2918460"/>
            <wp:effectExtent l="0" t="0" r="13335" b="152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7"/>
                    <a:stretch>
                      <a:fillRect/>
                    </a:stretch>
                  </pic:blipFill>
                  <pic:spPr>
                    <a:xfrm>
                      <a:off x="0" y="0"/>
                      <a:ext cx="5263515" cy="2918460"/>
                    </a:xfrm>
                    <a:prstGeom prst="rect">
                      <a:avLst/>
                    </a:prstGeom>
                    <a:noFill/>
                    <a:ln>
                      <a:noFill/>
                    </a:ln>
                  </pic:spPr>
                </pic:pic>
              </a:graphicData>
            </a:graphic>
          </wp:inline>
        </w:drawing>
      </w:r>
    </w:p>
    <w:p>
      <w:pPr>
        <w:widowControl w:val="0"/>
        <w:numPr>
          <w:ilvl w:val="0"/>
          <w:numId w:val="39"/>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规则说明：获取固定算薪人员与仅在本月算薪人员的并集。</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2）交互说明：当在表单操作列表行的【删除】操作后，该人员进入到【未加入算薪人员】表，同步更新【修改算薪人员】的数据，更新逻辑如下：</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（1）若被删除的人员为【仅在本月算薪人员】则在【仅在本月算薪人员】组件同步移除。</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（2）若被删除的人员为【固定算薪人员】则不会【固定算薪人员】组件同步移除。</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0"/>
        </w:numPr>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6.2.3.2 未加入算薪人员</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040" cy="2933700"/>
            <wp:effectExtent l="0" t="0" r="381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58"/>
                    <a:stretch>
                      <a:fillRect/>
                    </a:stretch>
                  </pic:blipFill>
                  <pic:spPr>
                    <a:xfrm>
                      <a:off x="0" y="0"/>
                      <a:ext cx="5273040" cy="2933700"/>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b w:val="0"/>
          <w:bCs w:val="0"/>
          <w:lang w:val="en-US" w:eastAsia="zh-CN"/>
        </w:rPr>
        <w:t>1）规则说明：</w:t>
      </w:r>
      <w:r>
        <w:rPr>
          <w:rFonts w:hint="eastAsia" w:ascii="微软雅黑" w:hAnsi="微软雅黑" w:eastAsia="微软雅黑" w:cs="微软雅黑"/>
          <w:strike/>
          <w:dstrike w:val="0"/>
          <w:lang w:val="en-US" w:eastAsia="zh-CN"/>
        </w:rPr>
        <w:t>获取固定算薪人员与仅在本月算薪人员的并集，且人数会反应到核对算薪人员未加入算薪人员的提示栏。</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2）交互说明：当在表单操作列表行的【添加算薪】操作时，则根据该员工的在职、离职状态判断添加到算薪人员，</w:t>
      </w:r>
      <w:r>
        <w:rPr>
          <w:rFonts w:hint="eastAsia" w:ascii="微软雅黑" w:hAnsi="微软雅黑" w:eastAsia="微软雅黑" w:cs="微软雅黑"/>
          <w:strike w:val="0"/>
          <w:dstrike w:val="0"/>
          <w:lang w:val="en-US" w:eastAsia="zh-CN"/>
        </w:rPr>
        <w:t>在职员工会直接添加到【薪资组设置_参与计薪人员/部门】，并同步更新【固定算薪人员】；</w:t>
      </w:r>
      <w:r>
        <w:rPr>
          <w:rFonts w:hint="eastAsia" w:ascii="微软雅黑" w:hAnsi="微软雅黑" w:eastAsia="微软雅黑" w:cs="微软雅黑"/>
          <w:lang w:val="en-US" w:eastAsia="zh-CN"/>
        </w:rPr>
        <w:t>离职员工的判断逻辑具体如下：</w:t>
      </w:r>
    </w:p>
    <w:p>
      <w:pPr>
        <w:widowControl w:val="0"/>
        <w:numPr>
          <w:ilvl w:val="0"/>
          <w:numId w:val="0"/>
        </w:numPr>
        <w:jc w:val="both"/>
        <w:rPr>
          <w:rFonts w:hint="eastAsia" w:ascii="微软雅黑" w:hAnsi="微软雅黑" w:eastAsia="微软雅黑" w:cs="微软雅黑"/>
          <w:lang w:val="en-US" w:eastAsia="zh-CN"/>
        </w:rPr>
      </w:pPr>
      <w:commentRangeStart w:id="3"/>
      <w:r>
        <w:rPr>
          <w:rFonts w:hint="eastAsia" w:ascii="微软雅黑" w:hAnsi="微软雅黑" w:eastAsia="微软雅黑" w:cs="微软雅黑"/>
          <w:lang w:val="en-US" w:eastAsia="zh-CN"/>
        </w:rPr>
        <w:t>（1）离职日期&gt;算薪周期的结束日期：则该人员会直接添加到【薪资组设置_参与计薪人员/部门】，且姓名会在固定算薪人员的组件内显示。</w:t>
      </w:r>
      <w:commentRangeEnd w:id="3"/>
      <w:r>
        <w:rPr>
          <w:rFonts w:hint="eastAsia" w:ascii="微软雅黑" w:hAnsi="微软雅黑" w:eastAsia="微软雅黑" w:cs="微软雅黑"/>
        </w:rPr>
        <w:commentReference w:id="3"/>
      </w:r>
    </w:p>
    <w:p>
      <w:pPr>
        <w:widowControl w:val="0"/>
        <w:numPr>
          <w:ilvl w:val="0"/>
          <w:numId w:val="0"/>
        </w:numPr>
        <w:jc w:val="both"/>
        <w:rPr>
          <w:rFonts w:hint="eastAsia" w:ascii="微软雅黑" w:hAnsi="微软雅黑" w:eastAsia="微软雅黑" w:cs="微软雅黑"/>
          <w:strike/>
          <w:dstrike w:val="0"/>
          <w:lang w:val="en-US" w:eastAsia="zh-CN"/>
        </w:rPr>
      </w:pPr>
      <w:commentRangeStart w:id="4"/>
      <w:r>
        <w:rPr>
          <w:rFonts w:hint="eastAsia" w:ascii="微软雅黑" w:hAnsi="微软雅黑" w:eastAsia="微软雅黑" w:cs="微软雅黑"/>
          <w:lang w:val="en-US" w:eastAsia="zh-CN"/>
        </w:rPr>
        <w:t>（2）离职日期&lt;算薪周期的开始日期：</w:t>
      </w:r>
      <w:r>
        <w:rPr>
          <w:rFonts w:hint="eastAsia" w:ascii="微软雅黑" w:hAnsi="微软雅黑" w:eastAsia="微软雅黑" w:cs="微软雅黑"/>
          <w:strike/>
          <w:dstrike w:val="0"/>
          <w:lang w:val="en-US" w:eastAsia="zh-CN"/>
        </w:rPr>
        <w:t>该场景不存在，因为未加入算薪人员表单不会显示该员工自然无法添加算薪。</w:t>
      </w:r>
      <w:r>
        <w:rPr>
          <w:rFonts w:hint="eastAsia" w:ascii="微软雅黑" w:hAnsi="微软雅黑" w:eastAsia="微软雅黑" w:cs="微软雅黑"/>
          <w:strike/>
          <w:dstrike w:val="0"/>
          <w:lang w:eastAsia="zh-CN"/>
        </w:rPr>
        <w:t>，</w:t>
      </w:r>
      <w:r>
        <w:rPr>
          <w:rFonts w:hint="eastAsia" w:ascii="微软雅黑" w:hAnsi="微软雅黑" w:eastAsia="微软雅黑" w:cs="微软雅黑"/>
          <w:strike w:val="0"/>
          <w:dstrike w:val="0"/>
          <w:lang w:val="en-US" w:eastAsia="zh-CN"/>
        </w:rPr>
        <w:t>表示这个人已经离职，那该人员会在添加算薪后加入到【仅在本月算薪】人员。</w:t>
      </w:r>
      <w:commentRangeEnd w:id="4"/>
      <w:r>
        <w:rPr>
          <w:rFonts w:hint="eastAsia" w:ascii="微软雅黑" w:hAnsi="微软雅黑" w:eastAsia="微软雅黑" w:cs="微软雅黑"/>
        </w:rPr>
        <w:commentReference w:id="4"/>
      </w:r>
    </w:p>
    <w:p>
      <w:pPr>
        <w:widowControl w:val="0"/>
        <w:numPr>
          <w:ilvl w:val="0"/>
          <w:numId w:val="0"/>
        </w:numPr>
        <w:jc w:val="both"/>
        <w:rPr>
          <w:rFonts w:hint="eastAsia" w:ascii="微软雅黑" w:hAnsi="微软雅黑" w:eastAsia="微软雅黑" w:cs="微软雅黑"/>
          <w:lang w:val="en-US" w:eastAsia="zh-CN"/>
        </w:rPr>
      </w:pPr>
      <w:commentRangeStart w:id="5"/>
      <w:r>
        <w:rPr>
          <w:rFonts w:hint="eastAsia" w:ascii="微软雅黑" w:hAnsi="微软雅黑" w:eastAsia="微软雅黑" w:cs="微软雅黑"/>
          <w:lang w:val="en-US" w:eastAsia="zh-CN"/>
        </w:rPr>
        <w:t>（3）算薪周期的结束日期&gt;=离职日期&gt;=算薪周期的开始日期，则该人员会直接添加到【薪资组设置_参与计薪人员/部门】，且姓名在【仅在本月算薪】显示。</w:t>
      </w:r>
      <w:commentRangeEnd w:id="5"/>
      <w:r>
        <w:rPr>
          <w:rFonts w:hint="eastAsia" w:ascii="微软雅黑" w:hAnsi="微软雅黑" w:eastAsia="微软雅黑" w:cs="微软雅黑"/>
        </w:rPr>
        <w:commentReference w:id="5"/>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4"/>
        </w:numPr>
        <w:ind w:left="0" w:leftChars="0" w:firstLine="0" w:firstLineChars="0"/>
        <w:jc w:val="both"/>
        <w:outlineLvl w:val="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定薪调薪</w:t>
      </w:r>
    </w:p>
    <w:p>
      <w:pPr>
        <w:widowControl w:val="0"/>
        <w:numPr>
          <w:ilvl w:val="0"/>
          <w:numId w:val="0"/>
        </w:numPr>
        <w:ind w:leftChars="0"/>
        <w:jc w:val="both"/>
        <w:outlineLvl w:val="1"/>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7.1 问题描述</w:t>
      </w:r>
    </w:p>
    <w:p>
      <w:pPr>
        <w:widowControl w:val="0"/>
        <w:numPr>
          <w:ilvl w:val="0"/>
          <w:numId w:val="0"/>
        </w:numPr>
        <w:ind w:leftChars="0"/>
        <w:jc w:val="both"/>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目前线上版本的定调薪的数据取值与实际情况不一致，如下图所示：</w:t>
      </w:r>
    </w:p>
    <w:p>
      <w:pPr>
        <w:widowControl w:val="0"/>
        <w:numPr>
          <w:ilvl w:val="0"/>
          <w:numId w:val="0"/>
        </w:numPr>
        <w:ind w:leftChars="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7325" cy="1334135"/>
            <wp:effectExtent l="9525" t="9525" r="19050" b="2794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59"/>
                    <a:stretch>
                      <a:fillRect/>
                    </a:stretch>
                  </pic:blipFill>
                  <pic:spPr>
                    <a:xfrm>
                      <a:off x="0" y="0"/>
                      <a:ext cx="5267325" cy="1334135"/>
                    </a:xfrm>
                    <a:prstGeom prst="rect">
                      <a:avLst/>
                    </a:prstGeom>
                    <a:noFill/>
                    <a:ln>
                      <a:solidFill>
                        <a:schemeClr val="bg1">
                          <a:lumMod val="85000"/>
                        </a:schemeClr>
                      </a:solidFill>
                    </a:ln>
                  </pic:spPr>
                </pic:pic>
              </a:graphicData>
            </a:graphic>
          </wp:inline>
        </w:drawing>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左昊在二月算薪不存在调薪记录，但仍被记为本月调薪。</w:t>
      </w:r>
    </w:p>
    <w:p>
      <w:pPr>
        <w:widowControl w:val="0"/>
        <w:numPr>
          <w:ilvl w:val="0"/>
          <w:numId w:val="0"/>
        </w:numPr>
        <w:ind w:leftChars="0"/>
        <w:jc w:val="both"/>
        <w:rPr>
          <w:rFonts w:hint="eastAsia" w:ascii="微软雅黑" w:hAnsi="微软雅黑" w:eastAsia="微软雅黑" w:cs="微软雅黑"/>
          <w:lang w:val="en-US" w:eastAsia="zh-CN"/>
        </w:rPr>
      </w:pPr>
    </w:p>
    <w:p>
      <w:pPr>
        <w:widowControl w:val="0"/>
        <w:numPr>
          <w:ilvl w:val="0"/>
          <w:numId w:val="0"/>
        </w:numPr>
        <w:ind w:leftChars="0"/>
        <w:jc w:val="both"/>
        <w:outlineLvl w:val="1"/>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7.2 方案说明</w:t>
      </w:r>
    </w:p>
    <w:p>
      <w:pPr>
        <w:widowControl w:val="0"/>
        <w:numPr>
          <w:ilvl w:val="0"/>
          <w:numId w:val="0"/>
        </w:numPr>
        <w:ind w:leftChars="0"/>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7.2.1 本月新入职</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参照6.1.3.1的规则，本处略。</w:t>
      </w:r>
    </w:p>
    <w:p>
      <w:pPr>
        <w:widowControl w:val="0"/>
        <w:numPr>
          <w:ilvl w:val="0"/>
          <w:numId w:val="0"/>
        </w:numPr>
        <w:ind w:leftChars="0"/>
        <w:jc w:val="both"/>
        <w:rPr>
          <w:rFonts w:hint="eastAsia" w:ascii="微软雅黑" w:hAnsi="微软雅黑" w:eastAsia="微软雅黑" w:cs="微软雅黑"/>
          <w:lang w:val="en-US" w:eastAsia="zh-CN"/>
        </w:rPr>
      </w:pPr>
    </w:p>
    <w:p>
      <w:pPr>
        <w:widowControl w:val="0"/>
        <w:numPr>
          <w:ilvl w:val="0"/>
          <w:numId w:val="0"/>
        </w:numPr>
        <w:ind w:leftChars="0"/>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7.2.2 本月转正</w:t>
      </w:r>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说明：移除筛选条件【本月转正】，获取当前算薪人员的转正日期并与算薪周期判定：</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【算薪开始日期&lt;=转正日期&lt;=算薪结束日期】则纳入该统计项。</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更新：当核对算薪人员更新时则同步更新该统计项，涉及：</w:t>
      </w:r>
    </w:p>
    <w:p>
      <w:pPr>
        <w:widowControl w:val="0"/>
        <w:numPr>
          <w:ilvl w:val="0"/>
          <w:numId w:val="4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首次同步算薪人员/重新同步算薪人员（含因薪资组设置导致的重新同步）</w:t>
      </w:r>
    </w:p>
    <w:p>
      <w:pPr>
        <w:widowControl w:val="0"/>
        <w:numPr>
          <w:ilvl w:val="0"/>
          <w:numId w:val="4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操作修改算薪人员、批量添加算薪人员</w:t>
      </w:r>
    </w:p>
    <w:p>
      <w:pPr>
        <w:widowControl w:val="0"/>
        <w:numPr>
          <w:ilvl w:val="0"/>
          <w:numId w:val="4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手动在本月算薪人员表单行的操作列操作删除列表行。</w:t>
      </w:r>
    </w:p>
    <w:p>
      <w:pPr>
        <w:widowControl w:val="0"/>
        <w:numPr>
          <w:ilvl w:val="0"/>
          <w:numId w:val="4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在“未加入算薪组”“人数差异校验员工列表”中操作添加算薪。</w:t>
      </w:r>
    </w:p>
    <w:p>
      <w:pPr>
        <w:widowControl w:val="0"/>
        <w:numPr>
          <w:ilvl w:val="0"/>
          <w:numId w:val="0"/>
        </w:numPr>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注意：之前有个优化是把【最后工作日】改为【离职日期】目前未上线。</w:t>
      </w:r>
    </w:p>
    <w:p>
      <w:pPr>
        <w:widowControl w:val="0"/>
        <w:numPr>
          <w:ilvl w:val="0"/>
          <w:numId w:val="0"/>
        </w:numPr>
        <w:ind w:leftChars="0"/>
        <w:jc w:val="both"/>
        <w:rPr>
          <w:rFonts w:hint="eastAsia" w:ascii="微软雅黑" w:hAnsi="微软雅黑" w:eastAsia="微软雅黑" w:cs="微软雅黑"/>
          <w:lang w:val="en-US" w:eastAsia="zh-CN"/>
        </w:rPr>
      </w:pPr>
    </w:p>
    <w:p>
      <w:pPr>
        <w:widowControl w:val="0"/>
        <w:numPr>
          <w:ilvl w:val="0"/>
          <w:numId w:val="0"/>
        </w:numPr>
        <w:ind w:leftChars="0"/>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7.2.3 本月定薪</w:t>
      </w:r>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说明：移除筛选条件【本月定薪】，获取当前算薪人员的定薪生效日期并与算薪周期判定：</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【算薪开始日期&lt;=定薪生效日期&lt;=算薪结束日期】则纳入该统计项。</w:t>
      </w:r>
    </w:p>
    <w:p>
      <w:pPr>
        <w:widowControl w:val="0"/>
        <w:numPr>
          <w:ilvl w:val="0"/>
          <w:numId w:val="0"/>
        </w:numPr>
        <w:ind w:leftChars="0"/>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7.2.3 本月调薪</w:t>
      </w:r>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说明：移除筛选条件【本月定薪】，获取当前算薪人员的调薪生效日期并与算薪周期判定：</w:t>
      </w:r>
    </w:p>
    <w:p>
      <w:pPr>
        <w:widowControl w:val="0"/>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【算薪开始日期&lt;=调薪生效日期&lt;=算薪结束日期】则纳入该统计项。</w:t>
      </w:r>
    </w:p>
    <w:p>
      <w:pPr>
        <w:widowControl w:val="0"/>
        <w:numPr>
          <w:ilvl w:val="0"/>
          <w:numId w:val="0"/>
        </w:numPr>
        <w:jc w:val="both"/>
        <w:rPr>
          <w:rFonts w:hint="eastAsia" w:ascii="微软雅黑" w:hAnsi="微软雅黑" w:eastAsia="微软雅黑" w:cs="微软雅黑"/>
          <w:lang w:val="en-US" w:eastAsia="zh-CN"/>
        </w:rPr>
      </w:pPr>
    </w:p>
    <w:p>
      <w:pPr>
        <w:widowControl w:val="0"/>
        <w:numPr>
          <w:ilvl w:val="0"/>
          <w:numId w:val="4"/>
        </w:numPr>
        <w:ind w:left="0" w:leftChars="0" w:firstLine="0" w:firstLineChars="0"/>
        <w:jc w:val="both"/>
        <w:outlineLvl w:val="0"/>
        <w:rPr>
          <w:rFonts w:hint="eastAsia" w:ascii="微软雅黑" w:hAnsi="微软雅黑" w:eastAsia="微软雅黑" w:cs="微软雅黑"/>
          <w:lang w:val="en-US" w:eastAsia="zh-CN"/>
        </w:rPr>
      </w:pPr>
      <w:commentRangeStart w:id="6"/>
      <w:r>
        <w:rPr>
          <w:rFonts w:hint="eastAsia" w:ascii="微软雅黑" w:hAnsi="微软雅黑" w:eastAsia="微软雅黑" w:cs="微软雅黑"/>
          <w:lang w:val="en-US" w:eastAsia="zh-CN"/>
        </w:rPr>
        <w:t>新增函数</w:t>
      </w:r>
      <w:commentRangeEnd w:id="6"/>
      <w:r>
        <w:rPr>
          <w:rFonts w:hint="eastAsia" w:ascii="微软雅黑" w:hAnsi="微软雅黑" w:eastAsia="微软雅黑" w:cs="微软雅黑"/>
        </w:rPr>
        <w:commentReference w:id="6"/>
      </w:r>
    </w:p>
    <w:p>
      <w:pPr>
        <w:widowControl w:val="0"/>
        <w:numPr>
          <w:numId w:val="0"/>
        </w:numPr>
        <w:ind w:leftChars="0"/>
        <w:jc w:val="both"/>
        <w:outlineLvl w:val="1"/>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8.1 DATEDIF函数</w:t>
      </w:r>
    </w:p>
    <w:p>
      <w:pPr>
        <w:widowControl w:val="0"/>
        <w:numPr>
          <w:numId w:val="0"/>
        </w:numPr>
        <w:ind w:leftChars="0"/>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8.1.1 函数说明</w:t>
      </w:r>
    </w:p>
    <w:p>
      <w:pPr>
        <w:widowControl w:val="0"/>
        <w:numPr>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本期新增函数datedif，示例如下：</w:t>
      </w:r>
    </w:p>
    <w:tbl>
      <w:tblPr>
        <w:tblW w:w="4998" w:type="pct"/>
        <w:tblInd w:w="0" w:type="dxa"/>
        <w:shd w:val="clear"/>
        <w:tblLayout w:type="autofit"/>
        <w:tblCellMar>
          <w:top w:w="0" w:type="dxa"/>
          <w:left w:w="108" w:type="dxa"/>
          <w:bottom w:w="0" w:type="dxa"/>
          <w:right w:w="108" w:type="dxa"/>
        </w:tblCellMar>
      </w:tblPr>
      <w:tblGrid>
        <w:gridCol w:w="936"/>
        <w:gridCol w:w="4923"/>
        <w:gridCol w:w="2660"/>
      </w:tblGrid>
      <w:tr>
        <w:tblPrEx>
          <w:shd w:val="clear"/>
          <w:tblCellMar>
            <w:top w:w="0" w:type="dxa"/>
            <w:left w:w="108" w:type="dxa"/>
            <w:bottom w:w="0" w:type="dxa"/>
            <w:right w:w="108" w:type="dxa"/>
          </w:tblCellMar>
        </w:tblPrEx>
        <w:trPr>
          <w:trHeight w:val="560" w:hRule="atLeast"/>
        </w:trPr>
        <w:tc>
          <w:tcPr>
            <w:tcW w:w="512" w:type="pct"/>
            <w:tcBorders>
              <w:top w:val="single" w:color="808080" w:sz="4" w:space="0"/>
              <w:left w:val="single" w:color="808080" w:sz="4" w:space="0"/>
              <w:bottom w:val="single" w:color="808080" w:sz="4" w:space="0"/>
              <w:right w:val="single" w:color="808080" w:sz="4" w:space="0"/>
            </w:tcBorders>
            <w:shd w:val="clear" w:color="auto" w:fill="D7D7D7" w:themeFill="background1" w:themeFillShade="D8"/>
            <w:noWrap/>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薪资项</w:t>
            </w:r>
          </w:p>
        </w:tc>
        <w:tc>
          <w:tcPr>
            <w:tcW w:w="2907" w:type="pct"/>
            <w:tcBorders>
              <w:top w:val="single" w:color="808080" w:sz="4" w:space="0"/>
              <w:left w:val="single" w:color="808080" w:sz="4" w:space="0"/>
              <w:bottom w:val="single" w:color="808080" w:sz="4" w:space="0"/>
              <w:right w:val="single" w:color="808080" w:sz="4" w:space="0"/>
            </w:tcBorders>
            <w:shd w:val="clear" w:color="auto" w:fill="D7D7D7" w:themeFill="background1" w:themeFillShade="D8"/>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语法实例</w:t>
            </w:r>
          </w:p>
        </w:tc>
        <w:tc>
          <w:tcPr>
            <w:tcW w:w="1579" w:type="pct"/>
            <w:tcBorders>
              <w:top w:val="single" w:color="808080" w:sz="4" w:space="0"/>
              <w:left w:val="single" w:color="808080" w:sz="4" w:space="0"/>
              <w:bottom w:val="single" w:color="808080" w:sz="4" w:space="0"/>
              <w:right w:val="single" w:color="808080" w:sz="4" w:space="0"/>
            </w:tcBorders>
            <w:shd w:val="clear" w:color="auto" w:fill="D7D7D7" w:themeFill="background1" w:themeFillShade="D8"/>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解释说明</w:t>
            </w:r>
          </w:p>
        </w:tc>
      </w:tr>
      <w:tr>
        <w:tblPrEx>
          <w:shd w:val="clear"/>
          <w:tblCellMar>
            <w:top w:w="0" w:type="dxa"/>
            <w:left w:w="108" w:type="dxa"/>
            <w:bottom w:w="0" w:type="dxa"/>
            <w:right w:w="108" w:type="dxa"/>
          </w:tblCellMar>
        </w:tblPrEx>
        <w:trPr>
          <w:trHeight w:val="945" w:hRule="atLeast"/>
        </w:trPr>
        <w:tc>
          <w:tcPr>
            <w:tcW w:w="512" w:type="pct"/>
            <w:tcBorders>
              <w:top w:val="single" w:color="808080" w:sz="4" w:space="0"/>
              <w:left w:val="single" w:color="808080" w:sz="4" w:space="0"/>
              <w:bottom w:val="single" w:color="808080" w:sz="4" w:space="0"/>
              <w:right w:val="single" w:color="808080" w:sz="4" w:space="0"/>
            </w:tcBorders>
            <w:shd w:val="clear"/>
            <w:noWrap/>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在职月数</w:t>
            </w:r>
          </w:p>
        </w:tc>
        <w:tc>
          <w:tcPr>
            <w:tcW w:w="2907" w:type="pct"/>
            <w:tcBorders>
              <w:top w:val="single" w:color="808080" w:sz="4" w:space="0"/>
              <w:left w:val="single" w:color="808080" w:sz="4" w:space="0"/>
              <w:bottom w:val="single" w:color="808080" w:sz="4" w:space="0"/>
              <w:right w:val="single" w:color="808080" w:sz="4" w:space="0"/>
            </w:tcBorders>
            <w:shd w:val="clear"/>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DATEDIF(入职日期,IF(离职日期="",结薪周期末+1,离职日期+1),"M")</w:t>
            </w:r>
          </w:p>
        </w:tc>
        <w:tc>
          <w:tcPr>
            <w:tcW w:w="1579" w:type="pct"/>
            <w:tcBorders>
              <w:top w:val="single" w:color="808080" w:sz="4" w:space="0"/>
              <w:left w:val="single" w:color="808080" w:sz="4" w:space="0"/>
              <w:bottom w:val="single" w:color="808080" w:sz="4" w:space="0"/>
              <w:right w:val="single" w:color="808080" w:sz="4" w:space="0"/>
            </w:tcBorders>
            <w:shd w:val="clear"/>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用于不满3个月体检费扣回公式测算</w:t>
            </w:r>
          </w:p>
        </w:tc>
      </w:tr>
    </w:tbl>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该函数用于计算自然日下年月日的折算，与month使用比较差异，如下图所示：</w:t>
      </w:r>
    </w:p>
    <w:p>
      <w:pPr>
        <w:widowControl w:val="0"/>
        <w:numPr>
          <w:ilvl w:val="0"/>
          <w:numId w:val="0"/>
        </w:numPr>
        <w:ind w:leftChars="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448175" cy="1609725"/>
            <wp:effectExtent l="0" t="0" r="9525"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0"/>
                    <a:stretch>
                      <a:fillRect/>
                    </a:stretch>
                  </pic:blipFill>
                  <pic:spPr>
                    <a:xfrm>
                      <a:off x="0" y="0"/>
                      <a:ext cx="4448175" cy="1609725"/>
                    </a:xfrm>
                    <a:prstGeom prst="rect">
                      <a:avLst/>
                    </a:prstGeom>
                    <a:noFill/>
                    <a:ln>
                      <a:noFill/>
                    </a:ln>
                  </pic:spPr>
                </pic:pic>
              </a:graphicData>
            </a:graphic>
          </wp:inline>
        </w:drawing>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Month是直接月度相减，而datedif是先算7月1日到4月6日有86天，86/30=2.86，取整计2，所以按月度统计为2个月，这会导致算薪时，错误多算一个月的关联薪资项；它也可以用于日和年直接的差值计算。</w:t>
      </w:r>
    </w:p>
    <w:p>
      <w:pPr>
        <w:widowControl w:val="0"/>
        <w:numPr>
          <w:ilvl w:val="0"/>
          <w:numId w:val="0"/>
        </w:numPr>
        <w:ind w:leftChars="0"/>
        <w:jc w:val="both"/>
        <w:rPr>
          <w:rFonts w:hint="eastAsia" w:ascii="微软雅黑" w:hAnsi="微软雅黑" w:eastAsia="微软雅黑" w:cs="微软雅黑"/>
          <w:lang w:val="en-US" w:eastAsia="zh-CN"/>
        </w:rPr>
      </w:pPr>
    </w:p>
    <w:p>
      <w:pPr>
        <w:widowControl w:val="0"/>
        <w:numPr>
          <w:ilvl w:val="0"/>
          <w:numId w:val="0"/>
        </w:numPr>
        <w:ind w:leftChars="0"/>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8.1.2 DATEDIF函数的使用办法</w:t>
      </w:r>
    </w:p>
    <w:p>
      <w:pPr>
        <w:widowControl w:val="0"/>
        <w:numPr>
          <w:ilvl w:val="0"/>
          <w:numId w:val="0"/>
        </w:numPr>
        <w:ind w:leftChars="0"/>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8.1.2.1 语法</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DATEDIF（开始日期,终止日期,条件参数）</w:t>
      </w:r>
    </w:p>
    <w:p>
      <w:pPr>
        <w:widowControl w:val="0"/>
        <w:numPr>
          <w:ilvl w:val="0"/>
          <w:numId w:val="0"/>
        </w:numPr>
        <w:ind w:leftChars="0"/>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8.1.2.2 默认插入格式</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DATE</w:t>
      </w:r>
      <w:r>
        <w:rPr>
          <w:rFonts w:hint="eastAsia" w:ascii="微软雅黑" w:hAnsi="微软雅黑" w:eastAsia="微软雅黑" w:cs="微软雅黑"/>
          <w:color w:val="FF0000"/>
          <w:lang w:val="en-US" w:eastAsia="zh-CN"/>
        </w:rPr>
        <w:t>DIF</w:t>
      </w:r>
      <w:r>
        <w:rPr>
          <w:rFonts w:hint="eastAsia" w:ascii="微软雅黑" w:hAnsi="微软雅黑" w:eastAsia="微软雅黑" w:cs="微软雅黑"/>
          <w:color w:val="FF0000"/>
          <w:lang w:val="en-US" w:eastAsia="zh-CN"/>
        </w:rPr>
        <w:t>(,,)</w:t>
      </w:r>
    </w:p>
    <w:p>
      <w:pPr>
        <w:widowControl w:val="0"/>
        <w:numPr>
          <w:ilvl w:val="0"/>
          <w:numId w:val="0"/>
        </w:numPr>
        <w:ind w:leftChars="0"/>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8.1.2.3 语法说明</w:t>
      </w:r>
    </w:p>
    <w:p>
      <w:pPr>
        <w:widowControl w:val="0"/>
        <w:numPr>
          <w:ilvl w:val="0"/>
          <w:numId w:val="0"/>
        </w:numPr>
        <w:ind w:left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开始日期</w:t>
      </w:r>
      <w:r>
        <w:rPr>
          <w:rFonts w:hint="eastAsia" w:ascii="微软雅黑" w:hAnsi="微软雅黑" w:eastAsia="微软雅黑" w:cs="微软雅黑"/>
          <w:color w:val="FF0000"/>
          <w:lang w:val="en-US" w:eastAsia="zh-CN"/>
        </w:rPr>
        <w:t>:必需</w:t>
      </w:r>
      <w:r>
        <w:rPr>
          <w:rFonts w:hint="eastAsia" w:ascii="微软雅黑" w:hAnsi="微软雅黑" w:eastAsia="微软雅黑" w:cs="微软雅黑"/>
          <w:color w:val="FF0000"/>
          <w:lang w:val="en-US" w:eastAsia="zh-CN"/>
        </w:rPr>
        <w:t>项</w:t>
      </w:r>
      <w:r>
        <w:rPr>
          <w:rFonts w:hint="eastAsia" w:ascii="微软雅黑" w:hAnsi="微软雅黑" w:eastAsia="微软雅黑" w:cs="微软雅黑"/>
          <w:color w:val="FF0000"/>
          <w:lang w:val="en-US" w:eastAsia="zh-CN"/>
        </w:rPr>
        <w:t>，为一个日期，第一个日期或起始日期</w:t>
      </w:r>
    </w:p>
    <w:p>
      <w:pPr>
        <w:widowControl w:val="0"/>
        <w:numPr>
          <w:ilvl w:val="0"/>
          <w:numId w:val="0"/>
        </w:numPr>
        <w:ind w:left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结束日期</w:t>
      </w:r>
      <w:r>
        <w:rPr>
          <w:rFonts w:hint="eastAsia" w:ascii="微软雅黑" w:hAnsi="微软雅黑" w:eastAsia="微软雅黑" w:cs="微软雅黑"/>
          <w:color w:val="FF0000"/>
          <w:lang w:val="en-US" w:eastAsia="zh-CN"/>
        </w:rPr>
        <w:t>:必需</w:t>
      </w:r>
      <w:r>
        <w:rPr>
          <w:rFonts w:hint="eastAsia" w:ascii="微软雅黑" w:hAnsi="微软雅黑" w:eastAsia="微软雅黑" w:cs="微软雅黑"/>
          <w:color w:val="FF0000"/>
          <w:lang w:val="en-US" w:eastAsia="zh-CN"/>
        </w:rPr>
        <w:t>项</w:t>
      </w:r>
      <w:r>
        <w:rPr>
          <w:rFonts w:hint="eastAsia" w:ascii="微软雅黑" w:hAnsi="微软雅黑" w:eastAsia="微软雅黑" w:cs="微软雅黑"/>
          <w:color w:val="FF0000"/>
          <w:lang w:val="en-US" w:eastAsia="zh-CN"/>
        </w:rPr>
        <w:t>，为一个日期，最后一个日期或结束日期</w:t>
      </w:r>
    </w:p>
    <w:p>
      <w:pPr>
        <w:widowControl w:val="0"/>
        <w:numPr>
          <w:ilvl w:val="0"/>
          <w:numId w:val="0"/>
        </w:numPr>
        <w:ind w:left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条件参数</w:t>
      </w:r>
      <w:r>
        <w:rPr>
          <w:rFonts w:hint="eastAsia" w:ascii="微软雅黑" w:hAnsi="微软雅黑" w:eastAsia="微软雅黑" w:cs="微软雅黑"/>
          <w:color w:val="FF0000"/>
          <w:lang w:val="en-US" w:eastAsia="zh-CN"/>
        </w:rPr>
        <w:t>:必需</w:t>
      </w:r>
      <w:r>
        <w:rPr>
          <w:rFonts w:hint="eastAsia" w:ascii="微软雅黑" w:hAnsi="微软雅黑" w:eastAsia="微软雅黑" w:cs="微软雅黑"/>
          <w:color w:val="FF0000"/>
          <w:lang w:val="en-US" w:eastAsia="zh-CN"/>
        </w:rPr>
        <w:t>项</w:t>
      </w:r>
      <w:r>
        <w:rPr>
          <w:rFonts w:hint="eastAsia" w:ascii="微软雅黑" w:hAnsi="微软雅黑" w:eastAsia="微软雅黑" w:cs="微软雅黑"/>
          <w:color w:val="FF0000"/>
          <w:lang w:val="en-US" w:eastAsia="zh-CN"/>
        </w:rPr>
        <w:t>，为所需信息的返回类型，</w:t>
      </w:r>
      <w:r>
        <w:rPr>
          <w:rFonts w:hint="eastAsia" w:ascii="微软雅黑" w:hAnsi="微软雅黑" w:eastAsia="微软雅黑" w:cs="微软雅黑"/>
          <w:color w:val="FF0000"/>
          <w:lang w:val="en-US" w:eastAsia="zh-CN"/>
        </w:rPr>
        <w:t>条件参数如下：</w:t>
      </w:r>
    </w:p>
    <w:p>
      <w:pPr>
        <w:widowControl w:val="0"/>
        <w:numPr>
          <w:ilvl w:val="0"/>
          <w:numId w:val="0"/>
        </w:numPr>
        <w:ind w:leftChars="0" w:firstLine="420" w:firstLine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“Y”：计算两个日期间隔的年数</w:t>
      </w:r>
    </w:p>
    <w:p>
      <w:pPr>
        <w:widowControl w:val="0"/>
        <w:numPr>
          <w:ilvl w:val="0"/>
          <w:numId w:val="0"/>
        </w:numPr>
        <w:ind w:leftChars="0" w:firstLine="420" w:firstLine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“M”：计算两个日期间隔的月数</w:t>
      </w:r>
    </w:p>
    <w:p>
      <w:pPr>
        <w:widowControl w:val="0"/>
        <w:numPr>
          <w:ilvl w:val="0"/>
          <w:numId w:val="0"/>
        </w:numPr>
        <w:ind w:leftChars="0" w:firstLine="420" w:firstLine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“D”：计算两个日期间隔的天数</w:t>
      </w:r>
    </w:p>
    <w:p>
      <w:pPr>
        <w:widowControl w:val="0"/>
        <w:numPr>
          <w:ilvl w:val="0"/>
          <w:numId w:val="0"/>
        </w:numPr>
        <w:ind w:leftChars="0" w:firstLine="420" w:firstLine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“YD”：忽略年数差，计算两个日期间隔的天数</w:t>
      </w:r>
    </w:p>
    <w:p>
      <w:pPr>
        <w:widowControl w:val="0"/>
        <w:numPr>
          <w:ilvl w:val="0"/>
          <w:numId w:val="0"/>
        </w:numPr>
        <w:ind w:leftChars="0" w:firstLine="420" w:firstLine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“MD”：忽略年数差和月数差，计算两个日期间隔的天数</w:t>
      </w:r>
    </w:p>
    <w:p>
      <w:pPr>
        <w:widowControl w:val="0"/>
        <w:numPr>
          <w:ilvl w:val="0"/>
          <w:numId w:val="0"/>
        </w:numPr>
        <w:ind w:leftChars="0" w:firstLine="420" w:firstLine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“YM”：忽略年数差，计算两个日期间隔的月数</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注意：该语法说明会显示在自定义公式的常用函数，鼠标悬浮弹窗内显示。</w:t>
      </w:r>
    </w:p>
    <w:p>
      <w:pPr>
        <w:widowControl w:val="0"/>
        <w:numPr>
          <w:ilvl w:val="0"/>
          <w:numId w:val="0"/>
        </w:numPr>
        <w:ind w:leftChars="0"/>
        <w:jc w:val="both"/>
        <w:rPr>
          <w:rFonts w:hint="eastAsia" w:ascii="微软雅黑" w:hAnsi="微软雅黑" w:eastAsia="微软雅黑" w:cs="微软雅黑"/>
          <w:lang w:val="en-US" w:eastAsia="zh-CN"/>
        </w:rPr>
      </w:pPr>
    </w:p>
    <w:p>
      <w:pPr>
        <w:widowControl w:val="0"/>
        <w:numPr>
          <w:ilvl w:val="0"/>
          <w:numId w:val="0"/>
        </w:numPr>
        <w:ind w:leftChars="0"/>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8.1.2.4 判断条件</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1）语法格式判断：如（）、函数名称、语法格式存在为空的情况时等，略</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2）日期取值：支持年月日，格式为2021/01/01、2021-01-01等EXCEL可识别的日期格式，且必须配合</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使用；当格式有误，则提示“【XX】公式中的函数DATEDIF的日期语法错误，可参考</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2021/01/01</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2021-01-01</w:t>
      </w:r>
      <w:r>
        <w:rPr>
          <w:rFonts w:hint="eastAsia" w:ascii="微软雅黑" w:hAnsi="微软雅黑" w:eastAsia="微软雅黑" w:cs="微软雅黑"/>
          <w:lang w:val="en-US" w:eastAsia="zh-CN"/>
        </w:rPr>
        <w:t>”</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3）条件参数取值：支持输入Y、M、D、YD、MD、YM，忽略大小写，且必须配合</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使用；当格式有误，则提示“【XX】公式中的函数DATEDIF的条件参数语法错误，可参考</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Y</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M</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D</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YD</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MD</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YM</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w:t>
      </w:r>
    </w:p>
    <w:p>
      <w:pPr>
        <w:widowControl w:val="0"/>
        <w:numPr>
          <w:ilvl w:val="0"/>
          <w:numId w:val="0"/>
        </w:numPr>
        <w:ind w:leftChars="0"/>
        <w:jc w:val="both"/>
        <w:rPr>
          <w:rFonts w:hint="eastAsia" w:ascii="微软雅黑" w:hAnsi="微软雅黑" w:eastAsia="微软雅黑" w:cs="微软雅黑"/>
          <w:lang w:val="en-US" w:eastAsia="zh-CN"/>
        </w:rPr>
      </w:pPr>
    </w:p>
    <w:p>
      <w:pPr>
        <w:widowControl w:val="0"/>
        <w:numPr>
          <w:ilvl w:val="0"/>
          <w:numId w:val="0"/>
        </w:numPr>
        <w:ind w:leftChars="0"/>
        <w:jc w:val="both"/>
        <w:outlineLvl w:val="1"/>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8.2 YEARFRAC函数</w:t>
      </w:r>
      <w:bookmarkStart w:id="4" w:name="_GoBack"/>
      <w:bookmarkEnd w:id="4"/>
    </w:p>
    <w:p>
      <w:pPr>
        <w:widowControl w:val="0"/>
        <w:numPr>
          <w:ilvl w:val="0"/>
          <w:numId w:val="0"/>
        </w:numPr>
        <w:ind w:leftChars="0"/>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8.2.1 函数说明</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本期新增函数YEARFRAC，示例如下：</w:t>
      </w:r>
    </w:p>
    <w:tbl>
      <w:tblPr>
        <w:tblStyle w:val="5"/>
        <w:tblW w:w="4998" w:type="pct"/>
        <w:tblInd w:w="0" w:type="dxa"/>
        <w:shd w:val="clear" w:color="auto" w:fill="auto"/>
        <w:tblLayout w:type="autofit"/>
        <w:tblCellMar>
          <w:top w:w="0" w:type="dxa"/>
          <w:left w:w="108" w:type="dxa"/>
          <w:bottom w:w="0" w:type="dxa"/>
          <w:right w:w="108" w:type="dxa"/>
        </w:tblCellMar>
      </w:tblPr>
      <w:tblGrid>
        <w:gridCol w:w="3157"/>
        <w:gridCol w:w="3813"/>
        <w:gridCol w:w="1549"/>
      </w:tblGrid>
      <w:tr>
        <w:tblPrEx>
          <w:shd w:val="clear" w:color="auto" w:fill="auto"/>
          <w:tblCellMar>
            <w:top w:w="0" w:type="dxa"/>
            <w:left w:w="108" w:type="dxa"/>
            <w:bottom w:w="0" w:type="dxa"/>
            <w:right w:w="108" w:type="dxa"/>
          </w:tblCellMar>
        </w:tblPrEx>
        <w:trPr>
          <w:trHeight w:val="560" w:hRule="atLeast"/>
        </w:trPr>
        <w:tc>
          <w:tcPr>
            <w:tcW w:w="512" w:type="pct"/>
            <w:tcBorders>
              <w:top w:val="single" w:color="808080" w:sz="4" w:space="0"/>
              <w:left w:val="single" w:color="808080" w:sz="4" w:space="0"/>
              <w:bottom w:val="single" w:color="808080" w:sz="4" w:space="0"/>
              <w:right w:val="single" w:color="808080" w:sz="4" w:space="0"/>
            </w:tcBorders>
            <w:shd w:val="clear" w:color="auto" w:fill="D7D7D7" w:themeFill="background1" w:themeFillShade="D8"/>
            <w:noWrap/>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薪资项</w:t>
            </w:r>
          </w:p>
        </w:tc>
        <w:tc>
          <w:tcPr>
            <w:tcW w:w="2907" w:type="pct"/>
            <w:tcBorders>
              <w:top w:val="single" w:color="808080" w:sz="4" w:space="0"/>
              <w:left w:val="single" w:color="808080" w:sz="4" w:space="0"/>
              <w:bottom w:val="single" w:color="808080" w:sz="4" w:space="0"/>
              <w:right w:val="single" w:color="808080" w:sz="4" w:space="0"/>
            </w:tcBorders>
            <w:shd w:val="clear" w:color="auto" w:fill="D7D7D7" w:themeFill="background1" w:themeFillShade="D8"/>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语法实例</w:t>
            </w:r>
          </w:p>
        </w:tc>
        <w:tc>
          <w:tcPr>
            <w:tcW w:w="1579" w:type="pct"/>
            <w:tcBorders>
              <w:top w:val="single" w:color="808080" w:sz="4" w:space="0"/>
              <w:left w:val="single" w:color="808080" w:sz="4" w:space="0"/>
              <w:bottom w:val="single" w:color="808080" w:sz="4" w:space="0"/>
              <w:right w:val="single" w:color="808080" w:sz="4" w:space="0"/>
            </w:tcBorders>
            <w:shd w:val="clear" w:color="auto" w:fill="D7D7D7" w:themeFill="background1" w:themeFillShade="D8"/>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解释说明</w:t>
            </w:r>
          </w:p>
        </w:tc>
      </w:tr>
      <w:tr>
        <w:tblPrEx>
          <w:shd w:val="clear" w:color="auto" w:fill="auto"/>
          <w:tblCellMar>
            <w:top w:w="0" w:type="dxa"/>
            <w:left w:w="108" w:type="dxa"/>
            <w:bottom w:w="0" w:type="dxa"/>
            <w:right w:w="108" w:type="dxa"/>
          </w:tblCellMar>
        </w:tblPrEx>
        <w:trPr>
          <w:trHeight w:val="945" w:hRule="atLeast"/>
        </w:trPr>
        <w:tc>
          <w:tcPr>
            <w:tcW w:w="512" w:type="pct"/>
            <w:tcBorders>
              <w:top w:val="single" w:color="808080" w:sz="4" w:space="0"/>
              <w:left w:val="single" w:color="808080" w:sz="4" w:space="0"/>
              <w:bottom w:val="single" w:color="808080" w:sz="4" w:space="0"/>
              <w:right w:val="single" w:color="808080" w:sz="4" w:space="0"/>
            </w:tcBorders>
            <w:shd w:val="clear" w:color="auto" w:fill="auto"/>
            <w:noWrap/>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截至结薪周期当月在职月数(精确值）</w:t>
            </w:r>
          </w:p>
        </w:tc>
        <w:tc>
          <w:tcPr>
            <w:tcW w:w="2907" w:type="pct"/>
            <w:tcBorders>
              <w:top w:val="single" w:color="808080" w:sz="4" w:space="0"/>
              <w:left w:val="single" w:color="808080" w:sz="4" w:space="0"/>
              <w:bottom w:val="single" w:color="808080" w:sz="4" w:space="0"/>
              <w:right w:val="single" w:color="808080" w:sz="4" w:space="0"/>
            </w:tcBorders>
            <w:shd w:val="clear" w:color="auto" w:fill="auto"/>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YEARFRAC(入职日期，离职日期+1）*12</w:t>
            </w:r>
          </w:p>
        </w:tc>
        <w:tc>
          <w:tcPr>
            <w:tcW w:w="1579" w:type="pct"/>
            <w:tcBorders>
              <w:top w:val="single" w:color="808080" w:sz="4" w:space="0"/>
              <w:left w:val="single" w:color="808080" w:sz="4" w:space="0"/>
              <w:bottom w:val="single" w:color="808080" w:sz="4" w:space="0"/>
              <w:right w:val="single" w:color="808080" w:sz="4" w:space="0"/>
            </w:tcBorders>
            <w:shd w:val="clear" w:color="auto" w:fill="auto"/>
            <w:vAlign w:val="center"/>
          </w:tcPr>
          <w:p>
            <w:pPr>
              <w:tabs>
                <w:tab w:val="left" w:pos="913"/>
              </w:tabs>
              <w:rPr>
                <w:rFonts w:hint="eastAsia" w:ascii="微软雅黑" w:hAnsi="微软雅黑" w:eastAsia="微软雅黑" w:cs="微软雅黑"/>
                <w:color w:val="auto"/>
                <w:sz w:val="18"/>
                <w:szCs w:val="18"/>
                <w:lang w:val="en-US" w:eastAsia="zh-CN"/>
              </w:rPr>
            </w:pPr>
            <w:r>
              <w:rPr>
                <w:rFonts w:hint="eastAsia" w:ascii="微软雅黑" w:hAnsi="微软雅黑" w:eastAsia="微软雅黑" w:cs="微软雅黑"/>
                <w:color w:val="auto"/>
                <w:sz w:val="18"/>
                <w:szCs w:val="18"/>
                <w:lang w:val="en-US" w:eastAsia="zh-CN"/>
              </w:rPr>
              <w:t>用于工龄公式测算（代称工龄月）</w:t>
            </w:r>
          </w:p>
        </w:tc>
      </w:tr>
    </w:tbl>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YEARFRAC</w:t>
      </w:r>
      <w:r>
        <w:rPr>
          <w:rFonts w:hint="eastAsia" w:ascii="微软雅黑" w:hAnsi="微软雅黑" w:eastAsia="微软雅黑" w:cs="微软雅黑"/>
          <w:lang w:val="en-US" w:eastAsia="zh-CN"/>
        </w:rPr>
        <w:t xml:space="preserve"> 可计算两个日期（start_date 和 end_date）之间的天数（取整天数）占一年的比例。 </w:t>
      </w:r>
    </w:p>
    <w:p>
      <w:pPr>
        <w:widowControl w:val="0"/>
        <w:numPr>
          <w:ilvl w:val="0"/>
          <w:numId w:val="0"/>
        </w:numPr>
        <w:ind w:leftChars="0"/>
        <w:jc w:val="both"/>
        <w:rPr>
          <w:rFonts w:hint="eastAsia" w:ascii="微软雅黑" w:hAnsi="微软雅黑" w:eastAsia="微软雅黑" w:cs="微软雅黑"/>
          <w:lang w:val="en-US" w:eastAsia="zh-CN"/>
        </w:rPr>
      </w:pPr>
    </w:p>
    <w:p>
      <w:pPr>
        <w:widowControl w:val="0"/>
        <w:numPr>
          <w:ilvl w:val="0"/>
          <w:numId w:val="0"/>
        </w:numPr>
        <w:ind w:leftChars="0"/>
        <w:jc w:val="both"/>
        <w:outlineLvl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8.2.2 YEARFRAC函数的使用办法</w:t>
      </w:r>
    </w:p>
    <w:p>
      <w:pPr>
        <w:widowControl w:val="0"/>
        <w:numPr>
          <w:ilvl w:val="0"/>
          <w:numId w:val="0"/>
        </w:numPr>
        <w:ind w:leftChars="0"/>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8.2.2.1 语法</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YEARFRAC</w:t>
      </w:r>
      <w:r>
        <w:rPr>
          <w:rFonts w:hint="eastAsia" w:ascii="微软雅黑" w:hAnsi="微软雅黑" w:eastAsia="微软雅黑" w:cs="微软雅黑"/>
          <w:color w:val="FF0000"/>
          <w:lang w:val="en-US" w:eastAsia="zh-CN"/>
        </w:rPr>
        <w:t>（开始日期,终止日期,基准类型）</w:t>
      </w:r>
    </w:p>
    <w:p>
      <w:pPr>
        <w:widowControl w:val="0"/>
        <w:numPr>
          <w:ilvl w:val="0"/>
          <w:numId w:val="0"/>
        </w:numPr>
        <w:ind w:leftChars="0"/>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8.2.2.2 默认插入格式</w:t>
      </w:r>
    </w:p>
    <w:p>
      <w:pPr>
        <w:widowControl w:val="0"/>
        <w:numPr>
          <w:ilvl w:val="0"/>
          <w:numId w:val="0"/>
        </w:numPr>
        <w:ind w:left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YEARFRAC(,)</w:t>
      </w:r>
    </w:p>
    <w:p>
      <w:pPr>
        <w:widowControl w:val="0"/>
        <w:numPr>
          <w:ilvl w:val="0"/>
          <w:numId w:val="0"/>
        </w:numPr>
        <w:ind w:leftChars="0"/>
        <w:jc w:val="both"/>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注意：这里不包含基准类型的非必须项，由用户自主配置。</w:t>
      </w:r>
    </w:p>
    <w:p>
      <w:pPr>
        <w:widowControl w:val="0"/>
        <w:numPr>
          <w:ilvl w:val="0"/>
          <w:numId w:val="0"/>
        </w:numPr>
        <w:ind w:leftChars="0"/>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8.2.2.3 语法说明</w:t>
      </w:r>
    </w:p>
    <w:p>
      <w:pPr>
        <w:widowControl w:val="0"/>
        <w:numPr>
          <w:ilvl w:val="0"/>
          <w:numId w:val="0"/>
        </w:numPr>
        <w:ind w:left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开始日期:必需项，为一个日期，第一个日期或起始日期</w:t>
      </w:r>
    </w:p>
    <w:p>
      <w:pPr>
        <w:widowControl w:val="0"/>
        <w:numPr>
          <w:ilvl w:val="0"/>
          <w:numId w:val="0"/>
        </w:numPr>
        <w:ind w:left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结束日期:必需项，为一个日期，最后一个日期或结束日期</w:t>
      </w:r>
    </w:p>
    <w:p>
      <w:pPr>
        <w:widowControl w:val="0"/>
        <w:numPr>
          <w:ilvl w:val="0"/>
          <w:numId w:val="0"/>
        </w:numPr>
        <w:ind w:left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基准类型:非必需项，要使用的日计数基准类型，类型如下：</w:t>
      </w:r>
    </w:p>
    <w:p>
      <w:pPr>
        <w:widowControl w:val="0"/>
        <w:numPr>
          <w:ilvl w:val="0"/>
          <w:numId w:val="0"/>
        </w:numPr>
        <w:ind w:leftChars="0" w:firstLine="420" w:firstLine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“0”：表示US30/360，即美国日360天/30天</w:t>
      </w:r>
    </w:p>
    <w:p>
      <w:pPr>
        <w:widowControl w:val="0"/>
        <w:numPr>
          <w:ilvl w:val="0"/>
          <w:numId w:val="0"/>
        </w:numPr>
        <w:ind w:leftChars="0" w:firstLine="420" w:firstLine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“1”：表示实际天数/实际天数</w:t>
      </w:r>
    </w:p>
    <w:p>
      <w:pPr>
        <w:widowControl w:val="0"/>
        <w:numPr>
          <w:ilvl w:val="0"/>
          <w:numId w:val="0"/>
        </w:numPr>
        <w:ind w:leftChars="0" w:firstLine="420" w:firstLine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“2”：表示实际天数/360</w:t>
      </w:r>
    </w:p>
    <w:p>
      <w:pPr>
        <w:widowControl w:val="0"/>
        <w:numPr>
          <w:ilvl w:val="0"/>
          <w:numId w:val="0"/>
        </w:numPr>
        <w:ind w:leftChars="0" w:firstLine="420" w:firstLine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“3”：表示实际天数/365</w:t>
      </w:r>
    </w:p>
    <w:p>
      <w:pPr>
        <w:widowControl w:val="0"/>
        <w:numPr>
          <w:ilvl w:val="0"/>
          <w:numId w:val="0"/>
        </w:numPr>
        <w:ind w:leftChars="0" w:firstLine="420" w:firstLineChars="0"/>
        <w:jc w:val="both"/>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“4”：表示欧洲30/360，即欧洲360天/30天</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注意：该语法说明会显示在自定义公式的常用函数，鼠标悬浮弹窗内显示。</w:t>
      </w:r>
    </w:p>
    <w:p>
      <w:pPr>
        <w:widowControl w:val="0"/>
        <w:numPr>
          <w:ilvl w:val="0"/>
          <w:numId w:val="0"/>
        </w:numPr>
        <w:ind w:leftChars="0"/>
        <w:jc w:val="both"/>
        <w:rPr>
          <w:rFonts w:hint="eastAsia" w:ascii="微软雅黑" w:hAnsi="微软雅黑" w:eastAsia="微软雅黑" w:cs="微软雅黑"/>
          <w:lang w:val="en-US" w:eastAsia="zh-CN"/>
        </w:rPr>
      </w:pPr>
    </w:p>
    <w:p>
      <w:pPr>
        <w:widowControl w:val="0"/>
        <w:numPr>
          <w:ilvl w:val="0"/>
          <w:numId w:val="0"/>
        </w:numPr>
        <w:ind w:leftChars="0"/>
        <w:jc w:val="both"/>
        <w:outlineLvl w:val="3"/>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8.2.2.4 判断条件</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1）语法格式判断：如（）、函数名称、语法格式存在为空的情况时等，略</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2）日期取值：支持年月日，格式为2021/01/01、2021-01-01等EXCEL可识别的日期格式，且必须配合””使用；当格式有误，则提示“【XX】公式中的函数DATEDIF的日期语法错误，可参考”2021/01/01”、”2021-01-01”</w:t>
      </w:r>
    </w:p>
    <w:p>
      <w:pPr>
        <w:widowControl w:val="0"/>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3）基准类型取值：支持输入0、1、2、3、4，非以上字符则报错并提示“基准类型必须为0、1、2、4”</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山海" w:date="2024-07-08T18:03:48Z" w:initials="">
    <w:p w14:paraId="1B9E1FF2">
      <w:pPr>
        <w:pStyle w:val="4"/>
        <w:rPr>
          <w:rFonts w:hint="default"/>
          <w:lang w:val="en-US" w:eastAsia="zh-CN"/>
        </w:rPr>
      </w:pPr>
      <w:r>
        <w:rPr>
          <w:rFonts w:hint="eastAsia"/>
          <w:lang w:val="en-US" w:eastAsia="zh-CN"/>
        </w:rPr>
        <w:t>7.8日添加</w:t>
      </w:r>
    </w:p>
  </w:comment>
  <w:comment w:id="1" w:author="山海" w:date="2024-07-08T18:04:43Z" w:initials="">
    <w:p w14:paraId="63513134">
      <w:pPr>
        <w:pStyle w:val="4"/>
        <w:rPr>
          <w:rFonts w:hint="default" w:eastAsiaTheme="minorEastAsia"/>
          <w:lang w:val="en-US" w:eastAsia="zh-CN"/>
        </w:rPr>
      </w:pPr>
      <w:r>
        <w:rPr>
          <w:rFonts w:hint="eastAsia"/>
          <w:lang w:val="en-US" w:eastAsia="zh-CN"/>
        </w:rPr>
        <w:t>7.8日添加</w:t>
      </w:r>
    </w:p>
  </w:comment>
  <w:comment w:id="2" w:author="山海" w:date="2024-07-08T18:05:30Z" w:initials="">
    <w:p w14:paraId="3B830E4E">
      <w:pPr>
        <w:pStyle w:val="4"/>
        <w:rPr>
          <w:rFonts w:hint="default" w:eastAsiaTheme="minorEastAsia"/>
          <w:lang w:val="en-US" w:eastAsia="zh-CN"/>
        </w:rPr>
      </w:pPr>
      <w:r>
        <w:rPr>
          <w:rFonts w:hint="eastAsia"/>
          <w:lang w:val="en-US" w:eastAsia="zh-CN"/>
        </w:rPr>
        <w:t>7.8日添加</w:t>
      </w:r>
    </w:p>
  </w:comment>
  <w:comment w:id="3" w:author="山海" w:date="2024-07-09T17:05:04Z" w:initials="">
    <w:p w14:paraId="73CD12D2">
      <w:pPr>
        <w:pStyle w:val="4"/>
        <w:rPr>
          <w:rFonts w:hint="default" w:eastAsiaTheme="minorEastAsia"/>
          <w:lang w:val="en-US" w:eastAsia="zh-CN"/>
        </w:rPr>
      </w:pPr>
      <w:r>
        <w:rPr>
          <w:rFonts w:hint="eastAsia"/>
          <w:lang w:val="en-US" w:eastAsia="zh-CN"/>
        </w:rPr>
        <w:t>7.8日调整，把</w:t>
      </w:r>
      <w:r>
        <w:rPr>
          <w:rFonts w:hint="eastAsia" w:ascii="微软雅黑" w:hAnsi="微软雅黑" w:eastAsia="微软雅黑" w:cs="微软雅黑"/>
          <w:lang w:val="en-US" w:eastAsia="zh-CN"/>
        </w:rPr>
        <w:t>离职日期&lt;算薪周期的开始日期改为离职日期&gt;算薪周期的结束日期</w:t>
      </w:r>
    </w:p>
  </w:comment>
  <w:comment w:id="4" w:author="山海" w:date="2024-07-09T17:11:19Z" w:initials="">
    <w:p w14:paraId="59CC5114">
      <w:pPr>
        <w:pStyle w:val="4"/>
        <w:rPr>
          <w:rFonts w:hint="default"/>
          <w:lang w:val="en-US"/>
        </w:rPr>
      </w:pPr>
      <w:r>
        <w:rPr>
          <w:rFonts w:hint="eastAsia"/>
          <w:lang w:val="en-US" w:eastAsia="zh-CN"/>
        </w:rPr>
        <w:t>7.8日调整，把</w:t>
      </w:r>
      <w:r>
        <w:rPr>
          <w:rFonts w:hint="eastAsia" w:ascii="微软雅黑" w:hAnsi="微软雅黑" w:eastAsia="微软雅黑" w:cs="微软雅黑"/>
          <w:lang w:val="en-US" w:eastAsia="zh-CN"/>
        </w:rPr>
        <w:t>离职日期&gt;算薪周期的结束日期改为离职日期&lt;算薪周期的开始日期并增补逻辑同步修改算薪人员的逻辑、</w:t>
      </w:r>
    </w:p>
  </w:comment>
  <w:comment w:id="5" w:author="山海" w:date="2024-07-09T17:11:53Z" w:initials="">
    <w:p w14:paraId="52D83A6E">
      <w:pPr>
        <w:pStyle w:val="4"/>
        <w:rPr>
          <w:rFonts w:hint="default" w:eastAsiaTheme="minorEastAsia"/>
          <w:lang w:val="en-US" w:eastAsia="zh-CN"/>
        </w:rPr>
      </w:pPr>
      <w:r>
        <w:rPr>
          <w:rFonts w:hint="eastAsia"/>
          <w:lang w:val="en-US" w:eastAsia="zh-CN"/>
        </w:rPr>
        <w:t>7.8日调整，把=的情况也考虑进去。</w:t>
      </w:r>
    </w:p>
  </w:comment>
  <w:comment w:id="6" w:author="山海" w:date="2024-07-09T17:54:55Z" w:initials="">
    <w:p w14:paraId="107E1A9A">
      <w:pPr>
        <w:pStyle w:val="4"/>
        <w:rPr>
          <w:rFonts w:hint="default"/>
          <w:lang w:val="en-US" w:eastAsia="zh-CN"/>
        </w:rPr>
      </w:pPr>
      <w:r>
        <w:rPr>
          <w:rFonts w:hint="eastAsia"/>
          <w:lang w:val="en-US" w:eastAsia="zh-CN"/>
        </w:rPr>
        <w:t>7.9日补充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B9E1FF2" w15:done="0"/>
  <w15:commentEx w15:paraId="63513134" w15:done="0"/>
  <w15:commentEx w15:paraId="3B830E4E" w15:done="0"/>
  <w15:commentEx w15:paraId="73CD12D2" w15:done="0"/>
  <w15:commentEx w15:paraId="59CC5114" w15:done="0"/>
  <w15:commentEx w15:paraId="52D83A6E" w15:done="0"/>
  <w15:commentEx w15:paraId="107E1A9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7EA514"/>
    <w:multiLevelType w:val="singleLevel"/>
    <w:tmpl w:val="8A7EA514"/>
    <w:lvl w:ilvl="0" w:tentative="0">
      <w:start w:val="1"/>
      <w:numFmt w:val="decimal"/>
      <w:suff w:val="nothing"/>
      <w:lvlText w:val="%1）"/>
      <w:lvlJc w:val="left"/>
    </w:lvl>
  </w:abstractNum>
  <w:abstractNum w:abstractNumId="1">
    <w:nsid w:val="914255D0"/>
    <w:multiLevelType w:val="singleLevel"/>
    <w:tmpl w:val="914255D0"/>
    <w:lvl w:ilvl="0" w:tentative="0">
      <w:start w:val="1"/>
      <w:numFmt w:val="decimal"/>
      <w:suff w:val="nothing"/>
      <w:lvlText w:val="%1）"/>
      <w:lvlJc w:val="left"/>
    </w:lvl>
  </w:abstractNum>
  <w:abstractNum w:abstractNumId="2">
    <w:nsid w:val="94BC719D"/>
    <w:multiLevelType w:val="singleLevel"/>
    <w:tmpl w:val="94BC719D"/>
    <w:lvl w:ilvl="0" w:tentative="0">
      <w:start w:val="1"/>
      <w:numFmt w:val="decimal"/>
      <w:suff w:val="nothing"/>
      <w:lvlText w:val="%1、"/>
      <w:lvlJc w:val="left"/>
    </w:lvl>
  </w:abstractNum>
  <w:abstractNum w:abstractNumId="3">
    <w:nsid w:val="9BDC2194"/>
    <w:multiLevelType w:val="singleLevel"/>
    <w:tmpl w:val="9BDC2194"/>
    <w:lvl w:ilvl="0" w:tentative="0">
      <w:start w:val="1"/>
      <w:numFmt w:val="decimal"/>
      <w:suff w:val="nothing"/>
      <w:lvlText w:val="%1）"/>
      <w:lvlJc w:val="left"/>
    </w:lvl>
  </w:abstractNum>
  <w:abstractNum w:abstractNumId="4">
    <w:nsid w:val="9D623505"/>
    <w:multiLevelType w:val="singleLevel"/>
    <w:tmpl w:val="9D623505"/>
    <w:lvl w:ilvl="0" w:tentative="0">
      <w:start w:val="1"/>
      <w:numFmt w:val="decimal"/>
      <w:suff w:val="nothing"/>
      <w:lvlText w:val="%1）"/>
      <w:lvlJc w:val="left"/>
    </w:lvl>
  </w:abstractNum>
  <w:abstractNum w:abstractNumId="5">
    <w:nsid w:val="A66EE4EC"/>
    <w:multiLevelType w:val="singleLevel"/>
    <w:tmpl w:val="A66EE4EC"/>
    <w:lvl w:ilvl="0" w:tentative="0">
      <w:start w:val="1"/>
      <w:numFmt w:val="bullet"/>
      <w:lvlText w:val=""/>
      <w:lvlJc w:val="left"/>
      <w:pPr>
        <w:tabs>
          <w:tab w:val="left" w:pos="420"/>
        </w:tabs>
        <w:ind w:left="840" w:hanging="420"/>
      </w:pPr>
      <w:rPr>
        <w:rFonts w:hint="default" w:ascii="Wingdings" w:hAnsi="Wingdings"/>
      </w:rPr>
    </w:lvl>
  </w:abstractNum>
  <w:abstractNum w:abstractNumId="6">
    <w:nsid w:val="AE03018C"/>
    <w:multiLevelType w:val="multilevel"/>
    <w:tmpl w:val="AE03018C"/>
    <w:lvl w:ilvl="0" w:tentative="0">
      <w:start w:val="1"/>
      <w:numFmt w:val="decimal"/>
      <w:lvlText w:val="%1."/>
      <w:lvlJc w:val="left"/>
      <w:pPr>
        <w:ind w:left="425" w:hanging="425"/>
      </w:pPr>
      <w:rPr>
        <w:rFonts w:hint="default" w:ascii="微软雅黑" w:hAnsi="微软雅黑" w:eastAsia="微软雅黑" w:cs="微软雅黑"/>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7">
    <w:nsid w:val="B08CE3D0"/>
    <w:multiLevelType w:val="singleLevel"/>
    <w:tmpl w:val="B08CE3D0"/>
    <w:lvl w:ilvl="0" w:tentative="0">
      <w:start w:val="1"/>
      <w:numFmt w:val="decimal"/>
      <w:suff w:val="nothing"/>
      <w:lvlText w:val="%1）"/>
      <w:lvlJc w:val="left"/>
    </w:lvl>
  </w:abstractNum>
  <w:abstractNum w:abstractNumId="8">
    <w:nsid w:val="B18DD3D4"/>
    <w:multiLevelType w:val="singleLevel"/>
    <w:tmpl w:val="B18DD3D4"/>
    <w:lvl w:ilvl="0" w:tentative="0">
      <w:start w:val="1"/>
      <w:numFmt w:val="decimal"/>
      <w:suff w:val="nothing"/>
      <w:lvlText w:val="%1）"/>
      <w:lvlJc w:val="left"/>
    </w:lvl>
  </w:abstractNum>
  <w:abstractNum w:abstractNumId="9">
    <w:nsid w:val="B1AE7B86"/>
    <w:multiLevelType w:val="singleLevel"/>
    <w:tmpl w:val="B1AE7B86"/>
    <w:lvl w:ilvl="0" w:tentative="0">
      <w:start w:val="1"/>
      <w:numFmt w:val="decimal"/>
      <w:suff w:val="nothing"/>
      <w:lvlText w:val="%1、"/>
      <w:lvlJc w:val="left"/>
    </w:lvl>
  </w:abstractNum>
  <w:abstractNum w:abstractNumId="10">
    <w:nsid w:val="B4799F29"/>
    <w:multiLevelType w:val="singleLevel"/>
    <w:tmpl w:val="B4799F29"/>
    <w:lvl w:ilvl="0" w:tentative="0">
      <w:start w:val="1"/>
      <w:numFmt w:val="decimal"/>
      <w:suff w:val="nothing"/>
      <w:lvlText w:val="%1）"/>
      <w:lvlJc w:val="left"/>
    </w:lvl>
  </w:abstractNum>
  <w:abstractNum w:abstractNumId="11">
    <w:nsid w:val="B4DFEF82"/>
    <w:multiLevelType w:val="singleLevel"/>
    <w:tmpl w:val="B4DFEF82"/>
    <w:lvl w:ilvl="0" w:tentative="0">
      <w:start w:val="1"/>
      <w:numFmt w:val="decimal"/>
      <w:suff w:val="nothing"/>
      <w:lvlText w:val="%1、"/>
      <w:lvlJc w:val="left"/>
    </w:lvl>
  </w:abstractNum>
  <w:abstractNum w:abstractNumId="12">
    <w:nsid w:val="BE7D444A"/>
    <w:multiLevelType w:val="singleLevel"/>
    <w:tmpl w:val="BE7D444A"/>
    <w:lvl w:ilvl="0" w:tentative="0">
      <w:start w:val="1"/>
      <w:numFmt w:val="decimal"/>
      <w:suff w:val="nothing"/>
      <w:lvlText w:val="%1、"/>
      <w:lvlJc w:val="left"/>
    </w:lvl>
  </w:abstractNum>
  <w:abstractNum w:abstractNumId="13">
    <w:nsid w:val="C2D4D2DD"/>
    <w:multiLevelType w:val="singleLevel"/>
    <w:tmpl w:val="C2D4D2DD"/>
    <w:lvl w:ilvl="0" w:tentative="0">
      <w:start w:val="1"/>
      <w:numFmt w:val="decimal"/>
      <w:suff w:val="nothing"/>
      <w:lvlText w:val="%1、"/>
      <w:lvlJc w:val="left"/>
    </w:lvl>
  </w:abstractNum>
  <w:abstractNum w:abstractNumId="14">
    <w:nsid w:val="D720C293"/>
    <w:multiLevelType w:val="singleLevel"/>
    <w:tmpl w:val="D720C293"/>
    <w:lvl w:ilvl="0" w:tentative="0">
      <w:start w:val="1"/>
      <w:numFmt w:val="decimal"/>
      <w:suff w:val="nothing"/>
      <w:lvlText w:val="%1）"/>
      <w:lvlJc w:val="left"/>
    </w:lvl>
  </w:abstractNum>
  <w:abstractNum w:abstractNumId="15">
    <w:nsid w:val="D880FD77"/>
    <w:multiLevelType w:val="singleLevel"/>
    <w:tmpl w:val="D880FD77"/>
    <w:lvl w:ilvl="0" w:tentative="0">
      <w:start w:val="1"/>
      <w:numFmt w:val="decimal"/>
      <w:suff w:val="nothing"/>
      <w:lvlText w:val="%1）"/>
      <w:lvlJc w:val="left"/>
    </w:lvl>
  </w:abstractNum>
  <w:abstractNum w:abstractNumId="16">
    <w:nsid w:val="D92DA9DB"/>
    <w:multiLevelType w:val="singleLevel"/>
    <w:tmpl w:val="D92DA9DB"/>
    <w:lvl w:ilvl="0" w:tentative="0">
      <w:start w:val="1"/>
      <w:numFmt w:val="chineseCounting"/>
      <w:pStyle w:val="2"/>
      <w:suff w:val="nothing"/>
      <w:lvlText w:val="%1、"/>
      <w:lvlJc w:val="left"/>
      <w:pPr>
        <w:ind w:left="0" w:firstLine="0"/>
      </w:pPr>
      <w:rPr>
        <w:rFonts w:hint="eastAsia"/>
      </w:rPr>
    </w:lvl>
  </w:abstractNum>
  <w:abstractNum w:abstractNumId="17">
    <w:nsid w:val="E1B48AF7"/>
    <w:multiLevelType w:val="singleLevel"/>
    <w:tmpl w:val="E1B48AF7"/>
    <w:lvl w:ilvl="0" w:tentative="0">
      <w:start w:val="1"/>
      <w:numFmt w:val="decimal"/>
      <w:suff w:val="nothing"/>
      <w:lvlText w:val="%1、"/>
      <w:lvlJc w:val="left"/>
    </w:lvl>
  </w:abstractNum>
  <w:abstractNum w:abstractNumId="18">
    <w:nsid w:val="E42FD762"/>
    <w:multiLevelType w:val="multilevel"/>
    <w:tmpl w:val="E42FD7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F0BB8F02"/>
    <w:multiLevelType w:val="singleLevel"/>
    <w:tmpl w:val="F0BB8F02"/>
    <w:lvl w:ilvl="0" w:tentative="0">
      <w:start w:val="1"/>
      <w:numFmt w:val="decimal"/>
      <w:suff w:val="nothing"/>
      <w:lvlText w:val="%1、"/>
      <w:lvlJc w:val="left"/>
    </w:lvl>
  </w:abstractNum>
  <w:abstractNum w:abstractNumId="20">
    <w:nsid w:val="F77E36D7"/>
    <w:multiLevelType w:val="singleLevel"/>
    <w:tmpl w:val="F77E36D7"/>
    <w:lvl w:ilvl="0" w:tentative="0">
      <w:start w:val="1"/>
      <w:numFmt w:val="decimal"/>
      <w:suff w:val="nothing"/>
      <w:lvlText w:val="%1、"/>
      <w:lvlJc w:val="left"/>
    </w:lvl>
  </w:abstractNum>
  <w:abstractNum w:abstractNumId="21">
    <w:nsid w:val="F9C666D3"/>
    <w:multiLevelType w:val="singleLevel"/>
    <w:tmpl w:val="F9C666D3"/>
    <w:lvl w:ilvl="0" w:tentative="0">
      <w:start w:val="1"/>
      <w:numFmt w:val="bullet"/>
      <w:lvlText w:val=""/>
      <w:lvlJc w:val="left"/>
      <w:pPr>
        <w:ind w:left="420" w:hanging="420"/>
      </w:pPr>
      <w:rPr>
        <w:rFonts w:hint="default" w:ascii="Wingdings" w:hAnsi="Wingdings"/>
      </w:rPr>
    </w:lvl>
  </w:abstractNum>
  <w:abstractNum w:abstractNumId="22">
    <w:nsid w:val="FB8CADF4"/>
    <w:multiLevelType w:val="singleLevel"/>
    <w:tmpl w:val="FB8CADF4"/>
    <w:lvl w:ilvl="0" w:tentative="0">
      <w:start w:val="1"/>
      <w:numFmt w:val="decimal"/>
      <w:suff w:val="nothing"/>
      <w:lvlText w:val="%1）"/>
      <w:lvlJc w:val="left"/>
    </w:lvl>
  </w:abstractNum>
  <w:abstractNum w:abstractNumId="23">
    <w:nsid w:val="18368A60"/>
    <w:multiLevelType w:val="singleLevel"/>
    <w:tmpl w:val="18368A60"/>
    <w:lvl w:ilvl="0" w:tentative="0">
      <w:start w:val="1"/>
      <w:numFmt w:val="decimal"/>
      <w:suff w:val="nothing"/>
      <w:lvlText w:val="%1、"/>
      <w:lvlJc w:val="left"/>
    </w:lvl>
  </w:abstractNum>
  <w:abstractNum w:abstractNumId="24">
    <w:nsid w:val="1D22B239"/>
    <w:multiLevelType w:val="multilevel"/>
    <w:tmpl w:val="1D22B239"/>
    <w:lvl w:ilvl="0" w:tentative="0">
      <w:start w:val="1"/>
      <w:numFmt w:val="chineseCounting"/>
      <w:pStyle w:val="3"/>
      <w:suff w:val="nothing"/>
      <w:lvlText w:val="（%1）"/>
      <w:lvlJc w:val="left"/>
      <w:pPr>
        <w:ind w:left="0" w:firstLine="0"/>
      </w:pPr>
      <w:rPr>
        <w:rFonts w:hint="eastAsia"/>
      </w:rPr>
    </w:lvl>
    <w:lvl w:ilvl="1" w:tentative="0">
      <w:start w:val="1"/>
      <w:numFmt w:val="decimal"/>
      <w:suff w:val="nothing"/>
      <w:lvlText w:val="%2．"/>
      <w:lvlJc w:val="left"/>
      <w:pPr>
        <w:ind w:left="0" w:firstLine="0"/>
      </w:pPr>
      <w:rPr>
        <w:rFonts w:hint="eastAsia"/>
      </w:rPr>
    </w:lvl>
    <w:lvl w:ilvl="2" w:tentative="0">
      <w:start w:val="1"/>
      <w:numFmt w:val="decimal"/>
      <w:suff w:val="nothing"/>
      <w:lvlText w:val="（%3）"/>
      <w:lvlJc w:val="left"/>
      <w:pPr>
        <w:ind w:left="0" w:firstLine="0"/>
      </w:pPr>
      <w:rPr>
        <w:rFonts w:hint="eastAsia"/>
      </w:rPr>
    </w:lvl>
    <w:lvl w:ilvl="3" w:tentative="0">
      <w:start w:val="1"/>
      <w:numFmt w:val="decimalEnclosedCircleChinese"/>
      <w:suff w:val="nothing"/>
      <w:lvlText w:val="%4"/>
      <w:lvlJc w:val="left"/>
      <w:pPr>
        <w:ind w:left="0" w:firstLine="0"/>
      </w:pPr>
      <w:rPr>
        <w:rFonts w:hint="eastAsia"/>
      </w:rPr>
    </w:lvl>
    <w:lvl w:ilvl="4" w:tentative="0">
      <w:start w:val="1"/>
      <w:numFmt w:val="decimal"/>
      <w:suff w:val="nothing"/>
      <w:lvlText w:val="%5）"/>
      <w:lvlJc w:val="left"/>
      <w:pPr>
        <w:ind w:left="0" w:firstLine="0"/>
      </w:pPr>
      <w:rPr>
        <w:rFonts w:hint="eastAsia"/>
      </w:rPr>
    </w:lvl>
    <w:lvl w:ilvl="5" w:tentative="0">
      <w:start w:val="1"/>
      <w:numFmt w:val="lowerLetter"/>
      <w:suff w:val="nothing"/>
      <w:lvlText w:val="%6．"/>
      <w:lvlJc w:val="left"/>
      <w:pPr>
        <w:ind w:left="0" w:firstLine="0"/>
      </w:pPr>
      <w:rPr>
        <w:rFonts w:hint="eastAsia"/>
      </w:rPr>
    </w:lvl>
    <w:lvl w:ilvl="6" w:tentative="0">
      <w:start w:val="1"/>
      <w:numFmt w:val="lowerLetter"/>
      <w:suff w:val="nothing"/>
      <w:lvlText w:val="%7）"/>
      <w:lvlJc w:val="left"/>
      <w:pPr>
        <w:ind w:left="0" w:firstLine="0"/>
      </w:pPr>
      <w:rPr>
        <w:rFonts w:hint="eastAsia"/>
      </w:rPr>
    </w:lvl>
    <w:lvl w:ilvl="7" w:tentative="0">
      <w:start w:val="1"/>
      <w:numFmt w:val="lowerRoman"/>
      <w:suff w:val="nothing"/>
      <w:lvlText w:val="%8．"/>
      <w:lvlJc w:val="left"/>
      <w:pPr>
        <w:ind w:left="0" w:firstLine="0"/>
      </w:pPr>
      <w:rPr>
        <w:rFonts w:hint="eastAsia"/>
      </w:rPr>
    </w:lvl>
    <w:lvl w:ilvl="8" w:tentative="0">
      <w:start w:val="1"/>
      <w:numFmt w:val="lowerRoman"/>
      <w:suff w:val="nothing"/>
      <w:lvlText w:val="%9）"/>
      <w:lvlJc w:val="left"/>
      <w:pPr>
        <w:ind w:left="0" w:firstLine="0"/>
      </w:pPr>
      <w:rPr>
        <w:rFonts w:hint="eastAsia"/>
      </w:rPr>
    </w:lvl>
  </w:abstractNum>
  <w:abstractNum w:abstractNumId="25">
    <w:nsid w:val="1F889703"/>
    <w:multiLevelType w:val="singleLevel"/>
    <w:tmpl w:val="1F889703"/>
    <w:lvl w:ilvl="0" w:tentative="0">
      <w:start w:val="1"/>
      <w:numFmt w:val="decimal"/>
      <w:suff w:val="nothing"/>
      <w:lvlText w:val="%1、"/>
      <w:lvlJc w:val="left"/>
    </w:lvl>
  </w:abstractNum>
  <w:abstractNum w:abstractNumId="26">
    <w:nsid w:val="26120967"/>
    <w:multiLevelType w:val="singleLevel"/>
    <w:tmpl w:val="26120967"/>
    <w:lvl w:ilvl="0" w:tentative="0">
      <w:start w:val="1"/>
      <w:numFmt w:val="decimal"/>
      <w:suff w:val="nothing"/>
      <w:lvlText w:val="%1、"/>
      <w:lvlJc w:val="left"/>
    </w:lvl>
  </w:abstractNum>
  <w:abstractNum w:abstractNumId="27">
    <w:nsid w:val="2F710981"/>
    <w:multiLevelType w:val="singleLevel"/>
    <w:tmpl w:val="2F710981"/>
    <w:lvl w:ilvl="0" w:tentative="0">
      <w:start w:val="1"/>
      <w:numFmt w:val="decimal"/>
      <w:suff w:val="nothing"/>
      <w:lvlText w:val="%1、"/>
      <w:lvlJc w:val="left"/>
    </w:lvl>
  </w:abstractNum>
  <w:abstractNum w:abstractNumId="28">
    <w:nsid w:val="3FF607E8"/>
    <w:multiLevelType w:val="singleLevel"/>
    <w:tmpl w:val="3FF607E8"/>
    <w:lvl w:ilvl="0" w:tentative="0">
      <w:start w:val="1"/>
      <w:numFmt w:val="decimal"/>
      <w:suff w:val="nothing"/>
      <w:lvlText w:val="%1、"/>
      <w:lvlJc w:val="left"/>
    </w:lvl>
  </w:abstractNum>
  <w:abstractNum w:abstractNumId="29">
    <w:nsid w:val="40B79579"/>
    <w:multiLevelType w:val="singleLevel"/>
    <w:tmpl w:val="40B79579"/>
    <w:lvl w:ilvl="0" w:tentative="0">
      <w:start w:val="1"/>
      <w:numFmt w:val="decimal"/>
      <w:suff w:val="nothing"/>
      <w:lvlText w:val="%1）"/>
      <w:lvlJc w:val="left"/>
    </w:lvl>
  </w:abstractNum>
  <w:abstractNum w:abstractNumId="30">
    <w:nsid w:val="4AB3D6B5"/>
    <w:multiLevelType w:val="singleLevel"/>
    <w:tmpl w:val="4AB3D6B5"/>
    <w:lvl w:ilvl="0" w:tentative="0">
      <w:start w:val="1"/>
      <w:numFmt w:val="decimal"/>
      <w:suff w:val="nothing"/>
      <w:lvlText w:val="%1、"/>
      <w:lvlJc w:val="left"/>
    </w:lvl>
  </w:abstractNum>
  <w:abstractNum w:abstractNumId="31">
    <w:nsid w:val="576B3337"/>
    <w:multiLevelType w:val="singleLevel"/>
    <w:tmpl w:val="576B3337"/>
    <w:lvl w:ilvl="0" w:tentative="0">
      <w:start w:val="1"/>
      <w:numFmt w:val="decimal"/>
      <w:suff w:val="nothing"/>
      <w:lvlText w:val="%1）"/>
      <w:lvlJc w:val="left"/>
    </w:lvl>
  </w:abstractNum>
  <w:abstractNum w:abstractNumId="32">
    <w:nsid w:val="598A83D9"/>
    <w:multiLevelType w:val="singleLevel"/>
    <w:tmpl w:val="598A83D9"/>
    <w:lvl w:ilvl="0" w:tentative="0">
      <w:start w:val="1"/>
      <w:numFmt w:val="decimal"/>
      <w:suff w:val="nothing"/>
      <w:lvlText w:val="%1）"/>
      <w:lvlJc w:val="left"/>
    </w:lvl>
  </w:abstractNum>
  <w:abstractNum w:abstractNumId="33">
    <w:nsid w:val="60D55659"/>
    <w:multiLevelType w:val="singleLevel"/>
    <w:tmpl w:val="60D55659"/>
    <w:lvl w:ilvl="0" w:tentative="0">
      <w:start w:val="1"/>
      <w:numFmt w:val="decimal"/>
      <w:suff w:val="nothing"/>
      <w:lvlText w:val="%1、"/>
      <w:lvlJc w:val="left"/>
    </w:lvl>
  </w:abstractNum>
  <w:abstractNum w:abstractNumId="34">
    <w:nsid w:val="63807928"/>
    <w:multiLevelType w:val="singleLevel"/>
    <w:tmpl w:val="63807928"/>
    <w:lvl w:ilvl="0" w:tentative="0">
      <w:start w:val="1"/>
      <w:numFmt w:val="decimal"/>
      <w:suff w:val="nothing"/>
      <w:lvlText w:val="%1、"/>
      <w:lvlJc w:val="left"/>
    </w:lvl>
  </w:abstractNum>
  <w:abstractNum w:abstractNumId="35">
    <w:nsid w:val="6786121D"/>
    <w:multiLevelType w:val="singleLevel"/>
    <w:tmpl w:val="6786121D"/>
    <w:lvl w:ilvl="0" w:tentative="0">
      <w:start w:val="1"/>
      <w:numFmt w:val="decimal"/>
      <w:suff w:val="nothing"/>
      <w:lvlText w:val="%1、"/>
      <w:lvlJc w:val="left"/>
    </w:lvl>
  </w:abstractNum>
  <w:abstractNum w:abstractNumId="36">
    <w:nsid w:val="6B4C4C1D"/>
    <w:multiLevelType w:val="singleLevel"/>
    <w:tmpl w:val="6B4C4C1D"/>
    <w:lvl w:ilvl="0" w:tentative="0">
      <w:start w:val="1"/>
      <w:numFmt w:val="decimal"/>
      <w:suff w:val="nothing"/>
      <w:lvlText w:val="%1、"/>
      <w:lvlJc w:val="left"/>
    </w:lvl>
  </w:abstractNum>
  <w:abstractNum w:abstractNumId="37">
    <w:nsid w:val="6EEF1DAB"/>
    <w:multiLevelType w:val="singleLevel"/>
    <w:tmpl w:val="6EEF1DAB"/>
    <w:lvl w:ilvl="0" w:tentative="0">
      <w:start w:val="1"/>
      <w:numFmt w:val="decimal"/>
      <w:suff w:val="nothing"/>
      <w:lvlText w:val="%1、"/>
      <w:lvlJc w:val="left"/>
    </w:lvl>
  </w:abstractNum>
  <w:abstractNum w:abstractNumId="38">
    <w:nsid w:val="73F699AF"/>
    <w:multiLevelType w:val="singleLevel"/>
    <w:tmpl w:val="73F699AF"/>
    <w:lvl w:ilvl="0" w:tentative="0">
      <w:start w:val="1"/>
      <w:numFmt w:val="decimal"/>
      <w:suff w:val="nothing"/>
      <w:lvlText w:val="（%1）"/>
      <w:lvlJc w:val="left"/>
    </w:lvl>
  </w:abstractNum>
  <w:abstractNum w:abstractNumId="39">
    <w:nsid w:val="79E3C03A"/>
    <w:multiLevelType w:val="singleLevel"/>
    <w:tmpl w:val="79E3C03A"/>
    <w:lvl w:ilvl="0" w:tentative="0">
      <w:start w:val="1"/>
      <w:numFmt w:val="decimal"/>
      <w:suff w:val="nothing"/>
      <w:lvlText w:val="%1）"/>
      <w:lvlJc w:val="left"/>
    </w:lvl>
  </w:abstractNum>
  <w:num w:numId="1">
    <w:abstractNumId w:val="16"/>
  </w:num>
  <w:num w:numId="2">
    <w:abstractNumId w:val="24"/>
  </w:num>
  <w:num w:numId="3">
    <w:abstractNumId w:val="6"/>
  </w:num>
  <w:num w:numId="4">
    <w:abstractNumId w:val="19"/>
  </w:num>
  <w:num w:numId="5">
    <w:abstractNumId w:val="33"/>
  </w:num>
  <w:num w:numId="6">
    <w:abstractNumId w:val="9"/>
  </w:num>
  <w:num w:numId="7">
    <w:abstractNumId w:val="7"/>
  </w:num>
  <w:num w:numId="8">
    <w:abstractNumId w:val="17"/>
  </w:num>
  <w:num w:numId="9">
    <w:abstractNumId w:val="37"/>
  </w:num>
  <w:num w:numId="10">
    <w:abstractNumId w:val="32"/>
  </w:num>
  <w:num w:numId="11">
    <w:abstractNumId w:val="39"/>
  </w:num>
  <w:num w:numId="12">
    <w:abstractNumId w:val="25"/>
  </w:num>
  <w:num w:numId="13">
    <w:abstractNumId w:val="2"/>
  </w:num>
  <w:num w:numId="14">
    <w:abstractNumId w:val="31"/>
  </w:num>
  <w:num w:numId="15">
    <w:abstractNumId w:val="13"/>
  </w:num>
  <w:num w:numId="16">
    <w:abstractNumId w:val="23"/>
  </w:num>
  <w:num w:numId="17">
    <w:abstractNumId w:val="14"/>
  </w:num>
  <w:num w:numId="18">
    <w:abstractNumId w:val="11"/>
  </w:num>
  <w:num w:numId="19">
    <w:abstractNumId w:val="15"/>
  </w:num>
  <w:num w:numId="20">
    <w:abstractNumId w:val="38"/>
  </w:num>
  <w:num w:numId="21">
    <w:abstractNumId w:val="12"/>
  </w:num>
  <w:num w:numId="22">
    <w:abstractNumId w:val="22"/>
  </w:num>
  <w:num w:numId="23">
    <w:abstractNumId w:val="28"/>
  </w:num>
  <w:num w:numId="24">
    <w:abstractNumId w:val="27"/>
  </w:num>
  <w:num w:numId="25">
    <w:abstractNumId w:val="36"/>
  </w:num>
  <w:num w:numId="26">
    <w:abstractNumId w:val="1"/>
  </w:num>
  <w:num w:numId="27">
    <w:abstractNumId w:val="26"/>
  </w:num>
  <w:num w:numId="28">
    <w:abstractNumId w:val="3"/>
  </w:num>
  <w:num w:numId="29">
    <w:abstractNumId w:val="8"/>
  </w:num>
  <w:num w:numId="30">
    <w:abstractNumId w:val="10"/>
  </w:num>
  <w:num w:numId="31">
    <w:abstractNumId w:val="18"/>
  </w:num>
  <w:num w:numId="32">
    <w:abstractNumId w:val="21"/>
  </w:num>
  <w:num w:numId="33">
    <w:abstractNumId w:val="30"/>
  </w:num>
  <w:num w:numId="34">
    <w:abstractNumId w:val="34"/>
  </w:num>
  <w:num w:numId="35">
    <w:abstractNumId w:val="35"/>
  </w:num>
  <w:num w:numId="36">
    <w:abstractNumId w:val="20"/>
  </w:num>
  <w:num w:numId="37">
    <w:abstractNumId w:val="29"/>
  </w:num>
  <w:num w:numId="38">
    <w:abstractNumId w:val="5"/>
  </w:num>
  <w:num w:numId="39">
    <w:abstractNumId w:val="4"/>
  </w:num>
  <w:num w:numId="4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山海">
    <w15:presenceInfo w15:providerId="WPS Office" w15:userId="28264550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DB4601"/>
    <w:rsid w:val="0006746F"/>
    <w:rsid w:val="00247910"/>
    <w:rsid w:val="003862F6"/>
    <w:rsid w:val="005D74DD"/>
    <w:rsid w:val="0060157E"/>
    <w:rsid w:val="00B93B32"/>
    <w:rsid w:val="00B953CD"/>
    <w:rsid w:val="00E052E4"/>
    <w:rsid w:val="01056276"/>
    <w:rsid w:val="01176595"/>
    <w:rsid w:val="013B50CD"/>
    <w:rsid w:val="014A290F"/>
    <w:rsid w:val="0151566F"/>
    <w:rsid w:val="015F20E7"/>
    <w:rsid w:val="016329FF"/>
    <w:rsid w:val="01672F2D"/>
    <w:rsid w:val="016F71C6"/>
    <w:rsid w:val="01AE457E"/>
    <w:rsid w:val="01B164AA"/>
    <w:rsid w:val="01C7014B"/>
    <w:rsid w:val="01D059F7"/>
    <w:rsid w:val="01EB1B74"/>
    <w:rsid w:val="01F76345"/>
    <w:rsid w:val="01FA6E77"/>
    <w:rsid w:val="01FB72B1"/>
    <w:rsid w:val="02012A25"/>
    <w:rsid w:val="020919EB"/>
    <w:rsid w:val="02152C2D"/>
    <w:rsid w:val="021E770C"/>
    <w:rsid w:val="0229449D"/>
    <w:rsid w:val="02535C0A"/>
    <w:rsid w:val="027348A4"/>
    <w:rsid w:val="027B05F6"/>
    <w:rsid w:val="027D4A9D"/>
    <w:rsid w:val="02921760"/>
    <w:rsid w:val="02A4335F"/>
    <w:rsid w:val="02B1351A"/>
    <w:rsid w:val="02C1032D"/>
    <w:rsid w:val="02DA7CFC"/>
    <w:rsid w:val="02F1180F"/>
    <w:rsid w:val="02F37812"/>
    <w:rsid w:val="031B4D57"/>
    <w:rsid w:val="032E6D59"/>
    <w:rsid w:val="035175AB"/>
    <w:rsid w:val="03553651"/>
    <w:rsid w:val="037700EE"/>
    <w:rsid w:val="038B4CF8"/>
    <w:rsid w:val="038D5D98"/>
    <w:rsid w:val="03BC0159"/>
    <w:rsid w:val="03C52187"/>
    <w:rsid w:val="04057572"/>
    <w:rsid w:val="04180071"/>
    <w:rsid w:val="048B5C18"/>
    <w:rsid w:val="04915669"/>
    <w:rsid w:val="04BE2677"/>
    <w:rsid w:val="05087160"/>
    <w:rsid w:val="050C0748"/>
    <w:rsid w:val="050F1DC9"/>
    <w:rsid w:val="0521243D"/>
    <w:rsid w:val="052346DC"/>
    <w:rsid w:val="055011F3"/>
    <w:rsid w:val="05557DDC"/>
    <w:rsid w:val="05BC6772"/>
    <w:rsid w:val="05D52875"/>
    <w:rsid w:val="05D67C61"/>
    <w:rsid w:val="05E50E6E"/>
    <w:rsid w:val="05EF4162"/>
    <w:rsid w:val="05FC181D"/>
    <w:rsid w:val="05FC2A43"/>
    <w:rsid w:val="060121DF"/>
    <w:rsid w:val="060716A0"/>
    <w:rsid w:val="060C3CA1"/>
    <w:rsid w:val="061063A4"/>
    <w:rsid w:val="061E111F"/>
    <w:rsid w:val="063B5915"/>
    <w:rsid w:val="064D2789"/>
    <w:rsid w:val="06607170"/>
    <w:rsid w:val="06631743"/>
    <w:rsid w:val="06635C03"/>
    <w:rsid w:val="06703BFC"/>
    <w:rsid w:val="0670509A"/>
    <w:rsid w:val="0680080F"/>
    <w:rsid w:val="06944AAB"/>
    <w:rsid w:val="0699449D"/>
    <w:rsid w:val="06A91AD1"/>
    <w:rsid w:val="06C14583"/>
    <w:rsid w:val="06DD3D1C"/>
    <w:rsid w:val="06FF3040"/>
    <w:rsid w:val="07175BEC"/>
    <w:rsid w:val="071947A8"/>
    <w:rsid w:val="071E3DDA"/>
    <w:rsid w:val="07214E60"/>
    <w:rsid w:val="07546120"/>
    <w:rsid w:val="0782176E"/>
    <w:rsid w:val="07821B2F"/>
    <w:rsid w:val="0783512E"/>
    <w:rsid w:val="07946234"/>
    <w:rsid w:val="079811FB"/>
    <w:rsid w:val="07987FED"/>
    <w:rsid w:val="079C3E9B"/>
    <w:rsid w:val="079C423A"/>
    <w:rsid w:val="07B2483D"/>
    <w:rsid w:val="07C017E6"/>
    <w:rsid w:val="07C96832"/>
    <w:rsid w:val="07DB4601"/>
    <w:rsid w:val="07E34857"/>
    <w:rsid w:val="07E70141"/>
    <w:rsid w:val="07EB5DD3"/>
    <w:rsid w:val="07FE5B4E"/>
    <w:rsid w:val="08147F4A"/>
    <w:rsid w:val="087264A0"/>
    <w:rsid w:val="08731F96"/>
    <w:rsid w:val="087C055E"/>
    <w:rsid w:val="08825CE8"/>
    <w:rsid w:val="08867225"/>
    <w:rsid w:val="089F64D1"/>
    <w:rsid w:val="08A62F27"/>
    <w:rsid w:val="08B15EE9"/>
    <w:rsid w:val="08D54CEA"/>
    <w:rsid w:val="08E274D9"/>
    <w:rsid w:val="08F1001B"/>
    <w:rsid w:val="092A4BE3"/>
    <w:rsid w:val="0937210D"/>
    <w:rsid w:val="093E2F0E"/>
    <w:rsid w:val="094778DF"/>
    <w:rsid w:val="094915DE"/>
    <w:rsid w:val="096D7CD0"/>
    <w:rsid w:val="096E18B7"/>
    <w:rsid w:val="09923BDB"/>
    <w:rsid w:val="09B3018D"/>
    <w:rsid w:val="09B721D5"/>
    <w:rsid w:val="09F2644B"/>
    <w:rsid w:val="09FF38D3"/>
    <w:rsid w:val="0A014D6E"/>
    <w:rsid w:val="0A071E9F"/>
    <w:rsid w:val="0A5A3DA8"/>
    <w:rsid w:val="0A825303"/>
    <w:rsid w:val="0A946A43"/>
    <w:rsid w:val="0A96316A"/>
    <w:rsid w:val="0AA063B8"/>
    <w:rsid w:val="0ACD7E66"/>
    <w:rsid w:val="0ADA2BAC"/>
    <w:rsid w:val="0ADE5865"/>
    <w:rsid w:val="0AE947A9"/>
    <w:rsid w:val="0AF241E2"/>
    <w:rsid w:val="0AFE030B"/>
    <w:rsid w:val="0AFE4D9E"/>
    <w:rsid w:val="0B310A96"/>
    <w:rsid w:val="0B4E3255"/>
    <w:rsid w:val="0B723378"/>
    <w:rsid w:val="0B7D521D"/>
    <w:rsid w:val="0B8377DD"/>
    <w:rsid w:val="0B884C4D"/>
    <w:rsid w:val="0B981A06"/>
    <w:rsid w:val="0BB75E4C"/>
    <w:rsid w:val="0BBC68A4"/>
    <w:rsid w:val="0BEF5F0E"/>
    <w:rsid w:val="0C135458"/>
    <w:rsid w:val="0C26760A"/>
    <w:rsid w:val="0C2E02B1"/>
    <w:rsid w:val="0C3418EA"/>
    <w:rsid w:val="0C361C28"/>
    <w:rsid w:val="0C37185F"/>
    <w:rsid w:val="0C3E51DA"/>
    <w:rsid w:val="0C4013C7"/>
    <w:rsid w:val="0C4221F7"/>
    <w:rsid w:val="0C460EA1"/>
    <w:rsid w:val="0CBC59A3"/>
    <w:rsid w:val="0CC35047"/>
    <w:rsid w:val="0CC52B58"/>
    <w:rsid w:val="0CDE682B"/>
    <w:rsid w:val="0CDF5824"/>
    <w:rsid w:val="0CF37BD9"/>
    <w:rsid w:val="0CFA3826"/>
    <w:rsid w:val="0D221C54"/>
    <w:rsid w:val="0D81062B"/>
    <w:rsid w:val="0D911913"/>
    <w:rsid w:val="0DA8097E"/>
    <w:rsid w:val="0DB12694"/>
    <w:rsid w:val="0DD40CB7"/>
    <w:rsid w:val="0DDB634F"/>
    <w:rsid w:val="0DF30A06"/>
    <w:rsid w:val="0E007240"/>
    <w:rsid w:val="0E0A4C7C"/>
    <w:rsid w:val="0E137B68"/>
    <w:rsid w:val="0E3E2346"/>
    <w:rsid w:val="0E732793"/>
    <w:rsid w:val="0EA81751"/>
    <w:rsid w:val="0EB44F8C"/>
    <w:rsid w:val="0EC45B71"/>
    <w:rsid w:val="0EC54EEA"/>
    <w:rsid w:val="0EF043AA"/>
    <w:rsid w:val="0EFD4C00"/>
    <w:rsid w:val="0F1569DE"/>
    <w:rsid w:val="0F4B3040"/>
    <w:rsid w:val="0F536625"/>
    <w:rsid w:val="0F666523"/>
    <w:rsid w:val="0F673C09"/>
    <w:rsid w:val="0F731C40"/>
    <w:rsid w:val="0F816B90"/>
    <w:rsid w:val="0F87254B"/>
    <w:rsid w:val="0F910598"/>
    <w:rsid w:val="0FB34661"/>
    <w:rsid w:val="0FB63ED4"/>
    <w:rsid w:val="0FCA1C19"/>
    <w:rsid w:val="0FD128E6"/>
    <w:rsid w:val="0FDB7A67"/>
    <w:rsid w:val="0FE23DFC"/>
    <w:rsid w:val="0FE3314B"/>
    <w:rsid w:val="0FE5451E"/>
    <w:rsid w:val="0FF62B03"/>
    <w:rsid w:val="1033563A"/>
    <w:rsid w:val="10554FA1"/>
    <w:rsid w:val="10681D7C"/>
    <w:rsid w:val="106E3A6D"/>
    <w:rsid w:val="107B29BE"/>
    <w:rsid w:val="107B7D76"/>
    <w:rsid w:val="10826D59"/>
    <w:rsid w:val="109E16F0"/>
    <w:rsid w:val="10A63276"/>
    <w:rsid w:val="10B36CA8"/>
    <w:rsid w:val="10E26197"/>
    <w:rsid w:val="10EA3D7C"/>
    <w:rsid w:val="10F72D1A"/>
    <w:rsid w:val="10FF1968"/>
    <w:rsid w:val="119953EF"/>
    <w:rsid w:val="11A16159"/>
    <w:rsid w:val="11C40306"/>
    <w:rsid w:val="11E6036F"/>
    <w:rsid w:val="11F00E13"/>
    <w:rsid w:val="11F92B37"/>
    <w:rsid w:val="127258A2"/>
    <w:rsid w:val="127A41C2"/>
    <w:rsid w:val="1281400A"/>
    <w:rsid w:val="12961199"/>
    <w:rsid w:val="129B635D"/>
    <w:rsid w:val="12A201E0"/>
    <w:rsid w:val="12A32A21"/>
    <w:rsid w:val="12C676B5"/>
    <w:rsid w:val="12D93A5B"/>
    <w:rsid w:val="12E800AC"/>
    <w:rsid w:val="12EC2A81"/>
    <w:rsid w:val="130E29BE"/>
    <w:rsid w:val="132270A0"/>
    <w:rsid w:val="1326771B"/>
    <w:rsid w:val="133E3EE6"/>
    <w:rsid w:val="13560B77"/>
    <w:rsid w:val="13821A93"/>
    <w:rsid w:val="13931C8A"/>
    <w:rsid w:val="13AA0573"/>
    <w:rsid w:val="13BA320E"/>
    <w:rsid w:val="13C96191"/>
    <w:rsid w:val="13DE7261"/>
    <w:rsid w:val="13E01970"/>
    <w:rsid w:val="140B2433"/>
    <w:rsid w:val="140B71B6"/>
    <w:rsid w:val="14260C7D"/>
    <w:rsid w:val="1426479D"/>
    <w:rsid w:val="14353809"/>
    <w:rsid w:val="1452507C"/>
    <w:rsid w:val="1483722F"/>
    <w:rsid w:val="149848B0"/>
    <w:rsid w:val="14A92C0A"/>
    <w:rsid w:val="14B71B42"/>
    <w:rsid w:val="14D76B67"/>
    <w:rsid w:val="14E15F8A"/>
    <w:rsid w:val="150828F6"/>
    <w:rsid w:val="154264AB"/>
    <w:rsid w:val="155A0624"/>
    <w:rsid w:val="155F1623"/>
    <w:rsid w:val="158F1AB5"/>
    <w:rsid w:val="15A42E06"/>
    <w:rsid w:val="15AD65B2"/>
    <w:rsid w:val="15E86755"/>
    <w:rsid w:val="1609292A"/>
    <w:rsid w:val="16152873"/>
    <w:rsid w:val="16243CDE"/>
    <w:rsid w:val="16461B1E"/>
    <w:rsid w:val="16503DF2"/>
    <w:rsid w:val="165A1C0B"/>
    <w:rsid w:val="165A5FFB"/>
    <w:rsid w:val="166222ED"/>
    <w:rsid w:val="166C64F5"/>
    <w:rsid w:val="16786151"/>
    <w:rsid w:val="168359EF"/>
    <w:rsid w:val="169B5655"/>
    <w:rsid w:val="16B36CDA"/>
    <w:rsid w:val="16D95CB4"/>
    <w:rsid w:val="16DC634A"/>
    <w:rsid w:val="170D7ABA"/>
    <w:rsid w:val="17660527"/>
    <w:rsid w:val="17683A26"/>
    <w:rsid w:val="178562FC"/>
    <w:rsid w:val="17B71490"/>
    <w:rsid w:val="17E7611C"/>
    <w:rsid w:val="17F9182B"/>
    <w:rsid w:val="17FA3B21"/>
    <w:rsid w:val="180B6214"/>
    <w:rsid w:val="184A4295"/>
    <w:rsid w:val="185227DB"/>
    <w:rsid w:val="185403FA"/>
    <w:rsid w:val="1869227F"/>
    <w:rsid w:val="18943808"/>
    <w:rsid w:val="189B27AA"/>
    <w:rsid w:val="18A81D4B"/>
    <w:rsid w:val="18D51AF6"/>
    <w:rsid w:val="18DB3B16"/>
    <w:rsid w:val="18DB4F50"/>
    <w:rsid w:val="18E33D24"/>
    <w:rsid w:val="18F34166"/>
    <w:rsid w:val="18FB69F3"/>
    <w:rsid w:val="190963D4"/>
    <w:rsid w:val="193A4C82"/>
    <w:rsid w:val="193D2537"/>
    <w:rsid w:val="195800D5"/>
    <w:rsid w:val="196362E1"/>
    <w:rsid w:val="19A4717E"/>
    <w:rsid w:val="19AF706A"/>
    <w:rsid w:val="19C663D0"/>
    <w:rsid w:val="19CB6567"/>
    <w:rsid w:val="19E356DE"/>
    <w:rsid w:val="19EE3D01"/>
    <w:rsid w:val="1A0D3C22"/>
    <w:rsid w:val="1A225ECB"/>
    <w:rsid w:val="1A3361D3"/>
    <w:rsid w:val="1A541CCB"/>
    <w:rsid w:val="1A640A46"/>
    <w:rsid w:val="1A6866AD"/>
    <w:rsid w:val="1A7136B5"/>
    <w:rsid w:val="1A9B3481"/>
    <w:rsid w:val="1AC164A4"/>
    <w:rsid w:val="1AC84C5A"/>
    <w:rsid w:val="1ADF3133"/>
    <w:rsid w:val="1AE506FF"/>
    <w:rsid w:val="1B121FEF"/>
    <w:rsid w:val="1B21650A"/>
    <w:rsid w:val="1B25216A"/>
    <w:rsid w:val="1B260041"/>
    <w:rsid w:val="1B2806D2"/>
    <w:rsid w:val="1B4C662B"/>
    <w:rsid w:val="1B511ACA"/>
    <w:rsid w:val="1B5724D8"/>
    <w:rsid w:val="1B6F5950"/>
    <w:rsid w:val="1B814C32"/>
    <w:rsid w:val="1BA03FEA"/>
    <w:rsid w:val="1BA244B2"/>
    <w:rsid w:val="1BA45BB7"/>
    <w:rsid w:val="1BA60254"/>
    <w:rsid w:val="1BC11140"/>
    <w:rsid w:val="1BFC70FD"/>
    <w:rsid w:val="1BFE4EB8"/>
    <w:rsid w:val="1C14570C"/>
    <w:rsid w:val="1C193493"/>
    <w:rsid w:val="1C3E621B"/>
    <w:rsid w:val="1C495D83"/>
    <w:rsid w:val="1C642C96"/>
    <w:rsid w:val="1C6C4853"/>
    <w:rsid w:val="1C770263"/>
    <w:rsid w:val="1CA771AB"/>
    <w:rsid w:val="1CCB65F8"/>
    <w:rsid w:val="1CD55B72"/>
    <w:rsid w:val="1CE0790F"/>
    <w:rsid w:val="1CE13D57"/>
    <w:rsid w:val="1CFC25CA"/>
    <w:rsid w:val="1D0553CC"/>
    <w:rsid w:val="1D096ADF"/>
    <w:rsid w:val="1D13175D"/>
    <w:rsid w:val="1D2F0969"/>
    <w:rsid w:val="1D337803"/>
    <w:rsid w:val="1D365D5C"/>
    <w:rsid w:val="1D4E66A5"/>
    <w:rsid w:val="1D5B696C"/>
    <w:rsid w:val="1D6C37C7"/>
    <w:rsid w:val="1D6C3D55"/>
    <w:rsid w:val="1DB25134"/>
    <w:rsid w:val="1DD133B4"/>
    <w:rsid w:val="1DDB0CC3"/>
    <w:rsid w:val="1DE3648A"/>
    <w:rsid w:val="1DF63793"/>
    <w:rsid w:val="1DFD2E3E"/>
    <w:rsid w:val="1E08381E"/>
    <w:rsid w:val="1E1155B4"/>
    <w:rsid w:val="1E155D3B"/>
    <w:rsid w:val="1E2A78A6"/>
    <w:rsid w:val="1E6A5B03"/>
    <w:rsid w:val="1E7F3D4B"/>
    <w:rsid w:val="1E822E5F"/>
    <w:rsid w:val="1E9A3D09"/>
    <w:rsid w:val="1EB15D77"/>
    <w:rsid w:val="1EC63F7D"/>
    <w:rsid w:val="1EE10DFE"/>
    <w:rsid w:val="1EF17F8B"/>
    <w:rsid w:val="1F0E13DC"/>
    <w:rsid w:val="1F172717"/>
    <w:rsid w:val="1F2538A5"/>
    <w:rsid w:val="1F2D5E12"/>
    <w:rsid w:val="1F2F593D"/>
    <w:rsid w:val="1F3D361C"/>
    <w:rsid w:val="1F710FF3"/>
    <w:rsid w:val="1F926153"/>
    <w:rsid w:val="1FA22021"/>
    <w:rsid w:val="1FB658B7"/>
    <w:rsid w:val="1FC420BA"/>
    <w:rsid w:val="1FE02D15"/>
    <w:rsid w:val="1FFD7065"/>
    <w:rsid w:val="205466C3"/>
    <w:rsid w:val="20901C8F"/>
    <w:rsid w:val="20903912"/>
    <w:rsid w:val="20905E61"/>
    <w:rsid w:val="209B2873"/>
    <w:rsid w:val="20B460B1"/>
    <w:rsid w:val="20D97A0B"/>
    <w:rsid w:val="20DC6D5F"/>
    <w:rsid w:val="20E878F7"/>
    <w:rsid w:val="20F81ADE"/>
    <w:rsid w:val="210016CE"/>
    <w:rsid w:val="21153D8B"/>
    <w:rsid w:val="213928C0"/>
    <w:rsid w:val="214B255B"/>
    <w:rsid w:val="214F332E"/>
    <w:rsid w:val="21636D6A"/>
    <w:rsid w:val="216851A5"/>
    <w:rsid w:val="21A519E5"/>
    <w:rsid w:val="21BF0821"/>
    <w:rsid w:val="21DD4E37"/>
    <w:rsid w:val="21E618E7"/>
    <w:rsid w:val="21E8160A"/>
    <w:rsid w:val="21EA6167"/>
    <w:rsid w:val="21F1244F"/>
    <w:rsid w:val="21F57145"/>
    <w:rsid w:val="21F843FA"/>
    <w:rsid w:val="22042B04"/>
    <w:rsid w:val="220A1120"/>
    <w:rsid w:val="221E52D2"/>
    <w:rsid w:val="2240407E"/>
    <w:rsid w:val="224662A2"/>
    <w:rsid w:val="22590E76"/>
    <w:rsid w:val="226E0548"/>
    <w:rsid w:val="226F5C06"/>
    <w:rsid w:val="22985A1C"/>
    <w:rsid w:val="22D57CDC"/>
    <w:rsid w:val="22FE00A9"/>
    <w:rsid w:val="230C1EE7"/>
    <w:rsid w:val="233E3B7D"/>
    <w:rsid w:val="23534C2C"/>
    <w:rsid w:val="235C0EFE"/>
    <w:rsid w:val="2375153D"/>
    <w:rsid w:val="238520AC"/>
    <w:rsid w:val="238E7552"/>
    <w:rsid w:val="23A013A6"/>
    <w:rsid w:val="23A9749E"/>
    <w:rsid w:val="23E926EB"/>
    <w:rsid w:val="23EA0380"/>
    <w:rsid w:val="244703EC"/>
    <w:rsid w:val="246973C3"/>
    <w:rsid w:val="24AF0382"/>
    <w:rsid w:val="24B80B44"/>
    <w:rsid w:val="24DB35B7"/>
    <w:rsid w:val="25046319"/>
    <w:rsid w:val="25127857"/>
    <w:rsid w:val="251F2323"/>
    <w:rsid w:val="25257C92"/>
    <w:rsid w:val="252A4671"/>
    <w:rsid w:val="252C466D"/>
    <w:rsid w:val="25390F70"/>
    <w:rsid w:val="253D0E80"/>
    <w:rsid w:val="25926160"/>
    <w:rsid w:val="25B16DCD"/>
    <w:rsid w:val="25B40302"/>
    <w:rsid w:val="25C11E30"/>
    <w:rsid w:val="25C2504D"/>
    <w:rsid w:val="25DB58C3"/>
    <w:rsid w:val="25ED275C"/>
    <w:rsid w:val="25F41C21"/>
    <w:rsid w:val="26017F21"/>
    <w:rsid w:val="260453B7"/>
    <w:rsid w:val="26275B23"/>
    <w:rsid w:val="263F6B79"/>
    <w:rsid w:val="265047CE"/>
    <w:rsid w:val="26545B63"/>
    <w:rsid w:val="267A5671"/>
    <w:rsid w:val="267D1341"/>
    <w:rsid w:val="26C36745"/>
    <w:rsid w:val="270F6292"/>
    <w:rsid w:val="2715635F"/>
    <w:rsid w:val="271F35E5"/>
    <w:rsid w:val="27447A90"/>
    <w:rsid w:val="274576E9"/>
    <w:rsid w:val="27536188"/>
    <w:rsid w:val="27644D61"/>
    <w:rsid w:val="27647A20"/>
    <w:rsid w:val="27663D7A"/>
    <w:rsid w:val="277510D2"/>
    <w:rsid w:val="2782128E"/>
    <w:rsid w:val="27A40927"/>
    <w:rsid w:val="27AD5A90"/>
    <w:rsid w:val="27B62F6D"/>
    <w:rsid w:val="27BF37EA"/>
    <w:rsid w:val="27F468B2"/>
    <w:rsid w:val="281F0DE0"/>
    <w:rsid w:val="286B0CE4"/>
    <w:rsid w:val="288710D5"/>
    <w:rsid w:val="28A265AB"/>
    <w:rsid w:val="28A35D79"/>
    <w:rsid w:val="28AD5528"/>
    <w:rsid w:val="28B026A2"/>
    <w:rsid w:val="28B87EAB"/>
    <w:rsid w:val="28BF5936"/>
    <w:rsid w:val="28CD5BB6"/>
    <w:rsid w:val="28DD548E"/>
    <w:rsid w:val="28E215BD"/>
    <w:rsid w:val="290F1542"/>
    <w:rsid w:val="29186729"/>
    <w:rsid w:val="291C047D"/>
    <w:rsid w:val="29222BC2"/>
    <w:rsid w:val="292926D0"/>
    <w:rsid w:val="296A1ED0"/>
    <w:rsid w:val="2996163A"/>
    <w:rsid w:val="299D1EF1"/>
    <w:rsid w:val="29A17665"/>
    <w:rsid w:val="29A33547"/>
    <w:rsid w:val="29B201DE"/>
    <w:rsid w:val="29C5766D"/>
    <w:rsid w:val="2A162B57"/>
    <w:rsid w:val="2A2D7CD0"/>
    <w:rsid w:val="2A3550A5"/>
    <w:rsid w:val="2A363C66"/>
    <w:rsid w:val="2A427BE5"/>
    <w:rsid w:val="2A46077B"/>
    <w:rsid w:val="2A6B411C"/>
    <w:rsid w:val="2A7F249B"/>
    <w:rsid w:val="2A932A3D"/>
    <w:rsid w:val="2AB017B5"/>
    <w:rsid w:val="2AC3366F"/>
    <w:rsid w:val="2AC60839"/>
    <w:rsid w:val="2ACB637B"/>
    <w:rsid w:val="2ADD640F"/>
    <w:rsid w:val="2AED3140"/>
    <w:rsid w:val="2B046E7E"/>
    <w:rsid w:val="2B065180"/>
    <w:rsid w:val="2B116689"/>
    <w:rsid w:val="2B237364"/>
    <w:rsid w:val="2B541349"/>
    <w:rsid w:val="2B5F7C8B"/>
    <w:rsid w:val="2B666AE3"/>
    <w:rsid w:val="2B6A0D3F"/>
    <w:rsid w:val="2B7D5F69"/>
    <w:rsid w:val="2BCB0355"/>
    <w:rsid w:val="2BCF5557"/>
    <w:rsid w:val="2BDB6D78"/>
    <w:rsid w:val="2BEF43EB"/>
    <w:rsid w:val="2C066459"/>
    <w:rsid w:val="2C295CFB"/>
    <w:rsid w:val="2C2E77C2"/>
    <w:rsid w:val="2C3A256B"/>
    <w:rsid w:val="2C51724B"/>
    <w:rsid w:val="2C594907"/>
    <w:rsid w:val="2C631E27"/>
    <w:rsid w:val="2C637735"/>
    <w:rsid w:val="2C7B0F79"/>
    <w:rsid w:val="2C7B19B4"/>
    <w:rsid w:val="2CA14401"/>
    <w:rsid w:val="2CF741DA"/>
    <w:rsid w:val="2D0370D5"/>
    <w:rsid w:val="2D190977"/>
    <w:rsid w:val="2D210160"/>
    <w:rsid w:val="2D285414"/>
    <w:rsid w:val="2D387F73"/>
    <w:rsid w:val="2D474226"/>
    <w:rsid w:val="2D566512"/>
    <w:rsid w:val="2D5D67DD"/>
    <w:rsid w:val="2D6A7357"/>
    <w:rsid w:val="2DB02375"/>
    <w:rsid w:val="2DBF449F"/>
    <w:rsid w:val="2DD74481"/>
    <w:rsid w:val="2E1A33DB"/>
    <w:rsid w:val="2E6A0263"/>
    <w:rsid w:val="2E77250A"/>
    <w:rsid w:val="2E772A68"/>
    <w:rsid w:val="2E9D3080"/>
    <w:rsid w:val="2EA108F0"/>
    <w:rsid w:val="2EAD75DC"/>
    <w:rsid w:val="2EB7492E"/>
    <w:rsid w:val="2ED73EE3"/>
    <w:rsid w:val="2EDB5A4F"/>
    <w:rsid w:val="2F17756B"/>
    <w:rsid w:val="2F5F3122"/>
    <w:rsid w:val="2F96283C"/>
    <w:rsid w:val="2F9C7210"/>
    <w:rsid w:val="2FA77605"/>
    <w:rsid w:val="2FAC7E53"/>
    <w:rsid w:val="2FDB51DD"/>
    <w:rsid w:val="2FE40D97"/>
    <w:rsid w:val="2FF3225F"/>
    <w:rsid w:val="301813CE"/>
    <w:rsid w:val="303567CA"/>
    <w:rsid w:val="303B4167"/>
    <w:rsid w:val="30496EED"/>
    <w:rsid w:val="305C5815"/>
    <w:rsid w:val="305F7BA3"/>
    <w:rsid w:val="30654D79"/>
    <w:rsid w:val="30815A0B"/>
    <w:rsid w:val="30903D96"/>
    <w:rsid w:val="30C3309C"/>
    <w:rsid w:val="30C578B1"/>
    <w:rsid w:val="30D44A9E"/>
    <w:rsid w:val="30D86FFF"/>
    <w:rsid w:val="30DB0A29"/>
    <w:rsid w:val="30E143BD"/>
    <w:rsid w:val="30F638B8"/>
    <w:rsid w:val="31012877"/>
    <w:rsid w:val="310C5A7B"/>
    <w:rsid w:val="311D1FE4"/>
    <w:rsid w:val="313878FB"/>
    <w:rsid w:val="31390DD0"/>
    <w:rsid w:val="31573DAA"/>
    <w:rsid w:val="315C10FF"/>
    <w:rsid w:val="315F220E"/>
    <w:rsid w:val="31666A99"/>
    <w:rsid w:val="316C70BB"/>
    <w:rsid w:val="31744EDA"/>
    <w:rsid w:val="31AC120D"/>
    <w:rsid w:val="31B23B94"/>
    <w:rsid w:val="31C935C8"/>
    <w:rsid w:val="31D67C0A"/>
    <w:rsid w:val="31DF7971"/>
    <w:rsid w:val="31FD5206"/>
    <w:rsid w:val="31FE2346"/>
    <w:rsid w:val="3200380A"/>
    <w:rsid w:val="320C6782"/>
    <w:rsid w:val="322610D5"/>
    <w:rsid w:val="32492727"/>
    <w:rsid w:val="328203AE"/>
    <w:rsid w:val="32916510"/>
    <w:rsid w:val="329557E8"/>
    <w:rsid w:val="32996255"/>
    <w:rsid w:val="32A57F59"/>
    <w:rsid w:val="32C02899"/>
    <w:rsid w:val="33041397"/>
    <w:rsid w:val="330C52F6"/>
    <w:rsid w:val="331C0BBD"/>
    <w:rsid w:val="333E017F"/>
    <w:rsid w:val="3346707E"/>
    <w:rsid w:val="33BF075D"/>
    <w:rsid w:val="33CF7197"/>
    <w:rsid w:val="33D35F6A"/>
    <w:rsid w:val="33D85F01"/>
    <w:rsid w:val="33EF0AA3"/>
    <w:rsid w:val="343E38A8"/>
    <w:rsid w:val="343E65DB"/>
    <w:rsid w:val="344015AC"/>
    <w:rsid w:val="345648D2"/>
    <w:rsid w:val="34623F01"/>
    <w:rsid w:val="346C02E5"/>
    <w:rsid w:val="34763ED1"/>
    <w:rsid w:val="348B046D"/>
    <w:rsid w:val="34B31FE2"/>
    <w:rsid w:val="34B75F46"/>
    <w:rsid w:val="35013603"/>
    <w:rsid w:val="35076CB5"/>
    <w:rsid w:val="351175E4"/>
    <w:rsid w:val="35126FCB"/>
    <w:rsid w:val="35236B62"/>
    <w:rsid w:val="35337A79"/>
    <w:rsid w:val="35562633"/>
    <w:rsid w:val="35615A95"/>
    <w:rsid w:val="356947A8"/>
    <w:rsid w:val="35CA5B24"/>
    <w:rsid w:val="35CB2D59"/>
    <w:rsid w:val="35DB6BF8"/>
    <w:rsid w:val="35E9237F"/>
    <w:rsid w:val="35FA1969"/>
    <w:rsid w:val="362430F3"/>
    <w:rsid w:val="366B6BDE"/>
    <w:rsid w:val="366E6082"/>
    <w:rsid w:val="36865486"/>
    <w:rsid w:val="368F6216"/>
    <w:rsid w:val="369B0972"/>
    <w:rsid w:val="36D07857"/>
    <w:rsid w:val="36DB421B"/>
    <w:rsid w:val="36E646E5"/>
    <w:rsid w:val="370B3862"/>
    <w:rsid w:val="372D6D68"/>
    <w:rsid w:val="37532EE1"/>
    <w:rsid w:val="37905390"/>
    <w:rsid w:val="379149A6"/>
    <w:rsid w:val="379400C9"/>
    <w:rsid w:val="37A65BFE"/>
    <w:rsid w:val="37B2467F"/>
    <w:rsid w:val="37BF0703"/>
    <w:rsid w:val="37C76A43"/>
    <w:rsid w:val="37C930C1"/>
    <w:rsid w:val="37CE5141"/>
    <w:rsid w:val="37F05CAA"/>
    <w:rsid w:val="380B34B5"/>
    <w:rsid w:val="380D45E3"/>
    <w:rsid w:val="381E54CA"/>
    <w:rsid w:val="38382DEB"/>
    <w:rsid w:val="385F2B22"/>
    <w:rsid w:val="386236ED"/>
    <w:rsid w:val="386E18D5"/>
    <w:rsid w:val="387520BD"/>
    <w:rsid w:val="387530D3"/>
    <w:rsid w:val="38834EEF"/>
    <w:rsid w:val="38C73BDE"/>
    <w:rsid w:val="38F63722"/>
    <w:rsid w:val="38F861D2"/>
    <w:rsid w:val="39017729"/>
    <w:rsid w:val="39151301"/>
    <w:rsid w:val="391C368D"/>
    <w:rsid w:val="39205F13"/>
    <w:rsid w:val="392955C6"/>
    <w:rsid w:val="399813D4"/>
    <w:rsid w:val="399D384C"/>
    <w:rsid w:val="39BD27E3"/>
    <w:rsid w:val="3A0E0F19"/>
    <w:rsid w:val="3A1846BD"/>
    <w:rsid w:val="3A41523A"/>
    <w:rsid w:val="3A44516C"/>
    <w:rsid w:val="3A5E4799"/>
    <w:rsid w:val="3A655DC2"/>
    <w:rsid w:val="3A6E4C12"/>
    <w:rsid w:val="3A7C1860"/>
    <w:rsid w:val="3A8E6304"/>
    <w:rsid w:val="3A9604A6"/>
    <w:rsid w:val="3AA6551A"/>
    <w:rsid w:val="3ACB17E5"/>
    <w:rsid w:val="3AF04DCE"/>
    <w:rsid w:val="3AF6184C"/>
    <w:rsid w:val="3AF847BC"/>
    <w:rsid w:val="3B044D0B"/>
    <w:rsid w:val="3B0F7748"/>
    <w:rsid w:val="3B170484"/>
    <w:rsid w:val="3B1C627C"/>
    <w:rsid w:val="3B62171B"/>
    <w:rsid w:val="3B727F66"/>
    <w:rsid w:val="3B8B25AE"/>
    <w:rsid w:val="3BA1534B"/>
    <w:rsid w:val="3BA640B7"/>
    <w:rsid w:val="3BA8700F"/>
    <w:rsid w:val="3BBB0533"/>
    <w:rsid w:val="3BE67FEE"/>
    <w:rsid w:val="3BE93526"/>
    <w:rsid w:val="3BEA561C"/>
    <w:rsid w:val="3BFF0E61"/>
    <w:rsid w:val="3C000802"/>
    <w:rsid w:val="3C3300A4"/>
    <w:rsid w:val="3C756254"/>
    <w:rsid w:val="3C8B3DE3"/>
    <w:rsid w:val="3CA74228"/>
    <w:rsid w:val="3CC1671D"/>
    <w:rsid w:val="3CC87A0D"/>
    <w:rsid w:val="3CE17CB6"/>
    <w:rsid w:val="3D0349C6"/>
    <w:rsid w:val="3D1714DA"/>
    <w:rsid w:val="3D212248"/>
    <w:rsid w:val="3D372096"/>
    <w:rsid w:val="3D5841F1"/>
    <w:rsid w:val="3D717C2A"/>
    <w:rsid w:val="3D8923A3"/>
    <w:rsid w:val="3D9448DC"/>
    <w:rsid w:val="3DA321B0"/>
    <w:rsid w:val="3DB523F8"/>
    <w:rsid w:val="3DB66BB1"/>
    <w:rsid w:val="3DBE72DF"/>
    <w:rsid w:val="3DC336EE"/>
    <w:rsid w:val="3E3661CD"/>
    <w:rsid w:val="3E4F3396"/>
    <w:rsid w:val="3E5C7D8B"/>
    <w:rsid w:val="3E6C508C"/>
    <w:rsid w:val="3E717A22"/>
    <w:rsid w:val="3E887144"/>
    <w:rsid w:val="3E8B104C"/>
    <w:rsid w:val="3E8B3BA0"/>
    <w:rsid w:val="3EBB288F"/>
    <w:rsid w:val="3EC17254"/>
    <w:rsid w:val="3EE77605"/>
    <w:rsid w:val="3F512122"/>
    <w:rsid w:val="3F576C70"/>
    <w:rsid w:val="3F6058E1"/>
    <w:rsid w:val="3F7E2689"/>
    <w:rsid w:val="3F92179B"/>
    <w:rsid w:val="3FA71136"/>
    <w:rsid w:val="3FA8072D"/>
    <w:rsid w:val="3FC649B1"/>
    <w:rsid w:val="3FE575BF"/>
    <w:rsid w:val="400213BE"/>
    <w:rsid w:val="403401E5"/>
    <w:rsid w:val="403865FA"/>
    <w:rsid w:val="403F6649"/>
    <w:rsid w:val="406E4B8F"/>
    <w:rsid w:val="40926D4A"/>
    <w:rsid w:val="409C44B3"/>
    <w:rsid w:val="409F491B"/>
    <w:rsid w:val="40B05AB3"/>
    <w:rsid w:val="40BC236E"/>
    <w:rsid w:val="40C52FFD"/>
    <w:rsid w:val="40D00B1A"/>
    <w:rsid w:val="40D806A4"/>
    <w:rsid w:val="411F29E6"/>
    <w:rsid w:val="412125DF"/>
    <w:rsid w:val="413807BC"/>
    <w:rsid w:val="413F7796"/>
    <w:rsid w:val="41442A77"/>
    <w:rsid w:val="414A4D7F"/>
    <w:rsid w:val="415831B5"/>
    <w:rsid w:val="415B3292"/>
    <w:rsid w:val="415B69EC"/>
    <w:rsid w:val="416942FB"/>
    <w:rsid w:val="418B5EF8"/>
    <w:rsid w:val="419E19E4"/>
    <w:rsid w:val="41A62693"/>
    <w:rsid w:val="41A977CB"/>
    <w:rsid w:val="41CD246C"/>
    <w:rsid w:val="41DD5841"/>
    <w:rsid w:val="41E147D4"/>
    <w:rsid w:val="41EF5426"/>
    <w:rsid w:val="41F31DD3"/>
    <w:rsid w:val="420A0F00"/>
    <w:rsid w:val="425D13EF"/>
    <w:rsid w:val="42791584"/>
    <w:rsid w:val="42975726"/>
    <w:rsid w:val="429C1555"/>
    <w:rsid w:val="429D0874"/>
    <w:rsid w:val="43116AC4"/>
    <w:rsid w:val="431940C6"/>
    <w:rsid w:val="431D53B0"/>
    <w:rsid w:val="43215B8A"/>
    <w:rsid w:val="43325B0B"/>
    <w:rsid w:val="4337150C"/>
    <w:rsid w:val="434A03C5"/>
    <w:rsid w:val="43587A99"/>
    <w:rsid w:val="435E64A7"/>
    <w:rsid w:val="4362736B"/>
    <w:rsid w:val="436E49D5"/>
    <w:rsid w:val="43A637FF"/>
    <w:rsid w:val="43CD4E9D"/>
    <w:rsid w:val="43E51DCB"/>
    <w:rsid w:val="441625EB"/>
    <w:rsid w:val="441768FB"/>
    <w:rsid w:val="44215E74"/>
    <w:rsid w:val="44323AFC"/>
    <w:rsid w:val="444149AF"/>
    <w:rsid w:val="444902EE"/>
    <w:rsid w:val="44906356"/>
    <w:rsid w:val="44A733C1"/>
    <w:rsid w:val="44C178CC"/>
    <w:rsid w:val="44D325EE"/>
    <w:rsid w:val="44DB719C"/>
    <w:rsid w:val="44E374C6"/>
    <w:rsid w:val="452B3EDD"/>
    <w:rsid w:val="453408A0"/>
    <w:rsid w:val="45357186"/>
    <w:rsid w:val="45667D4A"/>
    <w:rsid w:val="45784C46"/>
    <w:rsid w:val="459311B0"/>
    <w:rsid w:val="45AB272F"/>
    <w:rsid w:val="45B521BB"/>
    <w:rsid w:val="45CB2C5F"/>
    <w:rsid w:val="45ED1366"/>
    <w:rsid w:val="45F24AC4"/>
    <w:rsid w:val="45F3122A"/>
    <w:rsid w:val="45F95D37"/>
    <w:rsid w:val="460B3ABC"/>
    <w:rsid w:val="46114204"/>
    <w:rsid w:val="462E3C43"/>
    <w:rsid w:val="4661304E"/>
    <w:rsid w:val="467C723F"/>
    <w:rsid w:val="467D6865"/>
    <w:rsid w:val="46812322"/>
    <w:rsid w:val="468B6944"/>
    <w:rsid w:val="46A32FF7"/>
    <w:rsid w:val="46D91D20"/>
    <w:rsid w:val="46F7101E"/>
    <w:rsid w:val="471855A8"/>
    <w:rsid w:val="472173A2"/>
    <w:rsid w:val="472C1A7A"/>
    <w:rsid w:val="473360F5"/>
    <w:rsid w:val="47526B15"/>
    <w:rsid w:val="4768647F"/>
    <w:rsid w:val="476B2B1D"/>
    <w:rsid w:val="47833EDC"/>
    <w:rsid w:val="47A922C2"/>
    <w:rsid w:val="47B578BB"/>
    <w:rsid w:val="47BF0955"/>
    <w:rsid w:val="47C13CB1"/>
    <w:rsid w:val="47CF6B00"/>
    <w:rsid w:val="483B2271"/>
    <w:rsid w:val="4846711C"/>
    <w:rsid w:val="484960C0"/>
    <w:rsid w:val="484B5A0B"/>
    <w:rsid w:val="48520771"/>
    <w:rsid w:val="4882481C"/>
    <w:rsid w:val="488F179E"/>
    <w:rsid w:val="48A55C12"/>
    <w:rsid w:val="48C162EF"/>
    <w:rsid w:val="48C51107"/>
    <w:rsid w:val="48C7795B"/>
    <w:rsid w:val="48D24022"/>
    <w:rsid w:val="491B44BA"/>
    <w:rsid w:val="4928327A"/>
    <w:rsid w:val="495B1DD1"/>
    <w:rsid w:val="49714015"/>
    <w:rsid w:val="49874B01"/>
    <w:rsid w:val="498C4F33"/>
    <w:rsid w:val="498F4E78"/>
    <w:rsid w:val="49A87D03"/>
    <w:rsid w:val="49BE71EB"/>
    <w:rsid w:val="49EA7D08"/>
    <w:rsid w:val="4A01620B"/>
    <w:rsid w:val="4A027786"/>
    <w:rsid w:val="4A104AD2"/>
    <w:rsid w:val="4A18105C"/>
    <w:rsid w:val="4A272700"/>
    <w:rsid w:val="4A277285"/>
    <w:rsid w:val="4A39709D"/>
    <w:rsid w:val="4A452817"/>
    <w:rsid w:val="4A4E4713"/>
    <w:rsid w:val="4A685F0F"/>
    <w:rsid w:val="4A695313"/>
    <w:rsid w:val="4A887873"/>
    <w:rsid w:val="4A92236A"/>
    <w:rsid w:val="4ADA4D15"/>
    <w:rsid w:val="4AF83723"/>
    <w:rsid w:val="4B125B00"/>
    <w:rsid w:val="4B3224DB"/>
    <w:rsid w:val="4B3B339D"/>
    <w:rsid w:val="4B442933"/>
    <w:rsid w:val="4B44761E"/>
    <w:rsid w:val="4B67615E"/>
    <w:rsid w:val="4B712C36"/>
    <w:rsid w:val="4B8E68AB"/>
    <w:rsid w:val="4B904977"/>
    <w:rsid w:val="4B9804BD"/>
    <w:rsid w:val="4B9B33EE"/>
    <w:rsid w:val="4BA726EF"/>
    <w:rsid w:val="4BB91B98"/>
    <w:rsid w:val="4BBB4B34"/>
    <w:rsid w:val="4BDB3746"/>
    <w:rsid w:val="4BDD4513"/>
    <w:rsid w:val="4BF43B7A"/>
    <w:rsid w:val="4BF76B49"/>
    <w:rsid w:val="4BFB4260"/>
    <w:rsid w:val="4BFF1BAF"/>
    <w:rsid w:val="4C1A2634"/>
    <w:rsid w:val="4C2F08F9"/>
    <w:rsid w:val="4C6C4CD4"/>
    <w:rsid w:val="4C79084F"/>
    <w:rsid w:val="4C831D5D"/>
    <w:rsid w:val="4CAB51A4"/>
    <w:rsid w:val="4CCE0374"/>
    <w:rsid w:val="4CD3311B"/>
    <w:rsid w:val="4CD53FF8"/>
    <w:rsid w:val="4D1F6A56"/>
    <w:rsid w:val="4D291DD3"/>
    <w:rsid w:val="4D4409A7"/>
    <w:rsid w:val="4D6229E6"/>
    <w:rsid w:val="4D7F718C"/>
    <w:rsid w:val="4D8B6F00"/>
    <w:rsid w:val="4DAD4615"/>
    <w:rsid w:val="4DCE2D37"/>
    <w:rsid w:val="4DCE58E2"/>
    <w:rsid w:val="4E003E63"/>
    <w:rsid w:val="4E1A0EEF"/>
    <w:rsid w:val="4E221030"/>
    <w:rsid w:val="4E4913A1"/>
    <w:rsid w:val="4E583A46"/>
    <w:rsid w:val="4E6A44A2"/>
    <w:rsid w:val="4EC82CA1"/>
    <w:rsid w:val="4EF42613"/>
    <w:rsid w:val="4F0A0D07"/>
    <w:rsid w:val="4F224848"/>
    <w:rsid w:val="4F3A43C9"/>
    <w:rsid w:val="4F44147B"/>
    <w:rsid w:val="4F4A46AA"/>
    <w:rsid w:val="4F57764C"/>
    <w:rsid w:val="4F586969"/>
    <w:rsid w:val="4F6C2223"/>
    <w:rsid w:val="4F7B1088"/>
    <w:rsid w:val="4F822FE3"/>
    <w:rsid w:val="4FA65B5A"/>
    <w:rsid w:val="4FC90B5F"/>
    <w:rsid w:val="4FCE4AFF"/>
    <w:rsid w:val="4FE74538"/>
    <w:rsid w:val="4FEE2F4B"/>
    <w:rsid w:val="50025D48"/>
    <w:rsid w:val="500A69EB"/>
    <w:rsid w:val="500F388E"/>
    <w:rsid w:val="501268A8"/>
    <w:rsid w:val="50194594"/>
    <w:rsid w:val="502660E7"/>
    <w:rsid w:val="50397256"/>
    <w:rsid w:val="5045094F"/>
    <w:rsid w:val="506F535A"/>
    <w:rsid w:val="50911B7F"/>
    <w:rsid w:val="51093C64"/>
    <w:rsid w:val="51247341"/>
    <w:rsid w:val="514453FF"/>
    <w:rsid w:val="5146048E"/>
    <w:rsid w:val="516D30AA"/>
    <w:rsid w:val="518056E3"/>
    <w:rsid w:val="518E4555"/>
    <w:rsid w:val="51BE5D72"/>
    <w:rsid w:val="51DB0936"/>
    <w:rsid w:val="51DD1542"/>
    <w:rsid w:val="51F97557"/>
    <w:rsid w:val="520042C6"/>
    <w:rsid w:val="521F5A0D"/>
    <w:rsid w:val="52335E3F"/>
    <w:rsid w:val="524315BE"/>
    <w:rsid w:val="524911C9"/>
    <w:rsid w:val="524C6276"/>
    <w:rsid w:val="52500F82"/>
    <w:rsid w:val="52563790"/>
    <w:rsid w:val="5256742A"/>
    <w:rsid w:val="52651E61"/>
    <w:rsid w:val="526D1BE8"/>
    <w:rsid w:val="5272150F"/>
    <w:rsid w:val="527F59E1"/>
    <w:rsid w:val="528F7D1D"/>
    <w:rsid w:val="52A22570"/>
    <w:rsid w:val="52DD13BA"/>
    <w:rsid w:val="53016923"/>
    <w:rsid w:val="53026A7A"/>
    <w:rsid w:val="5360560F"/>
    <w:rsid w:val="5373278A"/>
    <w:rsid w:val="537E4D1A"/>
    <w:rsid w:val="538E4DEE"/>
    <w:rsid w:val="53AC371A"/>
    <w:rsid w:val="53C54BF8"/>
    <w:rsid w:val="53E419DE"/>
    <w:rsid w:val="53F52AD5"/>
    <w:rsid w:val="543C396C"/>
    <w:rsid w:val="548A01C5"/>
    <w:rsid w:val="549F004F"/>
    <w:rsid w:val="54AE2A06"/>
    <w:rsid w:val="54D33323"/>
    <w:rsid w:val="54D45EBC"/>
    <w:rsid w:val="54E963CA"/>
    <w:rsid w:val="550B3AD6"/>
    <w:rsid w:val="55174700"/>
    <w:rsid w:val="55214DE4"/>
    <w:rsid w:val="55240348"/>
    <w:rsid w:val="552F15A4"/>
    <w:rsid w:val="55753454"/>
    <w:rsid w:val="557C428B"/>
    <w:rsid w:val="55846E3E"/>
    <w:rsid w:val="559A1D8A"/>
    <w:rsid w:val="55A06C70"/>
    <w:rsid w:val="55A76744"/>
    <w:rsid w:val="55A816C7"/>
    <w:rsid w:val="55AE07B3"/>
    <w:rsid w:val="55BC0E91"/>
    <w:rsid w:val="55D13EE9"/>
    <w:rsid w:val="55E07A67"/>
    <w:rsid w:val="55F8497D"/>
    <w:rsid w:val="55F925AA"/>
    <w:rsid w:val="560F5EF0"/>
    <w:rsid w:val="56305610"/>
    <w:rsid w:val="56621C79"/>
    <w:rsid w:val="569E1570"/>
    <w:rsid w:val="56C54ABA"/>
    <w:rsid w:val="56DA24ED"/>
    <w:rsid w:val="56DC5969"/>
    <w:rsid w:val="56DF15E1"/>
    <w:rsid w:val="56EB451C"/>
    <w:rsid w:val="57214A23"/>
    <w:rsid w:val="57663387"/>
    <w:rsid w:val="576A4F06"/>
    <w:rsid w:val="57773F4F"/>
    <w:rsid w:val="577A1152"/>
    <w:rsid w:val="577A1C12"/>
    <w:rsid w:val="5782706D"/>
    <w:rsid w:val="579A2279"/>
    <w:rsid w:val="57A629AE"/>
    <w:rsid w:val="57B02652"/>
    <w:rsid w:val="57BB500C"/>
    <w:rsid w:val="57D65EB9"/>
    <w:rsid w:val="57F22C47"/>
    <w:rsid w:val="581E2A12"/>
    <w:rsid w:val="582A0E23"/>
    <w:rsid w:val="583E5A0E"/>
    <w:rsid w:val="5868729A"/>
    <w:rsid w:val="58910963"/>
    <w:rsid w:val="58AE757B"/>
    <w:rsid w:val="58BE3DFD"/>
    <w:rsid w:val="58DA2F19"/>
    <w:rsid w:val="58E77A85"/>
    <w:rsid w:val="58EE4CAF"/>
    <w:rsid w:val="58F918C1"/>
    <w:rsid w:val="58FF61E9"/>
    <w:rsid w:val="590077C8"/>
    <w:rsid w:val="591265BF"/>
    <w:rsid w:val="591424E2"/>
    <w:rsid w:val="59196BF6"/>
    <w:rsid w:val="592B02B1"/>
    <w:rsid w:val="59407EF0"/>
    <w:rsid w:val="59683EE3"/>
    <w:rsid w:val="597F0BEC"/>
    <w:rsid w:val="59B676CB"/>
    <w:rsid w:val="59CC126E"/>
    <w:rsid w:val="59D11514"/>
    <w:rsid w:val="5A1646E5"/>
    <w:rsid w:val="5A1A6963"/>
    <w:rsid w:val="5A411BD4"/>
    <w:rsid w:val="5A5D41E9"/>
    <w:rsid w:val="5A677ED6"/>
    <w:rsid w:val="5A732239"/>
    <w:rsid w:val="5A821681"/>
    <w:rsid w:val="5A8E7B35"/>
    <w:rsid w:val="5A993EEA"/>
    <w:rsid w:val="5A9C6E10"/>
    <w:rsid w:val="5AB911FF"/>
    <w:rsid w:val="5AC622E8"/>
    <w:rsid w:val="5AC62EBF"/>
    <w:rsid w:val="5AD35830"/>
    <w:rsid w:val="5AEE1A6D"/>
    <w:rsid w:val="5AF73D6B"/>
    <w:rsid w:val="5B055BAE"/>
    <w:rsid w:val="5B2C03DA"/>
    <w:rsid w:val="5B5605FD"/>
    <w:rsid w:val="5B6567D2"/>
    <w:rsid w:val="5B6C789C"/>
    <w:rsid w:val="5B8F12A6"/>
    <w:rsid w:val="5BC96179"/>
    <w:rsid w:val="5BD12C97"/>
    <w:rsid w:val="5BE105CA"/>
    <w:rsid w:val="5C0275E1"/>
    <w:rsid w:val="5C2415DD"/>
    <w:rsid w:val="5C2B1593"/>
    <w:rsid w:val="5C472AFA"/>
    <w:rsid w:val="5C487C50"/>
    <w:rsid w:val="5C5F210F"/>
    <w:rsid w:val="5C6240BC"/>
    <w:rsid w:val="5C6607E6"/>
    <w:rsid w:val="5C7F2770"/>
    <w:rsid w:val="5C803179"/>
    <w:rsid w:val="5C856A4C"/>
    <w:rsid w:val="5C907C4E"/>
    <w:rsid w:val="5CAE2DF0"/>
    <w:rsid w:val="5CDB6030"/>
    <w:rsid w:val="5CE466FA"/>
    <w:rsid w:val="5CEB67A5"/>
    <w:rsid w:val="5D25587D"/>
    <w:rsid w:val="5D465839"/>
    <w:rsid w:val="5D4D4DE6"/>
    <w:rsid w:val="5D4F739B"/>
    <w:rsid w:val="5D6C044D"/>
    <w:rsid w:val="5D6C365A"/>
    <w:rsid w:val="5D7A7081"/>
    <w:rsid w:val="5D947B86"/>
    <w:rsid w:val="5D986E26"/>
    <w:rsid w:val="5DFB4109"/>
    <w:rsid w:val="5E072881"/>
    <w:rsid w:val="5E072F41"/>
    <w:rsid w:val="5E1300E3"/>
    <w:rsid w:val="5E776F48"/>
    <w:rsid w:val="5EB96E0E"/>
    <w:rsid w:val="5EC82D57"/>
    <w:rsid w:val="5EE42AAB"/>
    <w:rsid w:val="5EFC02B4"/>
    <w:rsid w:val="5EFC74A8"/>
    <w:rsid w:val="5F2973D2"/>
    <w:rsid w:val="5F31287D"/>
    <w:rsid w:val="5F3F1D61"/>
    <w:rsid w:val="5F875D86"/>
    <w:rsid w:val="5FA7557A"/>
    <w:rsid w:val="5FB70683"/>
    <w:rsid w:val="5FBA6905"/>
    <w:rsid w:val="5FBC0037"/>
    <w:rsid w:val="5FC35DBD"/>
    <w:rsid w:val="602D7885"/>
    <w:rsid w:val="603735B8"/>
    <w:rsid w:val="607A2205"/>
    <w:rsid w:val="607F18E0"/>
    <w:rsid w:val="60D32084"/>
    <w:rsid w:val="60DC4873"/>
    <w:rsid w:val="60E540F5"/>
    <w:rsid w:val="610736C2"/>
    <w:rsid w:val="610A04F8"/>
    <w:rsid w:val="613F6609"/>
    <w:rsid w:val="61496AAF"/>
    <w:rsid w:val="61A21641"/>
    <w:rsid w:val="61BE0BC2"/>
    <w:rsid w:val="61E05EB0"/>
    <w:rsid w:val="61E36420"/>
    <w:rsid w:val="621561F9"/>
    <w:rsid w:val="622E2F9B"/>
    <w:rsid w:val="623624FA"/>
    <w:rsid w:val="623A0884"/>
    <w:rsid w:val="623E72B3"/>
    <w:rsid w:val="62483DF2"/>
    <w:rsid w:val="62564A3A"/>
    <w:rsid w:val="62A33EE9"/>
    <w:rsid w:val="62BD227B"/>
    <w:rsid w:val="62CE55C8"/>
    <w:rsid w:val="62E36482"/>
    <w:rsid w:val="62FD1242"/>
    <w:rsid w:val="62FE1680"/>
    <w:rsid w:val="63094380"/>
    <w:rsid w:val="63534091"/>
    <w:rsid w:val="63617F22"/>
    <w:rsid w:val="636D66CB"/>
    <w:rsid w:val="636F1294"/>
    <w:rsid w:val="63844012"/>
    <w:rsid w:val="63B470F9"/>
    <w:rsid w:val="63BD485B"/>
    <w:rsid w:val="63CF00D9"/>
    <w:rsid w:val="63D90E92"/>
    <w:rsid w:val="63E1768B"/>
    <w:rsid w:val="63E6496D"/>
    <w:rsid w:val="63F657E9"/>
    <w:rsid w:val="64216005"/>
    <w:rsid w:val="642C7188"/>
    <w:rsid w:val="643E578E"/>
    <w:rsid w:val="643E7979"/>
    <w:rsid w:val="64485CB2"/>
    <w:rsid w:val="645878C9"/>
    <w:rsid w:val="64685E56"/>
    <w:rsid w:val="646D6CBF"/>
    <w:rsid w:val="648A403D"/>
    <w:rsid w:val="649435EE"/>
    <w:rsid w:val="649B26CB"/>
    <w:rsid w:val="64C67E6C"/>
    <w:rsid w:val="64C838AA"/>
    <w:rsid w:val="64E43E93"/>
    <w:rsid w:val="64EF5519"/>
    <w:rsid w:val="64F13823"/>
    <w:rsid w:val="64FE5D6E"/>
    <w:rsid w:val="650F1A1F"/>
    <w:rsid w:val="656D1E06"/>
    <w:rsid w:val="657D67B9"/>
    <w:rsid w:val="65853CAD"/>
    <w:rsid w:val="65B3759D"/>
    <w:rsid w:val="65D209C8"/>
    <w:rsid w:val="65D57809"/>
    <w:rsid w:val="65EE3399"/>
    <w:rsid w:val="65FE30E8"/>
    <w:rsid w:val="66056729"/>
    <w:rsid w:val="66243DCB"/>
    <w:rsid w:val="662B5686"/>
    <w:rsid w:val="664F4246"/>
    <w:rsid w:val="66582105"/>
    <w:rsid w:val="6658774C"/>
    <w:rsid w:val="666D4CB9"/>
    <w:rsid w:val="66816E8A"/>
    <w:rsid w:val="66A67747"/>
    <w:rsid w:val="66C05CA6"/>
    <w:rsid w:val="66D01E0D"/>
    <w:rsid w:val="66E37830"/>
    <w:rsid w:val="67367DE5"/>
    <w:rsid w:val="6755366D"/>
    <w:rsid w:val="67584EF3"/>
    <w:rsid w:val="6799086E"/>
    <w:rsid w:val="67B53896"/>
    <w:rsid w:val="67B6754D"/>
    <w:rsid w:val="67CE0FFF"/>
    <w:rsid w:val="67D13447"/>
    <w:rsid w:val="67D846D2"/>
    <w:rsid w:val="67D87185"/>
    <w:rsid w:val="67EA20B4"/>
    <w:rsid w:val="68010289"/>
    <w:rsid w:val="680A1357"/>
    <w:rsid w:val="681E063E"/>
    <w:rsid w:val="681E36FF"/>
    <w:rsid w:val="68403D55"/>
    <w:rsid w:val="68433755"/>
    <w:rsid w:val="685364F5"/>
    <w:rsid w:val="685F67C7"/>
    <w:rsid w:val="68873600"/>
    <w:rsid w:val="68AC4755"/>
    <w:rsid w:val="68B001D6"/>
    <w:rsid w:val="68B6300D"/>
    <w:rsid w:val="68BB4DCE"/>
    <w:rsid w:val="68C734B3"/>
    <w:rsid w:val="68C8213D"/>
    <w:rsid w:val="68EC728C"/>
    <w:rsid w:val="68ED18A9"/>
    <w:rsid w:val="69023E0B"/>
    <w:rsid w:val="69054A5D"/>
    <w:rsid w:val="690D57CC"/>
    <w:rsid w:val="69121D50"/>
    <w:rsid w:val="692C55A5"/>
    <w:rsid w:val="69330C0E"/>
    <w:rsid w:val="693C23FF"/>
    <w:rsid w:val="694E5122"/>
    <w:rsid w:val="69BE78AF"/>
    <w:rsid w:val="69E231C6"/>
    <w:rsid w:val="69E636DC"/>
    <w:rsid w:val="69EC649B"/>
    <w:rsid w:val="69ED4E36"/>
    <w:rsid w:val="69F25C8E"/>
    <w:rsid w:val="6A065C96"/>
    <w:rsid w:val="6A095DDD"/>
    <w:rsid w:val="6A29137B"/>
    <w:rsid w:val="6A4D28B4"/>
    <w:rsid w:val="6A4E027A"/>
    <w:rsid w:val="6A5C0DBC"/>
    <w:rsid w:val="6A64160C"/>
    <w:rsid w:val="6AB21CE6"/>
    <w:rsid w:val="6AD46FE0"/>
    <w:rsid w:val="6ADB5BDA"/>
    <w:rsid w:val="6AE850F6"/>
    <w:rsid w:val="6AF74CAC"/>
    <w:rsid w:val="6AF87645"/>
    <w:rsid w:val="6B2638FB"/>
    <w:rsid w:val="6B276964"/>
    <w:rsid w:val="6B301A29"/>
    <w:rsid w:val="6B372817"/>
    <w:rsid w:val="6B462336"/>
    <w:rsid w:val="6B65413C"/>
    <w:rsid w:val="6B7C768B"/>
    <w:rsid w:val="6B964CCA"/>
    <w:rsid w:val="6B9D47D7"/>
    <w:rsid w:val="6BA539BE"/>
    <w:rsid w:val="6BAA4CB4"/>
    <w:rsid w:val="6BAE25FA"/>
    <w:rsid w:val="6BCE0835"/>
    <w:rsid w:val="6BD62549"/>
    <w:rsid w:val="6BEE0096"/>
    <w:rsid w:val="6BF90EF8"/>
    <w:rsid w:val="6C003244"/>
    <w:rsid w:val="6C032BC0"/>
    <w:rsid w:val="6C100D38"/>
    <w:rsid w:val="6C14266B"/>
    <w:rsid w:val="6C2B4B74"/>
    <w:rsid w:val="6C303B19"/>
    <w:rsid w:val="6C42154D"/>
    <w:rsid w:val="6C6B2BC9"/>
    <w:rsid w:val="6C8E7BDF"/>
    <w:rsid w:val="6C97544B"/>
    <w:rsid w:val="6CA07388"/>
    <w:rsid w:val="6CB125B7"/>
    <w:rsid w:val="6CB9549B"/>
    <w:rsid w:val="6CCA025C"/>
    <w:rsid w:val="6CCD759D"/>
    <w:rsid w:val="6CFF680B"/>
    <w:rsid w:val="6D193443"/>
    <w:rsid w:val="6D1E2596"/>
    <w:rsid w:val="6D387780"/>
    <w:rsid w:val="6D521684"/>
    <w:rsid w:val="6D6225E5"/>
    <w:rsid w:val="6D6A7834"/>
    <w:rsid w:val="6D771701"/>
    <w:rsid w:val="6D775875"/>
    <w:rsid w:val="6D7F2443"/>
    <w:rsid w:val="6D822353"/>
    <w:rsid w:val="6D83726A"/>
    <w:rsid w:val="6DC60E1A"/>
    <w:rsid w:val="6E0643BD"/>
    <w:rsid w:val="6E0E40D1"/>
    <w:rsid w:val="6E2A2EF1"/>
    <w:rsid w:val="6E4E3755"/>
    <w:rsid w:val="6E5D711B"/>
    <w:rsid w:val="6E6779D4"/>
    <w:rsid w:val="6E734F85"/>
    <w:rsid w:val="6E740197"/>
    <w:rsid w:val="6E774FA3"/>
    <w:rsid w:val="6E7D329D"/>
    <w:rsid w:val="6E9B7C5F"/>
    <w:rsid w:val="6EB04ED2"/>
    <w:rsid w:val="6EC3647F"/>
    <w:rsid w:val="6EFE308A"/>
    <w:rsid w:val="6F110521"/>
    <w:rsid w:val="6F38450B"/>
    <w:rsid w:val="6F3E2A33"/>
    <w:rsid w:val="6F3F09D9"/>
    <w:rsid w:val="6F84763D"/>
    <w:rsid w:val="6F951DEA"/>
    <w:rsid w:val="6F9F7969"/>
    <w:rsid w:val="6FB57A59"/>
    <w:rsid w:val="6FBD7FA7"/>
    <w:rsid w:val="6FCB2179"/>
    <w:rsid w:val="70022959"/>
    <w:rsid w:val="702A6190"/>
    <w:rsid w:val="70424559"/>
    <w:rsid w:val="70683CB9"/>
    <w:rsid w:val="70875DDC"/>
    <w:rsid w:val="70AA5EFE"/>
    <w:rsid w:val="70B054D2"/>
    <w:rsid w:val="70CC5EDC"/>
    <w:rsid w:val="70EC4FE7"/>
    <w:rsid w:val="70EF63E4"/>
    <w:rsid w:val="70F63578"/>
    <w:rsid w:val="70F803D5"/>
    <w:rsid w:val="71116951"/>
    <w:rsid w:val="711F6499"/>
    <w:rsid w:val="712A1D42"/>
    <w:rsid w:val="716974F4"/>
    <w:rsid w:val="7176433C"/>
    <w:rsid w:val="71C0148F"/>
    <w:rsid w:val="71C02B8B"/>
    <w:rsid w:val="71F96076"/>
    <w:rsid w:val="721071A4"/>
    <w:rsid w:val="721B08C0"/>
    <w:rsid w:val="72353DD7"/>
    <w:rsid w:val="72411881"/>
    <w:rsid w:val="72440EDF"/>
    <w:rsid w:val="724A6B9B"/>
    <w:rsid w:val="724F1464"/>
    <w:rsid w:val="725114DB"/>
    <w:rsid w:val="725B306B"/>
    <w:rsid w:val="72632452"/>
    <w:rsid w:val="727C37A4"/>
    <w:rsid w:val="727E5011"/>
    <w:rsid w:val="72824903"/>
    <w:rsid w:val="728852A7"/>
    <w:rsid w:val="72935315"/>
    <w:rsid w:val="72945DCB"/>
    <w:rsid w:val="72954B88"/>
    <w:rsid w:val="72A76639"/>
    <w:rsid w:val="72DE7472"/>
    <w:rsid w:val="7315639A"/>
    <w:rsid w:val="739D10BA"/>
    <w:rsid w:val="73AB4392"/>
    <w:rsid w:val="73AB456E"/>
    <w:rsid w:val="73B63509"/>
    <w:rsid w:val="73D162DE"/>
    <w:rsid w:val="73FD74A5"/>
    <w:rsid w:val="741006C2"/>
    <w:rsid w:val="7421548A"/>
    <w:rsid w:val="74275CAC"/>
    <w:rsid w:val="743A5982"/>
    <w:rsid w:val="743B108A"/>
    <w:rsid w:val="744125E9"/>
    <w:rsid w:val="744919B1"/>
    <w:rsid w:val="74526EE6"/>
    <w:rsid w:val="746214FE"/>
    <w:rsid w:val="74740A30"/>
    <w:rsid w:val="74790AC9"/>
    <w:rsid w:val="748C787A"/>
    <w:rsid w:val="749405E2"/>
    <w:rsid w:val="74973CFC"/>
    <w:rsid w:val="74A37F5C"/>
    <w:rsid w:val="74A6288E"/>
    <w:rsid w:val="74AF13BD"/>
    <w:rsid w:val="74BD3C50"/>
    <w:rsid w:val="74D861FE"/>
    <w:rsid w:val="750646CC"/>
    <w:rsid w:val="75320F47"/>
    <w:rsid w:val="755E2A0D"/>
    <w:rsid w:val="75660878"/>
    <w:rsid w:val="75960E5E"/>
    <w:rsid w:val="75BF55C7"/>
    <w:rsid w:val="75D6026A"/>
    <w:rsid w:val="75DF4870"/>
    <w:rsid w:val="75F5695C"/>
    <w:rsid w:val="75FD188D"/>
    <w:rsid w:val="75FE3D3F"/>
    <w:rsid w:val="76196B44"/>
    <w:rsid w:val="76294EAC"/>
    <w:rsid w:val="764840B8"/>
    <w:rsid w:val="767B1DCE"/>
    <w:rsid w:val="768C50C1"/>
    <w:rsid w:val="76907D38"/>
    <w:rsid w:val="76A968BB"/>
    <w:rsid w:val="76C049B6"/>
    <w:rsid w:val="76CD2BF4"/>
    <w:rsid w:val="77061EBF"/>
    <w:rsid w:val="77236771"/>
    <w:rsid w:val="772F3A8E"/>
    <w:rsid w:val="775C652D"/>
    <w:rsid w:val="77621D0C"/>
    <w:rsid w:val="77710786"/>
    <w:rsid w:val="777A6185"/>
    <w:rsid w:val="777C4F76"/>
    <w:rsid w:val="77826B5E"/>
    <w:rsid w:val="778932EB"/>
    <w:rsid w:val="779063B4"/>
    <w:rsid w:val="77FF011C"/>
    <w:rsid w:val="785B024F"/>
    <w:rsid w:val="787617FD"/>
    <w:rsid w:val="78764AF6"/>
    <w:rsid w:val="788358B5"/>
    <w:rsid w:val="78986C24"/>
    <w:rsid w:val="78BF3E99"/>
    <w:rsid w:val="78D327ED"/>
    <w:rsid w:val="790422E3"/>
    <w:rsid w:val="7905796F"/>
    <w:rsid w:val="790879A1"/>
    <w:rsid w:val="794843CC"/>
    <w:rsid w:val="79605F39"/>
    <w:rsid w:val="79647A76"/>
    <w:rsid w:val="796D2202"/>
    <w:rsid w:val="79A72BA2"/>
    <w:rsid w:val="79D3689B"/>
    <w:rsid w:val="79E81B63"/>
    <w:rsid w:val="79ED5695"/>
    <w:rsid w:val="7A01689E"/>
    <w:rsid w:val="7A0615D5"/>
    <w:rsid w:val="7A1C10D1"/>
    <w:rsid w:val="7A1E6574"/>
    <w:rsid w:val="7A2E0E3E"/>
    <w:rsid w:val="7A354D6E"/>
    <w:rsid w:val="7A766A3F"/>
    <w:rsid w:val="7A7708A4"/>
    <w:rsid w:val="7A7775E8"/>
    <w:rsid w:val="7A99779D"/>
    <w:rsid w:val="7AA26C14"/>
    <w:rsid w:val="7AA31A03"/>
    <w:rsid w:val="7ABE739E"/>
    <w:rsid w:val="7B152B0B"/>
    <w:rsid w:val="7B19357B"/>
    <w:rsid w:val="7B1A1B07"/>
    <w:rsid w:val="7B3075F3"/>
    <w:rsid w:val="7B4E69B5"/>
    <w:rsid w:val="7B500743"/>
    <w:rsid w:val="7B884829"/>
    <w:rsid w:val="7B8C6298"/>
    <w:rsid w:val="7B9F71FA"/>
    <w:rsid w:val="7BA74B32"/>
    <w:rsid w:val="7BD31A4A"/>
    <w:rsid w:val="7BDB7335"/>
    <w:rsid w:val="7BEF0AA8"/>
    <w:rsid w:val="7BF302CF"/>
    <w:rsid w:val="7C076AA3"/>
    <w:rsid w:val="7C0A46EA"/>
    <w:rsid w:val="7C0A5B2E"/>
    <w:rsid w:val="7C206971"/>
    <w:rsid w:val="7C2178BB"/>
    <w:rsid w:val="7C2E24CB"/>
    <w:rsid w:val="7C32509F"/>
    <w:rsid w:val="7C3564CB"/>
    <w:rsid w:val="7C420814"/>
    <w:rsid w:val="7C424096"/>
    <w:rsid w:val="7C441459"/>
    <w:rsid w:val="7C451F9B"/>
    <w:rsid w:val="7C5D5C47"/>
    <w:rsid w:val="7C682538"/>
    <w:rsid w:val="7C72075A"/>
    <w:rsid w:val="7C764B77"/>
    <w:rsid w:val="7C7A0BC4"/>
    <w:rsid w:val="7CAA45AE"/>
    <w:rsid w:val="7CDF3593"/>
    <w:rsid w:val="7CE43480"/>
    <w:rsid w:val="7CE516FC"/>
    <w:rsid w:val="7CE9762E"/>
    <w:rsid w:val="7CEB05CC"/>
    <w:rsid w:val="7CF2150D"/>
    <w:rsid w:val="7CFA6724"/>
    <w:rsid w:val="7D076076"/>
    <w:rsid w:val="7D2B2643"/>
    <w:rsid w:val="7D9B69E6"/>
    <w:rsid w:val="7DD2756A"/>
    <w:rsid w:val="7DDC5C3A"/>
    <w:rsid w:val="7DEC6C51"/>
    <w:rsid w:val="7DF6459A"/>
    <w:rsid w:val="7DFC7EEB"/>
    <w:rsid w:val="7DFD5FAC"/>
    <w:rsid w:val="7E007C84"/>
    <w:rsid w:val="7E41733E"/>
    <w:rsid w:val="7E426CCC"/>
    <w:rsid w:val="7E495B0D"/>
    <w:rsid w:val="7E86290E"/>
    <w:rsid w:val="7E8D0106"/>
    <w:rsid w:val="7E984AEF"/>
    <w:rsid w:val="7EAA2711"/>
    <w:rsid w:val="7EAD308D"/>
    <w:rsid w:val="7EBD26E1"/>
    <w:rsid w:val="7ED55762"/>
    <w:rsid w:val="7EDC0D2F"/>
    <w:rsid w:val="7EEA7D5B"/>
    <w:rsid w:val="7EFF744A"/>
    <w:rsid w:val="7F076D20"/>
    <w:rsid w:val="7F0D245C"/>
    <w:rsid w:val="7F211146"/>
    <w:rsid w:val="7F325B79"/>
    <w:rsid w:val="7F377E25"/>
    <w:rsid w:val="7F3B4DC1"/>
    <w:rsid w:val="7F433D06"/>
    <w:rsid w:val="7F603E47"/>
    <w:rsid w:val="7F6677C4"/>
    <w:rsid w:val="7F996C04"/>
    <w:rsid w:val="7FA3706B"/>
    <w:rsid w:val="7FD60464"/>
    <w:rsid w:val="7FD832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firstLine="0"/>
      <w:outlineLvl w:val="1"/>
    </w:pPr>
    <w:rPr>
      <w:rFonts w:ascii="Arial" w:hAnsi="Arial" w:eastAsia="微软雅黑"/>
      <w:b/>
      <w:sz w:val="32"/>
    </w:rPr>
  </w:style>
  <w:style w:type="paragraph" w:styleId="3">
    <w:name w:val="heading 3"/>
    <w:basedOn w:val="1"/>
    <w:next w:val="1"/>
    <w:semiHidden/>
    <w:unhideWhenUsed/>
    <w:qFormat/>
    <w:uiPriority w:val="0"/>
    <w:pPr>
      <w:keepNext/>
      <w:keepLines/>
      <w:numPr>
        <w:ilvl w:val="0"/>
        <w:numId w:val="2"/>
      </w:numPr>
      <w:spacing w:before="260" w:beforeLines="0" w:beforeAutospacing="0" w:after="260" w:afterLines="0" w:afterAutospacing="0" w:line="413" w:lineRule="auto"/>
      <w:ind w:firstLine="0"/>
      <w:outlineLvl w:val="2"/>
    </w:pPr>
    <w:rPr>
      <w:rFonts w:eastAsia="微软雅黑" w:asciiTheme="minorAscii" w:hAnsiTheme="minorAscii"/>
      <w:b/>
      <w:sz w:val="30"/>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annotation text"/>
    <w:basedOn w:val="1"/>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4" Type="http://schemas.microsoft.com/office/2011/relationships/people" Target="people.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2023-12-01T06:43:00Z</dcterms:created>
  <dc:creator>山海</dc:creator>
  <cp:lastModifiedBy>山海</cp:lastModifiedBy>
  <dcterms:modified xsi:type="dcterms:W3CDTF">2024-07-09T10:10:27Z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CEA29D6D10DD43EB82C4378FBF773A6F</vt:lpwstr>
  </property>
</Properties>
</file>