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22"/>
        </w:rPr>
        <w:t>LexAfrica</w:t>
      </w:r>
    </w:p>
    <w:p/>
    <w:p>
      <w:pPr>
        <w:pStyle w:val="Heading1"/>
        <w:jc w:val="center"/>
      </w:pPr>
      <w:r>
        <w:t>ACCORD DE CONFIDENTIALITÉ</w:t>
        <w:br/>
        <w:t>(Non-Disclosure Agreement – NDA)</w:t>
      </w:r>
    </w:p>
    <w:p/>
    <w:p>
      <w:pPr>
        <w:pStyle w:val="Heading2"/>
      </w:pPr>
      <w:r>
        <w:t>ENTRE LES SOUSSIGNÉS :</w:t>
      </w:r>
    </w:p>
    <w:p/>
    <w:p>
      <w:r>
        <w:rPr>
          <w:b/>
        </w:rPr>
        <w:t>LA PARTIE DIVULGATRICE</w:t>
        <w:br/>
      </w:r>
      <w:r>
        <w:t>{{ party1_name }}, {{ party1_type|default('société') }} dont le siège est à {{ party1_address }},</w:t>
        <w:br/>
        <w:t>représentée par {{ party1_representative }},</w:t>
        <w:br/>
        <w:t>ci-après dénommée « La Partie Divulgatrice »,</w:t>
      </w:r>
    </w:p>
    <w:p/>
    <w:p>
      <w:r>
        <w:rPr>
          <w:b/>
        </w:rPr>
        <w:t>LA PARTIE RÉCEPTRICE</w:t>
        <w:br/>
      </w:r>
      <w:r>
        <w:t>{{ party2_name }}, {{ party2_type|default('société') }} dont le siège est à {{ party2_address }},</w:t>
        <w:br/>
        <w:t>représentée par {{ party2_representative }},</w:t>
        <w:br/>
        <w:t>ci-après dénommée « La Partie Réceptrice »,</w:t>
      </w:r>
    </w:p>
    <w:p/>
    <w:p>
      <w:r>
        <w:rPr>
          <w:b/>
        </w:rPr>
        <w:t>ONT CONVENU CE QUI SUIT :</w:t>
      </w:r>
    </w:p>
    <w:p/>
    <w:p>
      <w:pPr>
        <w:spacing w:before="120"/>
      </w:pPr>
      <w:r>
        <w:rPr>
          <w:b/>
          <w:sz w:val="22"/>
        </w:rPr>
        <w:t>ARTICLE 1 – OBJET</w:t>
      </w:r>
    </w:p>
    <w:p>
      <w:pPr>
        <w:ind w:left="240"/>
      </w:pPr>
      <w:r>
        <w:t>Dans le cadre de {{ agreement_subject }}, la Partie Divulgatrice est susceptible de communiquer à la Partie Réceptrice des informations confidentielles.</w:t>
        <w:br/>
        <w:t>Le présent accord a pour objet de définir les conditions dans lesquelles ces informations seront protégées.</w:t>
      </w:r>
    </w:p>
    <w:p/>
    <w:p>
      <w:pPr>
        <w:spacing w:before="120"/>
      </w:pPr>
      <w:r>
        <w:rPr>
          <w:b/>
          <w:sz w:val="22"/>
        </w:rPr>
        <w:t>ARTICLE 2 – DÉFINITION DES INFORMATIONS CONFIDENTIELLES</w:t>
      </w:r>
    </w:p>
    <w:p>
      <w:pPr>
        <w:ind w:left="240"/>
      </w:pPr>
      <w:r>
        <w:t>Sont considérées comme confidentielles toutes les informations, données, documents, fichiers, procédés, méthodes, et savoir-faire communiqués par la Partie Divulgatrice, sous quelque forme que ce soit (écrite, orale, électronique, visuelle), qu'ils soient ou non identifiés comme tels.</w:t>
        <w:br/>
        <w:t>Sont exclus : les informations déjà publiques, celles obtenues de tiers autorisés, ou celles dont la Partie Réceptrice démontre qu'elle les connaissait avant la divulgation.</w:t>
      </w:r>
    </w:p>
    <w:p/>
    <w:p>
      <w:pPr>
        <w:spacing w:before="120"/>
      </w:pPr>
      <w:r>
        <w:rPr>
          <w:b/>
          <w:sz w:val="22"/>
        </w:rPr>
        <w:t>ARTICLE 3 – OBLIGATIONS DE LA PARTIE RÉCEPTRICE</w:t>
      </w:r>
    </w:p>
    <w:p>
      <w:pPr>
        <w:ind w:left="240"/>
      </w:pPr>
      <w:r>
        <w:t>La Partie Réceptrice s'engage à :</w:t>
        <w:br/>
        <w:t>- Maintenir les informations confidentielles strictement secrètes ;</w:t>
        <w:br/>
        <w:t>- Ne les utiliser qu'aux fins de {{ agreement_subject }} ;</w:t>
        <w:br/>
        <w:t>- Ne les divulguer qu'aux membres de son personnel en ayant strictement besoin ;</w:t>
        <w:br/>
        <w:t>- Mettre en place des mesures de protection équivalentes à celles qu'elle applique à ses propres informations confidentielles.</w:t>
      </w:r>
    </w:p>
    <w:p/>
    <w:p>
      <w:pPr>
        <w:spacing w:before="120"/>
      </w:pPr>
      <w:r>
        <w:rPr>
          <w:b/>
          <w:sz w:val="22"/>
        </w:rPr>
        <w:t>ARTICLE 4 – DURÉE</w:t>
      </w:r>
    </w:p>
    <w:p>
      <w:pPr>
        <w:ind w:left="240"/>
      </w:pPr>
      <w:r>
        <w:t>Le présent accord entre en vigueur à la date de signature et reste en vigueur pendant {{ duration_years }} ans.</w:t>
        <w:br/>
        <w:t>Les obligations de confidentialité subsistent pendant {{ duration_years }} ans après l'expiration ou la résiliation du présent accord.</w:t>
      </w:r>
    </w:p>
    <w:p/>
    <w:p>
      <w:pPr>
        <w:spacing w:before="120"/>
      </w:pPr>
      <w:r>
        <w:rPr>
          <w:b/>
          <w:sz w:val="22"/>
        </w:rPr>
        <w:t>ARTICLE 5 – PROPRIÉTÉ INTELLECTUELLE</w:t>
      </w:r>
    </w:p>
    <w:p>
      <w:pPr>
        <w:ind w:left="240"/>
      </w:pPr>
      <w:r>
        <w:t>La communication d'informations confidentielles ne confère à la Partie Réceptrice aucun droit de propriété intellectuelle sur lesdites informations. Celles-ci restent la propriété exclusive de la Partie Divulgatrice.</w:t>
      </w:r>
    </w:p>
    <w:p/>
    <w:p>
      <w:pPr>
        <w:spacing w:before="120"/>
      </w:pPr>
      <w:r>
        <w:rPr>
          <w:b/>
          <w:sz w:val="22"/>
        </w:rPr>
        <w:t>ARTICLE 6 – LOI APPLICABLE ET JURIDICTION</w:t>
      </w:r>
    </w:p>
    <w:p>
      <w:pPr>
        <w:ind w:left="240"/>
      </w:pPr>
      <w:r>
        <w:t>Le présent accord est régi par le {{ governing_law_label }}. Tout litige sera soumis au {{ jurisdiction }}, après tentative de règlement amiable.</w:t>
      </w:r>
    </w:p>
    <w:p/>
    <w:p>
      <w:r>
        <w:t>Fait en deux (2) exemplaires originaux, à {{ signature_place|default('Abidjan') }}, le {{ signature_date }}.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La Partie Divulgatrice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La Partie Réceptrice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party1_name }}</w:t>
              <w:br/>
              <w:t>{{ party1_representative 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party2_name }}</w:t>
              <w:br/>
              <w:t>{{ party2_representative }}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et cachet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(précédée de</w:t>
              <w:br/>
              <w:t>« Lu et approuvé »)</w:t>
            </w:r>
          </w:p>
        </w:tc>
      </w:tr>
    </w:tbl>
    <w:p/>
    <w:p>
      <w:pPr>
        <w:spacing w:before="400"/>
        <w:jc w:val="center"/>
      </w:pPr>
      <w:r>
        <w:rPr>
          <w:i/>
          <w:color w:val="555555"/>
          <w:sz w:val="16"/>
        </w:rPr>
        <w:t>─────────────────────────────────────────────</w:t>
        <w:br/>
        <w:t>Document généré par LexAfrica · www.lexafrica.com</w:t>
        <w:br/>
        <w:t>Modèles juridiques validés par nos partenaires avocats OHADA</w:t>
        <w:br/>
        <w:t>Ce document est un aperçu. Effectuez le paiement pour télécharger la version définitive.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BBBBBB"/>
        <w:sz w:val="18"/>
      </w:rPr>
      <w:t>APERÇU - LexAfrica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