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22"/>
        </w:rPr>
        <w:t>LexAfrica</w:t>
      </w:r>
    </w:p>
    <w:p/>
    <w:p>
      <w:pPr>
        <w:pStyle w:val="Heading1"/>
        <w:jc w:val="center"/>
      </w:pPr>
      <w:r>
        <w:t>PACTE D'ASSOCIÉS SIMPLIFIÉ</w:t>
        <w:br/>
        <w:t>({{ company_type }} – OHADA · {{ country_full_name }})</w:t>
      </w:r>
    </w:p>
    <w:p/>
    <w:p>
      <w:r>
        <w:t xml:space="preserve">Relatif à la société : </w:t>
      </w:r>
      <w:r>
        <w:rPr>
          <w:b/>
        </w:rPr>
        <w:t>{{ company_name }}</w:t>
      </w:r>
    </w:p>
    <w:p>
      <w:r>
        <w:t>Siège social : {{ company_address }}</w:t>
        <w:br/>
        <w:t>Capital social : {{ share_capital }} {{ currency }}</w:t>
        <w:br/>
        <w:t>Immatriculée au {{ company_registry }}</w:t>
      </w:r>
    </w:p>
    <w:p/>
    <w:p>
      <w:r>
        <w:rPr>
          <w:b/>
        </w:rPr>
        <w:t>ENTRE LES ASSOCIÉS SOUSSIGNÉS :</w:t>
      </w:r>
    </w:p>
    <w:p>
      <w:r>
        <w:t>{% for a in associates %}- {{ a.name }}, détenant {{ a.shares_percentage }}% du capital social, en qualité de {{ a.role }} ;</w:t>
        <w:br/>
        <w:t>{% endfor %}</w:t>
      </w:r>
    </w:p>
    <w:p/>
    <w:p>
      <w:r>
        <w:rPr>
          <w:b/>
        </w:rPr>
        <w:t>IL A ÉTÉ CONVENU CE QUI SUIT :</w:t>
      </w:r>
    </w:p>
    <w:p/>
    <w:p>
      <w:pPr>
        <w:spacing w:before="120"/>
      </w:pPr>
      <w:r>
        <w:rPr>
          <w:b/>
          <w:sz w:val="22"/>
        </w:rPr>
        <w:t>ARTICLE 1 – OBJET ET DURÉE</w:t>
      </w:r>
    </w:p>
    <w:p>
      <w:pPr>
        <w:ind w:left="240"/>
      </w:pPr>
      <w:r>
        <w:t>La Société a pour objet : {{ company_purpose }}.</w:t>
        <w:br/>
        <w:t>Elle est constituée pour une durée de {{ duration_years }} ans à compter de son immatriculation au {{ company_registry }}.</w:t>
      </w:r>
    </w:p>
    <w:p/>
    <w:p>
      <w:pPr>
        <w:spacing w:before="120"/>
      </w:pPr>
      <w:r>
        <w:rPr>
          <w:b/>
          <w:sz w:val="22"/>
        </w:rPr>
        <w:t>ARTICLE 2 – RÉPARTITION DU CAPITAL</w:t>
      </w:r>
    </w:p>
    <w:p>
      <w:pPr>
        <w:ind w:left="240"/>
      </w:pPr>
      <w:r>
        <w:t>Le capital social est réparti comme suit :</w:t>
        <w:br/>
        <w:t>{% for a in associates %}- {{ a.name }} : {{ a.shares_percentage }}%</w:t>
        <w:br/>
        <w:t>{% endfor %}</w:t>
      </w:r>
    </w:p>
    <w:p/>
    <w:p>
      <w:pPr>
        <w:spacing w:before="120"/>
      </w:pPr>
      <w:r>
        <w:rPr>
          <w:b/>
          <w:sz w:val="22"/>
        </w:rPr>
        <w:t>ARTICLE 3 – PRISE DE DÉCISION</w:t>
      </w:r>
    </w:p>
    <w:p>
      <w:pPr>
        <w:ind w:left="240"/>
      </w:pPr>
      <w:r>
        <w:t>Les décisions ordinaires sont prises à la majorité simple (50%+1).</w:t>
        <w:br/>
        <w:t>Les décisions suivantes requièrent une majorité de {{ decisions_threshold }}% :</w:t>
        <w:br/>
        <w:t>- Modification des statuts ;</w:t>
        <w:br/>
        <w:t>- Augmentation ou réduction de capital ;</w:t>
        <w:br/>
        <w:t>- Fusion, scission ou dissolution ;</w:t>
        <w:br/>
        <w:t>- Cession de fonds de commerce.</w:t>
      </w:r>
    </w:p>
    <w:p/>
    <w:p>
      <w:pPr>
        <w:spacing w:before="120"/>
      </w:pPr>
      <w:r>
        <w:rPr>
          <w:b/>
          <w:sz w:val="22"/>
        </w:rPr>
        <w:t>ARTICLE 4 – DROIT DE PRÉEMPTION</w:t>
      </w:r>
    </w:p>
    <w:p>
      <w:pPr>
        <w:ind w:left="240"/>
      </w:pPr>
      <w:r>
        <w:t>{% if right_of_first_refusal %}Tout associé souhaitant céder tout ou partie de ses parts doit en informer les autres associés par lettre recommandée avec accusé de réception. Les autres associés disposent d'un délai de 30 jours pour exercer leur droit de préemption, au prix proposé par le cessionnaire tiers.{% else %}Les associés ne bénéficient pas d'un droit de préemption formel. Toute cession doit néanmoins être approuvée à l'unanimité des associés.{% endif %}</w:t>
      </w:r>
    </w:p>
    <w:p/>
    <w:p>
      <w:pPr>
        <w:spacing w:before="120"/>
      </w:pPr>
      <w:r>
        <w:rPr>
          <w:b/>
          <w:sz w:val="22"/>
        </w:rPr>
        <w:t>ARTICLE 5 – CLAUSE DE SORTIE CONJOINTE (TAG-ALONG)</w:t>
      </w:r>
    </w:p>
    <w:p>
      <w:pPr>
        <w:ind w:left="240"/>
      </w:pPr>
      <w:r>
        <w:t>{% if tag_along %}En cas de cession de parts par un associé majoritaire à un tiers, les associés minoritaires ont le droit de céder leurs parts dans les mêmes conditions (prix, modalités) que l'associé cédant.{% else %}Les parties renoncent expressément au droit de sortie conjointe pour la durée du présent pacte.{% endif %}</w:t>
      </w:r>
    </w:p>
    <w:p/>
    <w:p>
      <w:pPr>
        <w:spacing w:before="120"/>
      </w:pPr>
      <w:r>
        <w:rPr>
          <w:b/>
          <w:sz w:val="22"/>
        </w:rPr>
        <w:t>ARTICLE 6 – CLAUSE DE CESSION FORCÉE (DRAG-ALONG)</w:t>
      </w:r>
    </w:p>
    <w:p>
      <w:pPr>
        <w:ind w:left="240"/>
      </w:pPr>
      <w:r>
        <w:t>{% if drag_along %}En cas d'offre de rachat par un tiers portant sur au moins 75% du capital, l'associé ou le groupe d'associés majoritaire peut exiger des associés minoritaires qu'ils cèdent leurs parts aux mêmes conditions.{% else %}Les parties renoncent expressément à la clause de cession forcée pour la durée du présent pacte.{% endif %}</w:t>
      </w:r>
    </w:p>
    <w:p/>
    <w:p>
      <w:pPr>
        <w:spacing w:before="120"/>
      </w:pPr>
      <w:r>
        <w:rPr>
          <w:b/>
          <w:sz w:val="22"/>
        </w:rPr>
        <w:t>ARTICLE 7 – CONFIDENTIALITÉ</w:t>
      </w:r>
    </w:p>
    <w:p>
      <w:pPr>
        <w:ind w:left="240"/>
      </w:pPr>
      <w:r>
        <w:t>Les associés s'engagent à maintenir la confidentialité du présent pacte et de toutes les informations relatives à la Société auxquelles ils auraient accès.</w:t>
      </w:r>
    </w:p>
    <w:p/>
    <w:p>
      <w:pPr>
        <w:spacing w:before="120"/>
      </w:pPr>
      <w:r>
        <w:rPr>
          <w:b/>
          <w:sz w:val="22"/>
        </w:rPr>
        <w:t>ARTICLE 8 – LOI APPLICABLE</w:t>
      </w:r>
    </w:p>
    <w:p>
      <w:pPr>
        <w:ind w:left="240"/>
      </w:pPr>
      <w:r>
        <w:t>Le présent pacte est régi par le {{ ohada_reference }} et par le {{ governing_law_label }}. Tout litige sera soumis au {{ jurisdiction }}.</w:t>
      </w:r>
    </w:p>
    <w:p/>
    <w:p>
      <w:r>
        <w:t>Fait en autant d'exemplaires que de parties, à {{ signature_place|default('Abidjan') }}, le {{ signature_date }}.</w:t>
      </w:r>
    </w:p>
    <w:p/>
    <w:p>
      <w:r>
        <w:rPr>
          <w:b/>
        </w:rPr>
        <w:t>Signatures des associés :</w:t>
      </w:r>
    </w:p>
    <w:p>
      <w:r>
        <w:t>{% for a in associates %}{{ a.name }} ({{ a.shares_percentage }}% – {{ a.role }}) : ___________________________</w:t>
        <w:br/>
        <w:t>{% endfor %}</w:t>
      </w:r>
    </w:p>
    <w:p>
      <w:pPr>
        <w:spacing w:before="400"/>
        <w:jc w:val="center"/>
      </w:pPr>
      <w:r>
        <w:rPr>
          <w:i/>
          <w:color w:val="555555"/>
          <w:sz w:val="16"/>
        </w:rPr>
        <w:t>─────────────────────────────────────────────</w:t>
        <w:br/>
        <w:t>Document généré par LexAfrica · www.lexafrica.com</w:t>
        <w:br/>
        <w:t>Modèles juridiques validés par nos partenaires avocats OHADA</w:t>
        <w:br/>
        <w:t>Ce document est un aperçu. Effectuez le paiement pour télécharger la version définitive.</w:t>
      </w:r>
    </w:p>
    <w:sectPr w:rsidR="00FC693F" w:rsidRPr="0006063C" w:rsidSect="00034616">
      <w:head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BBBBBB"/>
        <w:sz w:val="18"/>
      </w:rPr>
      <w:t>APERÇU - LexAfrica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