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81D0D">
      <w:pPr>
        <w:jc w:val="center"/>
        <w:rPr>
          <w:b/>
          <w:sz w:val="32"/>
          <w:szCs w:val="32"/>
        </w:rPr>
      </w:pPr>
      <w:r>
        <w:rPr>
          <w:b/>
          <w:sz w:val="32"/>
          <w:szCs w:val="32"/>
        </w:rPr>
        <w:t>贵州大学本科生毕业论文（设计）开题报告表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698"/>
        <w:gridCol w:w="1176"/>
        <w:gridCol w:w="1357"/>
        <w:gridCol w:w="1142"/>
        <w:gridCol w:w="1421"/>
      </w:tblGrid>
      <w:tr w14:paraId="5BB4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28" w:type="dxa"/>
            <w:vAlign w:val="center"/>
          </w:tcPr>
          <w:p w14:paraId="3F9F4959">
            <w:pPr>
              <w:jc w:val="center"/>
              <w:rPr>
                <w:b/>
                <w:szCs w:val="21"/>
              </w:rPr>
            </w:pPr>
            <w:r>
              <w:rPr>
                <w:b/>
                <w:szCs w:val="21"/>
              </w:rPr>
              <w:t>论文(设计)名称</w:t>
            </w:r>
          </w:p>
        </w:tc>
        <w:tc>
          <w:tcPr>
            <w:tcW w:w="6794" w:type="dxa"/>
            <w:gridSpan w:val="5"/>
            <w:vAlign w:val="center"/>
          </w:tcPr>
          <w:p w14:paraId="5CCDBC10">
            <w:pPr>
              <w:jc w:val="center"/>
              <w:rPr>
                <w:b/>
                <w:sz w:val="32"/>
                <w:szCs w:val="32"/>
              </w:rPr>
            </w:pPr>
            <w:bookmarkStart w:id="0" w:name="OLE_LINK3"/>
            <w:r>
              <w:rPr>
                <w:szCs w:val="21"/>
              </w:rPr>
              <w:t>差分隐私下高效且准确的提示词扰动机制研究</w:t>
            </w:r>
            <w:bookmarkEnd w:id="0"/>
          </w:p>
        </w:tc>
      </w:tr>
      <w:tr w14:paraId="7141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3B3B565D">
            <w:pPr>
              <w:jc w:val="center"/>
              <w:rPr>
                <w:b/>
                <w:szCs w:val="21"/>
              </w:rPr>
            </w:pPr>
            <w:r>
              <w:rPr>
                <w:b/>
                <w:szCs w:val="21"/>
              </w:rPr>
              <w:t>论文（设计）来源</w:t>
            </w:r>
          </w:p>
        </w:tc>
        <w:tc>
          <w:tcPr>
            <w:tcW w:w="1698" w:type="dxa"/>
            <w:vAlign w:val="center"/>
          </w:tcPr>
          <w:p w14:paraId="6E6CF81D">
            <w:pPr>
              <w:jc w:val="center"/>
              <w:rPr>
                <w:rFonts w:hint="eastAsia"/>
                <w:b/>
                <w:sz w:val="32"/>
                <w:szCs w:val="32"/>
              </w:rPr>
            </w:pPr>
            <w:r>
              <w:rPr>
                <w:rFonts w:hint="eastAsia"/>
                <w:bCs/>
                <w:szCs w:val="21"/>
              </w:rPr>
              <w:t>社会实践需要</w:t>
            </w:r>
          </w:p>
        </w:tc>
        <w:tc>
          <w:tcPr>
            <w:tcW w:w="1176" w:type="dxa"/>
            <w:vAlign w:val="center"/>
          </w:tcPr>
          <w:p w14:paraId="65775191">
            <w:pPr>
              <w:jc w:val="center"/>
              <w:rPr>
                <w:b/>
                <w:szCs w:val="21"/>
              </w:rPr>
            </w:pPr>
            <w:r>
              <w:rPr>
                <w:b/>
                <w:szCs w:val="21"/>
              </w:rPr>
              <w:t>论文（设计）类型</w:t>
            </w:r>
          </w:p>
        </w:tc>
        <w:tc>
          <w:tcPr>
            <w:tcW w:w="1357" w:type="dxa"/>
            <w:vAlign w:val="center"/>
          </w:tcPr>
          <w:p w14:paraId="2D810A35">
            <w:pPr>
              <w:jc w:val="center"/>
              <w:rPr>
                <w:rFonts w:hint="eastAsia"/>
                <w:szCs w:val="21"/>
              </w:rPr>
            </w:pPr>
            <w:r>
              <w:rPr>
                <w:rFonts w:hint="eastAsia"/>
                <w:szCs w:val="21"/>
              </w:rPr>
              <w:t>毕业设计</w:t>
            </w:r>
          </w:p>
        </w:tc>
        <w:tc>
          <w:tcPr>
            <w:tcW w:w="1142" w:type="dxa"/>
            <w:vAlign w:val="center"/>
          </w:tcPr>
          <w:p w14:paraId="4A71679F">
            <w:pPr>
              <w:jc w:val="center"/>
              <w:rPr>
                <w:b/>
                <w:szCs w:val="21"/>
              </w:rPr>
            </w:pPr>
            <w:r>
              <w:rPr>
                <w:b/>
                <w:szCs w:val="21"/>
              </w:rPr>
              <w:t>指导教师</w:t>
            </w:r>
          </w:p>
        </w:tc>
        <w:tc>
          <w:tcPr>
            <w:tcW w:w="1421" w:type="dxa"/>
            <w:vAlign w:val="center"/>
          </w:tcPr>
          <w:p w14:paraId="7BA12CD4">
            <w:pPr>
              <w:jc w:val="center"/>
              <w:rPr>
                <w:b/>
                <w:sz w:val="32"/>
                <w:szCs w:val="32"/>
              </w:rPr>
            </w:pPr>
            <w:r>
              <w:rPr>
                <w:bCs/>
                <w:szCs w:val="21"/>
              </w:rPr>
              <w:t>郭春</w:t>
            </w:r>
          </w:p>
        </w:tc>
      </w:tr>
      <w:tr w14:paraId="0348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728" w:type="dxa"/>
            <w:vAlign w:val="center"/>
          </w:tcPr>
          <w:p w14:paraId="01A43E45">
            <w:pPr>
              <w:jc w:val="center"/>
              <w:rPr>
                <w:b/>
                <w:szCs w:val="21"/>
              </w:rPr>
            </w:pPr>
            <w:r>
              <w:rPr>
                <w:b/>
                <w:szCs w:val="21"/>
              </w:rPr>
              <w:t>学生姓名</w:t>
            </w:r>
          </w:p>
        </w:tc>
        <w:tc>
          <w:tcPr>
            <w:tcW w:w="1698" w:type="dxa"/>
            <w:vAlign w:val="center"/>
          </w:tcPr>
          <w:p w14:paraId="14F59D6F">
            <w:pPr>
              <w:jc w:val="center"/>
              <w:rPr>
                <w:b/>
                <w:sz w:val="32"/>
                <w:szCs w:val="32"/>
              </w:rPr>
            </w:pPr>
            <w:r>
              <w:rPr>
                <w:bCs/>
                <w:szCs w:val="21"/>
              </w:rPr>
              <w:t>游雅茹</w:t>
            </w:r>
          </w:p>
        </w:tc>
        <w:tc>
          <w:tcPr>
            <w:tcW w:w="1176" w:type="dxa"/>
            <w:vAlign w:val="center"/>
          </w:tcPr>
          <w:p w14:paraId="2DA55FED">
            <w:pPr>
              <w:jc w:val="center"/>
              <w:rPr>
                <w:b/>
                <w:szCs w:val="21"/>
              </w:rPr>
            </w:pPr>
            <w:r>
              <w:rPr>
                <w:b/>
                <w:szCs w:val="21"/>
              </w:rPr>
              <w:t>学号</w:t>
            </w:r>
          </w:p>
        </w:tc>
        <w:tc>
          <w:tcPr>
            <w:tcW w:w="1357" w:type="dxa"/>
            <w:vAlign w:val="center"/>
          </w:tcPr>
          <w:p w14:paraId="3C5DD9B5">
            <w:pPr>
              <w:jc w:val="center"/>
              <w:rPr>
                <w:szCs w:val="21"/>
              </w:rPr>
            </w:pPr>
            <w:r>
              <w:rPr>
                <w:szCs w:val="21"/>
              </w:rPr>
              <w:t>2100900121</w:t>
            </w:r>
          </w:p>
        </w:tc>
        <w:tc>
          <w:tcPr>
            <w:tcW w:w="1142" w:type="dxa"/>
            <w:vAlign w:val="center"/>
          </w:tcPr>
          <w:p w14:paraId="7775C556">
            <w:pPr>
              <w:jc w:val="center"/>
              <w:rPr>
                <w:b/>
                <w:szCs w:val="21"/>
              </w:rPr>
            </w:pPr>
            <w:r>
              <w:rPr>
                <w:b/>
                <w:szCs w:val="21"/>
              </w:rPr>
              <w:t>专业</w:t>
            </w:r>
          </w:p>
        </w:tc>
        <w:tc>
          <w:tcPr>
            <w:tcW w:w="1421" w:type="dxa"/>
            <w:vAlign w:val="center"/>
          </w:tcPr>
          <w:p w14:paraId="7C206ED2">
            <w:pPr>
              <w:jc w:val="center"/>
              <w:rPr>
                <w:b/>
                <w:sz w:val="32"/>
                <w:szCs w:val="32"/>
              </w:rPr>
            </w:pPr>
            <w:r>
              <w:rPr>
                <w:bCs/>
                <w:szCs w:val="21"/>
              </w:rPr>
              <w:t>信息安全</w:t>
            </w:r>
          </w:p>
        </w:tc>
      </w:tr>
      <w:tr w14:paraId="46DE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8522" w:type="dxa"/>
            <w:gridSpan w:val="6"/>
          </w:tcPr>
          <w:p w14:paraId="0DB51EA9">
            <w:pPr>
              <w:rPr>
                <w:szCs w:val="21"/>
              </w:rPr>
            </w:pPr>
            <w:r>
              <w:rPr>
                <w:b/>
                <w:bCs/>
                <w:szCs w:val="21"/>
              </w:rPr>
              <w:t>一、研究或设计的目的和意义</w:t>
            </w:r>
            <w:r>
              <w:rPr>
                <w:b/>
                <w:bCs/>
                <w:sz w:val="28"/>
                <w:szCs w:val="21"/>
              </w:rPr>
              <w:t>：</w:t>
            </w:r>
          </w:p>
          <w:p w14:paraId="7865F27D">
            <w:pPr>
              <w:spacing w:line="360" w:lineRule="auto"/>
              <w:ind w:firstLine="420" w:firstLineChars="200"/>
              <w:rPr>
                <w:szCs w:val="21"/>
              </w:rPr>
            </w:pPr>
            <w:r>
              <w:rPr>
                <w:szCs w:val="21"/>
              </w:rPr>
              <w:t>随着 Transformer 架构</w:t>
            </w:r>
            <w:r>
              <w:rPr>
                <w:szCs w:val="21"/>
                <w:vertAlign w:val="superscript"/>
              </w:rPr>
              <w:fldChar w:fldCharType="begin"/>
            </w:r>
            <w:r>
              <w:rPr>
                <w:szCs w:val="21"/>
                <w:vertAlign w:val="superscript"/>
              </w:rPr>
              <w:instrText xml:space="preserve"> REF _Ref222949407 \r \h  \* MERGEFORMAT </w:instrText>
            </w:r>
            <w:r>
              <w:rPr>
                <w:szCs w:val="21"/>
                <w:vertAlign w:val="superscript"/>
              </w:rPr>
              <w:fldChar w:fldCharType="separate"/>
            </w:r>
            <w:r>
              <w:rPr>
                <w:szCs w:val="21"/>
                <w:vertAlign w:val="superscript"/>
              </w:rPr>
              <w:t>[1]</w:t>
            </w:r>
            <w:r>
              <w:rPr>
                <w:szCs w:val="21"/>
                <w:vertAlign w:val="superscript"/>
              </w:rPr>
              <w:fldChar w:fldCharType="end"/>
            </w:r>
            <w:r>
              <w:rPr>
                <w:szCs w:val="21"/>
              </w:rPr>
              <w:t>以及 BERT</w:t>
            </w:r>
            <w:r>
              <w:rPr>
                <w:szCs w:val="21"/>
                <w:vertAlign w:val="superscript"/>
              </w:rPr>
              <w:fldChar w:fldCharType="begin"/>
            </w:r>
            <w:r>
              <w:rPr>
                <w:szCs w:val="21"/>
                <w:vertAlign w:val="superscript"/>
              </w:rPr>
              <w:instrText xml:space="preserve"> REF _Ref222949424 \r \h  \* MERGEFORMAT </w:instrText>
            </w:r>
            <w:r>
              <w:rPr>
                <w:szCs w:val="21"/>
                <w:vertAlign w:val="superscript"/>
              </w:rPr>
              <w:fldChar w:fldCharType="separate"/>
            </w:r>
            <w:r>
              <w:rPr>
                <w:szCs w:val="21"/>
                <w:vertAlign w:val="superscript"/>
              </w:rPr>
              <w:t>[2]</w:t>
            </w:r>
            <w:r>
              <w:rPr>
                <w:szCs w:val="21"/>
                <w:vertAlign w:val="superscript"/>
              </w:rPr>
              <w:fldChar w:fldCharType="end"/>
            </w:r>
            <w:r>
              <w:rPr>
                <w:rFonts w:hint="eastAsia"/>
                <w:szCs w:val="21"/>
              </w:rPr>
              <w:t>、GPT</w:t>
            </w:r>
            <w:r>
              <w:rPr>
                <w:rFonts w:hint="eastAsia"/>
                <w:szCs w:val="21"/>
                <w:vertAlign w:val="superscript"/>
              </w:rPr>
              <w:fldChar w:fldCharType="begin"/>
            </w:r>
            <w:r>
              <w:rPr>
                <w:rFonts w:hint="eastAsia"/>
                <w:szCs w:val="21"/>
                <w:vertAlign w:val="superscript"/>
              </w:rPr>
              <w:instrText xml:space="preserve"> REF _Ref23839 \r \h </w:instrText>
            </w:r>
            <w:r>
              <w:rPr>
                <w:rFonts w:hint="eastAsia"/>
                <w:szCs w:val="21"/>
                <w:vertAlign w:val="superscript"/>
              </w:rPr>
              <w:fldChar w:fldCharType="separate"/>
            </w:r>
            <w:r>
              <w:rPr>
                <w:rFonts w:hint="eastAsia"/>
                <w:szCs w:val="21"/>
                <w:vertAlign w:val="superscript"/>
              </w:rPr>
              <w:t>[3]</w:t>
            </w:r>
            <w:r>
              <w:rPr>
                <w:rFonts w:hint="eastAsia"/>
                <w:szCs w:val="21"/>
                <w:vertAlign w:val="superscript"/>
              </w:rPr>
              <w:fldChar w:fldCharType="end"/>
            </w:r>
            <w:r>
              <w:rPr>
                <w:rFonts w:hint="eastAsia"/>
                <w:szCs w:val="21"/>
              </w:rPr>
              <w:t xml:space="preserve"> </w:t>
            </w:r>
            <w:r>
              <w:rPr>
                <w:szCs w:val="21"/>
              </w:rPr>
              <w:t>等预训练模型的广泛应用，大语言模型（LLM）的隐私泄露问题</w:t>
            </w:r>
            <w:r>
              <w:rPr>
                <w:rStyle w:val="12"/>
                <w:vertAlign w:val="superscript"/>
              </w:rPr>
              <w:fldChar w:fldCharType="begin"/>
            </w:r>
            <w:r>
              <w:rPr>
                <w:szCs w:val="21"/>
                <w:vertAlign w:val="superscript"/>
              </w:rPr>
              <w:instrText xml:space="preserve"> REF _Ref224226886 \r \h </w:instrText>
            </w:r>
            <w:r>
              <w:rPr>
                <w:rStyle w:val="12"/>
                <w:vertAlign w:val="superscript"/>
              </w:rPr>
              <w:instrText xml:space="preserve"> \* MERGEFORMAT </w:instrText>
            </w:r>
            <w:r>
              <w:rPr>
                <w:rStyle w:val="12"/>
                <w:vertAlign w:val="superscript"/>
              </w:rPr>
              <w:fldChar w:fldCharType="separate"/>
            </w:r>
            <w:r>
              <w:rPr>
                <w:szCs w:val="21"/>
                <w:vertAlign w:val="superscript"/>
              </w:rPr>
              <w:t>[4</w:t>
            </w:r>
            <w:r>
              <w:rPr>
                <w:rFonts w:hint="eastAsia"/>
                <w:szCs w:val="21"/>
                <w:vertAlign w:val="superscript"/>
              </w:rPr>
              <w:t>,5</w:t>
            </w:r>
            <w:r>
              <w:rPr>
                <w:szCs w:val="21"/>
                <w:vertAlign w:val="superscript"/>
              </w:rPr>
              <w:t>]</w:t>
            </w:r>
            <w:r>
              <w:rPr>
                <w:rStyle w:val="12"/>
                <w:vertAlign w:val="superscript"/>
              </w:rPr>
              <w:fldChar w:fldCharType="end"/>
            </w:r>
            <w:r>
              <w:rPr>
                <w:szCs w:val="21"/>
              </w:rPr>
              <w:t>引发了学术界的关注。LLM 在提供高效服务的同时，其背后隐藏的隐私泄露风险也日益凸显。研究表明，大模型具有极强的记忆能力，攻击者可通过精心构造的提示词（Prompt）诱导出模型训练集中包含的敏感个人信息。Carlini 等人</w:t>
            </w:r>
            <w:r>
              <w:rPr>
                <w:szCs w:val="21"/>
                <w:vertAlign w:val="superscript"/>
              </w:rPr>
              <w:fldChar w:fldCharType="begin"/>
            </w:r>
            <w:r>
              <w:rPr>
                <w:szCs w:val="21"/>
                <w:vertAlign w:val="superscript"/>
              </w:rPr>
              <w:instrText xml:space="preserve"> REF _Ref222949434 \r \h </w:instrText>
            </w:r>
            <w:r>
              <w:rPr>
                <w:szCs w:val="21"/>
                <w:vertAlign w:val="superscript"/>
              </w:rPr>
              <w:fldChar w:fldCharType="separate"/>
            </w:r>
            <w:r>
              <w:rPr>
                <w:szCs w:val="21"/>
                <w:vertAlign w:val="superscript"/>
              </w:rPr>
              <w:t>[6]</w:t>
            </w:r>
            <w:r>
              <w:rPr>
                <w:szCs w:val="21"/>
                <w:vertAlign w:val="superscript"/>
              </w:rPr>
              <w:fldChar w:fldCharType="end"/>
            </w:r>
            <w:r>
              <w:rPr>
                <w:szCs w:val="21"/>
              </w:rPr>
              <w:t>的</w:t>
            </w:r>
            <w:r>
              <w:rPr>
                <w:rFonts w:hint="eastAsia"/>
                <w:szCs w:val="21"/>
              </w:rPr>
              <w:t>研究表明</w:t>
            </w:r>
            <w:r>
              <w:rPr>
                <w:szCs w:val="21"/>
              </w:rPr>
              <w:t>，LLM 在训练过程中会</w:t>
            </w:r>
            <w:r>
              <w:rPr>
                <w:rFonts w:hint="eastAsia"/>
                <w:szCs w:val="21"/>
              </w:rPr>
              <w:t>记忆训练数据中的内容</w:t>
            </w:r>
            <w:r>
              <w:rPr>
                <w:szCs w:val="21"/>
              </w:rPr>
              <w:t>，</w:t>
            </w:r>
            <w:r>
              <w:rPr>
                <w:rFonts w:hint="eastAsia"/>
                <w:szCs w:val="21"/>
              </w:rPr>
              <w:t>即使这些内容仅出现少数几次，攻击者仍可以通过黑盒查询（如输入特定前缀或再用特定的采样策略）提取出训练集中的原始文本，包括姓名、邮箱、电话等个人敏感信息，且模型规模越大，泄露风险越高</w:t>
            </w:r>
            <w:r>
              <w:rPr>
                <w:szCs w:val="21"/>
              </w:rPr>
              <w:t>；Huang 等人</w:t>
            </w:r>
            <w:r>
              <w:rPr>
                <w:szCs w:val="21"/>
                <w:vertAlign w:val="superscript"/>
              </w:rPr>
              <w:fldChar w:fldCharType="begin"/>
            </w:r>
            <w:r>
              <w:rPr>
                <w:szCs w:val="21"/>
                <w:vertAlign w:val="superscript"/>
              </w:rPr>
              <w:instrText xml:space="preserve"> REF _Ref221747704 \r \h </w:instrText>
            </w:r>
            <w:r>
              <w:rPr>
                <w:szCs w:val="21"/>
                <w:vertAlign w:val="superscript"/>
              </w:rPr>
              <w:fldChar w:fldCharType="separate"/>
            </w:r>
            <w:r>
              <w:rPr>
                <w:szCs w:val="21"/>
                <w:vertAlign w:val="superscript"/>
              </w:rPr>
              <w:t>[7]</w:t>
            </w:r>
            <w:r>
              <w:rPr>
                <w:szCs w:val="21"/>
                <w:vertAlign w:val="superscript"/>
              </w:rPr>
              <w:fldChar w:fldCharType="end"/>
            </w:r>
            <w:r>
              <w:rPr>
                <w:szCs w:val="21"/>
              </w:rPr>
              <w:t>则进一步</w:t>
            </w:r>
            <w:r>
              <w:rPr>
                <w:rFonts w:hint="eastAsia"/>
                <w:szCs w:val="21"/>
              </w:rPr>
              <w:t>区分了“记忆”与“关联”两种隐私泄露机制</w:t>
            </w:r>
            <w:r>
              <w:rPr>
                <w:szCs w:val="21"/>
              </w:rPr>
              <w:t>，</w:t>
            </w:r>
            <w:r>
              <w:rPr>
                <w:rFonts w:hint="eastAsia"/>
                <w:szCs w:val="21"/>
              </w:rPr>
              <w:t>发现虽然模型能够记忆大量个人信息，但由于关联能力较弱，直接通过姓名查询个人信息的攻击成功率较低。这意味着，虽然攻击者能诱导模型输出泄露信息，但直接通过关联查询获取特定目标隐私的成功率受限。然而，由于黑盒模型环境的封闭性，传统的脱敏手段（如基于规则的启发式、k-匿名化等）难以提供严谨的隐私边界，且无法实现隐私保护强度的定量评估。</w:t>
            </w:r>
          </w:p>
          <w:p w14:paraId="36D28FAC">
            <w:pPr>
              <w:spacing w:line="360" w:lineRule="auto"/>
              <w:ind w:firstLine="420" w:firstLineChars="200"/>
              <w:rPr>
                <w:szCs w:val="21"/>
              </w:rPr>
            </w:pPr>
            <w:r>
              <w:rPr>
                <w:szCs w:val="21"/>
              </w:rPr>
              <w:t>差分隐私（Differential Privacy, DP）</w:t>
            </w:r>
            <w:r>
              <w:rPr>
                <w:szCs w:val="21"/>
                <w:vertAlign w:val="superscript"/>
              </w:rPr>
              <w:fldChar w:fldCharType="begin"/>
            </w:r>
            <w:r>
              <w:rPr>
                <w:szCs w:val="21"/>
                <w:vertAlign w:val="superscript"/>
              </w:rPr>
              <w:instrText xml:space="preserve"> REF _Ref222949464 \r \h </w:instrText>
            </w:r>
            <w:r>
              <w:rPr>
                <w:szCs w:val="21"/>
                <w:vertAlign w:val="superscript"/>
              </w:rPr>
              <w:fldChar w:fldCharType="separate"/>
            </w:r>
            <w:r>
              <w:rPr>
                <w:szCs w:val="21"/>
                <w:vertAlign w:val="superscript"/>
              </w:rPr>
              <w:t>[8</w:t>
            </w:r>
            <w:r>
              <w:rPr>
                <w:rFonts w:hint="eastAsia"/>
                <w:szCs w:val="21"/>
                <w:vertAlign w:val="superscript"/>
              </w:rPr>
              <w:t>-10</w:t>
            </w:r>
            <w:r>
              <w:rPr>
                <w:szCs w:val="21"/>
                <w:vertAlign w:val="superscript"/>
              </w:rPr>
              <w:t>]</w:t>
            </w:r>
            <w:r>
              <w:rPr>
                <w:szCs w:val="21"/>
                <w:vertAlign w:val="superscript"/>
              </w:rPr>
              <w:fldChar w:fldCharType="end"/>
            </w:r>
            <w:r>
              <w:rPr>
                <w:szCs w:val="21"/>
              </w:rPr>
              <w:t>作为隐私保护领域的数学标准，为定量防御隐私泄露提供了理论保证。目前，针对大模型微调阶段的隐私保护主要依赖于差分隐私随机梯度下降（DP-SGD）技术，该技术由Abadi等人</w:t>
            </w:r>
            <w:r>
              <w:rPr>
                <w:szCs w:val="21"/>
                <w:vertAlign w:val="superscript"/>
              </w:rPr>
              <w:fldChar w:fldCharType="begin"/>
            </w:r>
            <w:r>
              <w:rPr>
                <w:szCs w:val="21"/>
                <w:vertAlign w:val="superscript"/>
              </w:rPr>
              <w:instrText xml:space="preserve"> REF _Ref221748131 \r \h  \* MERGEFORMAT </w:instrText>
            </w:r>
            <w:r>
              <w:rPr>
                <w:szCs w:val="21"/>
                <w:vertAlign w:val="superscript"/>
              </w:rPr>
              <w:fldChar w:fldCharType="separate"/>
            </w:r>
            <w:r>
              <w:rPr>
                <w:szCs w:val="21"/>
                <w:vertAlign w:val="superscript"/>
              </w:rPr>
              <w:t>[11]</w:t>
            </w:r>
            <w:r>
              <w:rPr>
                <w:szCs w:val="21"/>
                <w:vertAlign w:val="superscript"/>
              </w:rPr>
              <w:fldChar w:fldCharType="end"/>
            </w:r>
            <w:r>
              <w:rPr>
                <w:szCs w:val="21"/>
              </w:rPr>
              <w:t>提出，通过</w:t>
            </w:r>
            <w:r>
              <w:rPr>
                <w:rFonts w:hint="eastAsia"/>
                <w:szCs w:val="21"/>
              </w:rPr>
              <w:t>对单个样本的梯度进行范数裁剪来控制单个样本的敏感度，并在聚合梯度中注入高斯噪声，从而严格限制了单个训练样本对模型参数更新的贡献，确保了最终的模型参数满足差分隐私的数学定义，即攻击者无法通过模型状态回溯训练集中的个体属性</w:t>
            </w:r>
            <w:r>
              <w:rPr>
                <w:szCs w:val="21"/>
              </w:rPr>
              <w:t>。但在推理阶段，如何针对输入的Prompt进行实时脱敏仍是一个挑战。在 Prompt 调优及推理阶段引入差分隐私，不仅能够满足《数据安全法》等法律法规对个人隐私保护的强制性合规要求，还能在保护用户输入隐私的前提下，最大限度地保留大模型的语义理解与生成能力。因此，研究兼顾语义效用与隐私强度的 DP-Prompt 脱敏算法，对于推动大模型在敏感行业的安全落地具有重要的理论价值与现实意义。</w:t>
            </w:r>
          </w:p>
        </w:tc>
      </w:tr>
      <w:tr w14:paraId="6E86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5" w:hRule="atLeast"/>
        </w:trPr>
        <w:tc>
          <w:tcPr>
            <w:tcW w:w="8522" w:type="dxa"/>
            <w:gridSpan w:val="6"/>
          </w:tcPr>
          <w:p w14:paraId="671A3216">
            <w:pPr>
              <w:rPr>
                <w:b/>
                <w:bCs/>
                <w:szCs w:val="21"/>
              </w:rPr>
            </w:pPr>
            <w:r>
              <w:rPr>
                <w:b/>
                <w:bCs/>
                <w:szCs w:val="21"/>
              </w:rPr>
              <w:t>二、阅读的主要参考文献及资料名称：</w:t>
            </w:r>
          </w:p>
          <w:p w14:paraId="2DE2752A">
            <w:pPr>
              <w:pStyle w:val="15"/>
              <w:numPr>
                <w:ilvl w:val="0"/>
                <w:numId w:val="1"/>
              </w:numPr>
              <w:wordWrap w:val="0"/>
              <w:ind w:firstLineChars="0"/>
              <w:contextualSpacing/>
              <w:jc w:val="left"/>
              <w:rPr>
                <w:rFonts w:eastAsia="黑体"/>
                <w:szCs w:val="21"/>
              </w:rPr>
            </w:pPr>
            <w:bookmarkStart w:id="1" w:name="_Ref222949407"/>
            <w:bookmarkStart w:id="2" w:name="_Ref221747676"/>
            <w:bookmarkStart w:id="3" w:name="OLE_LINK6"/>
            <w:r>
              <w:rPr>
                <w:rFonts w:eastAsia="黑体"/>
                <w:szCs w:val="21"/>
              </w:rPr>
              <w:t>Vaswani A, Shazeer N, Parmar N, et al. Attention is all you need[J]. Advances in neural information processing systems, 2017, 30.</w:t>
            </w:r>
            <w:bookmarkEnd w:id="1"/>
          </w:p>
          <w:p w14:paraId="140DF906">
            <w:pPr>
              <w:pStyle w:val="15"/>
              <w:numPr>
                <w:ilvl w:val="0"/>
                <w:numId w:val="1"/>
              </w:numPr>
              <w:wordWrap w:val="0"/>
              <w:ind w:firstLineChars="0"/>
              <w:contextualSpacing/>
              <w:jc w:val="left"/>
              <w:rPr>
                <w:rFonts w:eastAsia="黑体"/>
                <w:szCs w:val="21"/>
              </w:rPr>
            </w:pPr>
            <w:bookmarkStart w:id="4" w:name="_Ref222949424"/>
            <w:r>
              <w:rPr>
                <w:rFonts w:eastAsia="黑体"/>
                <w:szCs w:val="21"/>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bookmarkEnd w:id="4"/>
          </w:p>
          <w:p w14:paraId="5A94A86B">
            <w:pPr>
              <w:pStyle w:val="15"/>
              <w:numPr>
                <w:ilvl w:val="0"/>
                <w:numId w:val="1"/>
              </w:numPr>
              <w:wordWrap w:val="0"/>
              <w:ind w:firstLineChars="0"/>
              <w:contextualSpacing/>
              <w:jc w:val="left"/>
              <w:rPr>
                <w:rFonts w:eastAsia="黑体"/>
                <w:szCs w:val="21"/>
              </w:rPr>
            </w:pPr>
            <w:bookmarkStart w:id="5" w:name="_Ref23839"/>
            <w:r>
              <w:rPr>
                <w:rFonts w:eastAsia="黑体"/>
                <w:szCs w:val="21"/>
              </w:rPr>
              <w:t>Radford A, Narasimhan K, Salimans T, et al. Improving language understanding by generative pre-training[J]. 2018.</w:t>
            </w:r>
            <w:bookmarkEnd w:id="5"/>
          </w:p>
          <w:p w14:paraId="02505A44">
            <w:pPr>
              <w:pStyle w:val="15"/>
              <w:numPr>
                <w:ilvl w:val="0"/>
                <w:numId w:val="1"/>
              </w:numPr>
              <w:wordWrap w:val="0"/>
              <w:ind w:firstLineChars="0"/>
              <w:contextualSpacing/>
              <w:jc w:val="left"/>
              <w:rPr>
                <w:rFonts w:eastAsia="黑体"/>
                <w:szCs w:val="21"/>
              </w:rPr>
            </w:pPr>
            <w:bookmarkStart w:id="6" w:name="_Ref224226886"/>
            <w:r>
              <w:rPr>
                <w:rFonts w:hint="eastAsia" w:eastAsia="黑体"/>
                <w:szCs w:val="21"/>
              </w:rPr>
              <w:t>李甜,孙一鸣,董振江,等.大模型数据安全与隐私保护研究综述[J/OL].物联网学报,1-18[2026-03-12].https://link.cnki.net/urlid/10.1491.TP.20251212.1043.002.</w:t>
            </w:r>
            <w:bookmarkEnd w:id="6"/>
          </w:p>
          <w:p w14:paraId="7C9C9FBE">
            <w:pPr>
              <w:pStyle w:val="15"/>
              <w:numPr>
                <w:ilvl w:val="0"/>
                <w:numId w:val="1"/>
              </w:numPr>
              <w:wordWrap w:val="0"/>
              <w:ind w:firstLineChars="0"/>
              <w:contextualSpacing/>
              <w:jc w:val="left"/>
              <w:rPr>
                <w:rFonts w:eastAsia="黑体"/>
                <w:szCs w:val="21"/>
              </w:rPr>
            </w:pPr>
            <w:r>
              <w:rPr>
                <w:rFonts w:hint="eastAsia" w:eastAsia="黑体"/>
                <w:szCs w:val="21"/>
              </w:rPr>
              <w:t>王烨茹,苏冶,周楠,等.数据安全与隐私保护技术综述[J].保密科学技术,2025,(05):62-70.</w:t>
            </w:r>
          </w:p>
          <w:p w14:paraId="6D14DE01">
            <w:pPr>
              <w:pStyle w:val="15"/>
              <w:numPr>
                <w:ilvl w:val="0"/>
                <w:numId w:val="1"/>
              </w:numPr>
              <w:wordWrap w:val="0"/>
              <w:ind w:firstLineChars="0"/>
              <w:contextualSpacing/>
              <w:jc w:val="left"/>
              <w:rPr>
                <w:rFonts w:eastAsia="黑体"/>
                <w:szCs w:val="21"/>
              </w:rPr>
            </w:pPr>
            <w:bookmarkStart w:id="7" w:name="_Ref222949434"/>
            <w:r>
              <w:rPr>
                <w:rFonts w:eastAsia="黑体"/>
                <w:szCs w:val="21"/>
              </w:rPr>
              <w:t>Carlini N, Tramer F, Wallace E, et al. Extracting training data from large language models [C]// Proceedings of the 30th USENIX Security Symposium. 2021: 2633-2650.</w:t>
            </w:r>
            <w:bookmarkEnd w:id="2"/>
            <w:bookmarkEnd w:id="7"/>
          </w:p>
          <w:p w14:paraId="5495C6F2">
            <w:pPr>
              <w:pStyle w:val="15"/>
              <w:numPr>
                <w:ilvl w:val="0"/>
                <w:numId w:val="1"/>
              </w:numPr>
              <w:wordWrap w:val="0"/>
              <w:ind w:firstLineChars="0"/>
              <w:contextualSpacing/>
              <w:jc w:val="left"/>
              <w:rPr>
                <w:rFonts w:eastAsia="黑体"/>
                <w:szCs w:val="21"/>
              </w:rPr>
            </w:pPr>
            <w:bookmarkStart w:id="8" w:name="_Ref221747704"/>
            <w:r>
              <w:rPr>
                <w:rFonts w:eastAsia="黑体"/>
                <w:szCs w:val="21"/>
              </w:rPr>
              <w:t>Huang J, Shao H, Chang KC. Are large pre-trained language models leaking your personal information?[C]// Findings of the Association for Computational Linguistics: ACL 2022. 2022: 18-31.</w:t>
            </w:r>
            <w:bookmarkEnd w:id="8"/>
          </w:p>
          <w:p w14:paraId="0E492DEF">
            <w:pPr>
              <w:pStyle w:val="15"/>
              <w:numPr>
                <w:ilvl w:val="0"/>
                <w:numId w:val="1"/>
              </w:numPr>
              <w:wordWrap w:val="0"/>
              <w:ind w:firstLineChars="0"/>
              <w:contextualSpacing/>
              <w:jc w:val="left"/>
              <w:rPr>
                <w:rFonts w:eastAsia="黑体"/>
                <w:szCs w:val="21"/>
              </w:rPr>
            </w:pPr>
            <w:bookmarkStart w:id="9" w:name="_Ref222949464"/>
            <w:r>
              <w:rPr>
                <w:rFonts w:eastAsia="黑体"/>
                <w:szCs w:val="21"/>
              </w:rPr>
              <w:t>Dwork C, Roth A. The algorithmic foundations of differential privacy[J]. Foundations and trends® in theoretical computer science, 2014, 9(3-4): 211-487.</w:t>
            </w:r>
            <w:bookmarkEnd w:id="9"/>
          </w:p>
          <w:p w14:paraId="79D227AE">
            <w:pPr>
              <w:pStyle w:val="15"/>
              <w:numPr>
                <w:ilvl w:val="0"/>
                <w:numId w:val="1"/>
              </w:numPr>
              <w:wordWrap w:val="0"/>
              <w:ind w:firstLineChars="0"/>
              <w:contextualSpacing/>
              <w:jc w:val="left"/>
              <w:rPr>
                <w:rFonts w:eastAsia="黑体"/>
                <w:szCs w:val="21"/>
              </w:rPr>
            </w:pPr>
            <w:r>
              <w:rPr>
                <w:rFonts w:eastAsia="黑体"/>
                <w:szCs w:val="21"/>
              </w:rPr>
              <w:t>Vadhan S. The complexity of differential privacy[M]//Tutorials on the Foundations of Cryptography: Dedicated to Oded Goldreich. Cham: Springer International Publishing, 2017: 347-450.</w:t>
            </w:r>
          </w:p>
          <w:p w14:paraId="4DC7F41E">
            <w:pPr>
              <w:pStyle w:val="15"/>
              <w:numPr>
                <w:ilvl w:val="0"/>
                <w:numId w:val="1"/>
              </w:numPr>
              <w:wordWrap w:val="0"/>
              <w:ind w:firstLineChars="0"/>
              <w:contextualSpacing/>
              <w:jc w:val="left"/>
              <w:rPr>
                <w:rFonts w:eastAsia="黑体"/>
                <w:szCs w:val="21"/>
              </w:rPr>
            </w:pPr>
            <w:r>
              <w:rPr>
                <w:rFonts w:hint="eastAsia" w:eastAsia="黑体"/>
                <w:szCs w:val="21"/>
              </w:rPr>
              <w:t>叶青青,孟小峰,朱敏杰,等.本地化差分隐私研究综述[J].软件学报,2018,29(07):1981-2005.DOI:10.13328/j.cnki.jos.005364.</w:t>
            </w:r>
          </w:p>
          <w:p w14:paraId="73005CB7">
            <w:pPr>
              <w:pStyle w:val="15"/>
              <w:numPr>
                <w:ilvl w:val="0"/>
                <w:numId w:val="1"/>
              </w:numPr>
              <w:wordWrap w:val="0"/>
              <w:ind w:firstLineChars="0"/>
              <w:contextualSpacing/>
              <w:jc w:val="left"/>
              <w:rPr>
                <w:rFonts w:eastAsia="黑体"/>
                <w:szCs w:val="21"/>
              </w:rPr>
            </w:pPr>
            <w:bookmarkStart w:id="10" w:name="_Ref221748131"/>
            <w:r>
              <w:rPr>
                <w:rFonts w:eastAsia="黑体"/>
                <w:szCs w:val="21"/>
              </w:rPr>
              <w:t>Abadi M, Chu A, Goodfellow I, et al. Deep learning with differential privacy [C]// Proceedings of the 2016 ACM SIGSAC Conference on Computer and Communications Security. 2016: 308-318.</w:t>
            </w:r>
            <w:bookmarkEnd w:id="10"/>
          </w:p>
          <w:p w14:paraId="6948CB34">
            <w:pPr>
              <w:pStyle w:val="15"/>
              <w:numPr>
                <w:ilvl w:val="0"/>
                <w:numId w:val="1"/>
              </w:numPr>
              <w:wordWrap w:val="0"/>
              <w:ind w:firstLineChars="0"/>
              <w:contextualSpacing/>
              <w:jc w:val="left"/>
              <w:rPr>
                <w:rFonts w:eastAsia="黑体"/>
                <w:szCs w:val="21"/>
              </w:rPr>
            </w:pPr>
            <w:bookmarkStart w:id="11" w:name="_Ref224241942"/>
            <w:r>
              <w:rPr>
                <w:rFonts w:eastAsia="黑体"/>
                <w:szCs w:val="21"/>
              </w:rPr>
              <w:t>Wu H, Fang W, Zheng Y, et al. Ditto: Quantization-aware Secure Inference of Transformers upon MPC[C]//International Conference on Machine Learning. PMLR, 2024: 53346-53365.</w:t>
            </w:r>
            <w:bookmarkEnd w:id="11"/>
          </w:p>
          <w:p w14:paraId="69993EC5">
            <w:pPr>
              <w:pStyle w:val="15"/>
              <w:numPr>
                <w:ilvl w:val="0"/>
                <w:numId w:val="1"/>
              </w:numPr>
              <w:wordWrap w:val="0"/>
              <w:ind w:firstLineChars="0"/>
              <w:contextualSpacing/>
              <w:jc w:val="left"/>
              <w:rPr>
                <w:rFonts w:hint="eastAsia" w:eastAsia="黑体"/>
                <w:szCs w:val="21"/>
              </w:rPr>
            </w:pPr>
            <w:bookmarkStart w:id="12" w:name="_Ref224242395"/>
            <w:r>
              <w:rPr>
                <w:rFonts w:eastAsia="黑体"/>
                <w:szCs w:val="21"/>
              </w:rPr>
              <w:t>Yao A C C. How to generate and exchange secrets extended abstract[C]//27th FOCS. 162-167.</w:t>
            </w:r>
            <w:bookmarkEnd w:id="12"/>
          </w:p>
          <w:p w14:paraId="74EAEB34">
            <w:pPr>
              <w:pStyle w:val="15"/>
              <w:numPr>
                <w:ilvl w:val="0"/>
                <w:numId w:val="1"/>
              </w:numPr>
              <w:wordWrap w:val="0"/>
              <w:ind w:firstLineChars="0"/>
              <w:contextualSpacing/>
              <w:jc w:val="left"/>
              <w:rPr>
                <w:rFonts w:eastAsia="黑体"/>
                <w:szCs w:val="21"/>
              </w:rPr>
            </w:pPr>
            <w:bookmarkStart w:id="13" w:name="_Ref224242008"/>
            <w:r>
              <w:rPr>
                <w:rFonts w:eastAsia="黑体"/>
                <w:szCs w:val="21"/>
              </w:rPr>
              <w:t>Hou X, Liu J, Li J, et al. Ciphergpt: Secure two-party gpt inference[J]. Cryptology ePrint Archive, 2023.</w:t>
            </w:r>
            <w:bookmarkEnd w:id="13"/>
          </w:p>
          <w:p w14:paraId="78990660">
            <w:pPr>
              <w:pStyle w:val="15"/>
              <w:numPr>
                <w:ilvl w:val="0"/>
                <w:numId w:val="1"/>
              </w:numPr>
              <w:wordWrap w:val="0"/>
              <w:ind w:firstLineChars="0"/>
              <w:contextualSpacing/>
              <w:jc w:val="left"/>
              <w:rPr>
                <w:rFonts w:eastAsia="黑体"/>
                <w:szCs w:val="21"/>
              </w:rPr>
            </w:pPr>
            <w:bookmarkStart w:id="14" w:name="_Ref224242107"/>
            <w:r>
              <w:rPr>
                <w:rFonts w:eastAsia="黑体"/>
                <w:szCs w:val="21"/>
              </w:rPr>
              <w:t>Zhou X, Lu Y, Ma R, et al. TextObfuscator: Making pre-trained language model a privacy protector via obfuscating word representations[C]//Findings of the association for computational linguistics: ACL 2023. 2023: 5459-5473.</w:t>
            </w:r>
            <w:bookmarkEnd w:id="14"/>
          </w:p>
          <w:p w14:paraId="711FD64D">
            <w:pPr>
              <w:pStyle w:val="15"/>
              <w:numPr>
                <w:ilvl w:val="0"/>
                <w:numId w:val="1"/>
              </w:numPr>
              <w:wordWrap w:val="0"/>
              <w:ind w:firstLineChars="0"/>
              <w:contextualSpacing/>
              <w:jc w:val="left"/>
              <w:rPr>
                <w:rFonts w:hint="eastAsia" w:eastAsia="黑体"/>
                <w:szCs w:val="21"/>
              </w:rPr>
            </w:pPr>
            <w:bookmarkStart w:id="15" w:name="_Ref224242151"/>
            <w:r>
              <w:rPr>
                <w:rFonts w:eastAsia="黑体"/>
                <w:szCs w:val="21"/>
              </w:rPr>
              <w:t>Du M, Yue X, Chow S S M, et al. Dp-forward: Fine-tuning and inference on language models with differential privacy in forward pass[C]//Proceedings of the 2023 ACM SIGSAC Conference on Computer and Communications Security. 2023: 2665-2679.</w:t>
            </w:r>
            <w:bookmarkEnd w:id="15"/>
          </w:p>
          <w:p w14:paraId="472D9650">
            <w:pPr>
              <w:pStyle w:val="6"/>
              <w:widowControl/>
              <w:numPr>
                <w:ilvl w:val="0"/>
                <w:numId w:val="1"/>
              </w:numPr>
              <w:wordWrap w:val="0"/>
              <w:spacing w:before="0" w:beforeAutospacing="0" w:after="0" w:afterAutospacing="0"/>
              <w:rPr>
                <w:rFonts w:eastAsia="黑体"/>
                <w:kern w:val="2"/>
                <w:sz w:val="21"/>
                <w:szCs w:val="21"/>
                <w14:ligatures w14:val="standardContextual"/>
              </w:rPr>
            </w:pPr>
            <w:bookmarkStart w:id="16" w:name="_Ref221746014"/>
            <w:r>
              <w:rPr>
                <w:rFonts w:eastAsia="黑体"/>
                <w:kern w:val="2"/>
                <w:sz w:val="21"/>
                <w:szCs w:val="21"/>
                <w14:ligatures w14:val="standardContextual"/>
              </w:rPr>
              <w:t>Yue X, Du M, Wang T, et al.</w:t>
            </w:r>
            <w:bookmarkStart w:id="17" w:name="OLE_LINK2"/>
            <w:r>
              <w:rPr>
                <w:rFonts w:eastAsia="黑体"/>
                <w:kern w:val="2"/>
                <w:sz w:val="21"/>
                <w:szCs w:val="21"/>
                <w14:ligatures w14:val="standardContextual"/>
              </w:rPr>
              <w:t xml:space="preserve"> Differential privacy for text analytics via natural text sanitization</w:t>
            </w:r>
            <w:bookmarkEnd w:id="17"/>
            <w:r>
              <w:rPr>
                <w:rFonts w:eastAsia="黑体"/>
                <w:kern w:val="2"/>
                <w:sz w:val="21"/>
                <w:szCs w:val="21"/>
                <w14:ligatures w14:val="standardContextual"/>
              </w:rPr>
              <w:t xml:space="preserve"> [C]// Findings of the Association for Computational Linguistics: ACL-IJCNLP 2021. 2021: 164-174.</w:t>
            </w:r>
            <w:bookmarkEnd w:id="16"/>
          </w:p>
          <w:p w14:paraId="49BDB086">
            <w:pPr>
              <w:pStyle w:val="15"/>
              <w:numPr>
                <w:ilvl w:val="0"/>
                <w:numId w:val="1"/>
              </w:numPr>
              <w:wordWrap w:val="0"/>
              <w:ind w:firstLineChars="0"/>
              <w:contextualSpacing/>
              <w:jc w:val="left"/>
              <w:rPr>
                <w:rFonts w:eastAsia="黑体"/>
                <w:szCs w:val="21"/>
              </w:rPr>
            </w:pPr>
            <w:bookmarkStart w:id="18" w:name="_Ref222949512"/>
            <w:r>
              <w:rPr>
                <w:rFonts w:eastAsia="黑体"/>
                <w:szCs w:val="21"/>
              </w:rPr>
              <w:t>Alvim M, Chatzikokolakis K, Palamidessi C, et al. Local differential privacy on metric spaces: optimizing the trade-off with utility[C]//2018 IEEE 31st Computer Security Foundations Symposium (CSF). IEEE, 2018: 262-267.</w:t>
            </w:r>
            <w:bookmarkEnd w:id="18"/>
          </w:p>
          <w:p w14:paraId="218A0B99">
            <w:pPr>
              <w:pStyle w:val="6"/>
              <w:widowControl/>
              <w:numPr>
                <w:ilvl w:val="0"/>
                <w:numId w:val="1"/>
              </w:numPr>
              <w:wordWrap w:val="0"/>
              <w:spacing w:before="0" w:beforeAutospacing="0" w:after="0" w:afterAutospacing="0"/>
              <w:rPr>
                <w:rFonts w:eastAsia="黑体"/>
                <w:kern w:val="2"/>
                <w:sz w:val="21"/>
                <w:szCs w:val="21"/>
                <w14:ligatures w14:val="standardContextual"/>
              </w:rPr>
            </w:pPr>
            <w:bookmarkStart w:id="19" w:name="_Ref221746035"/>
            <w:r>
              <w:rPr>
                <w:rFonts w:eastAsia="黑体"/>
                <w:kern w:val="2"/>
                <w:sz w:val="21"/>
                <w:szCs w:val="21"/>
                <w14:ligatures w14:val="standardContextual"/>
              </w:rPr>
              <w:t>Chen S, Mo F, Wang Y, et al. A customized text sanitization mechanism with differential privacy [C]// Findings of the Association for Computational Linguistics: ACL 2023. 2023: 3922-3935.</w:t>
            </w:r>
            <w:bookmarkEnd w:id="19"/>
          </w:p>
          <w:p w14:paraId="162B0886">
            <w:pPr>
              <w:pStyle w:val="15"/>
              <w:numPr>
                <w:ilvl w:val="0"/>
                <w:numId w:val="1"/>
              </w:numPr>
              <w:wordWrap w:val="0"/>
              <w:ind w:firstLineChars="0"/>
              <w:contextualSpacing/>
              <w:jc w:val="left"/>
              <w:rPr>
                <w:rFonts w:eastAsia="黑体"/>
                <w:szCs w:val="21"/>
              </w:rPr>
            </w:pPr>
            <w:bookmarkStart w:id="20" w:name="_Ref221746052"/>
            <w:r>
              <w:rPr>
                <w:rFonts w:eastAsia="黑体"/>
                <w:szCs w:val="21"/>
              </w:rPr>
              <w:t>Tong M, Chen K, Zhang J, et al. InferDPT: Privacy-preserving Inference for Black-box Large Language Models [J]. IEEE Transactions on Dependable and Secure Computing, 2025.</w:t>
            </w:r>
            <w:bookmarkEnd w:id="20"/>
          </w:p>
          <w:p w14:paraId="6A2D7FA2">
            <w:pPr>
              <w:pStyle w:val="15"/>
              <w:numPr>
                <w:ilvl w:val="0"/>
                <w:numId w:val="1"/>
              </w:numPr>
              <w:wordWrap w:val="0"/>
              <w:ind w:firstLineChars="0"/>
              <w:contextualSpacing/>
              <w:jc w:val="left"/>
              <w:rPr>
                <w:rFonts w:hint="eastAsia" w:eastAsia="黑体"/>
                <w:szCs w:val="21"/>
              </w:rPr>
            </w:pPr>
            <w:bookmarkStart w:id="21" w:name="_Ref222949570"/>
            <w:r>
              <w:rPr>
                <w:rFonts w:eastAsia="黑体"/>
                <w:szCs w:val="21"/>
              </w:rPr>
              <w:t>Wu H, Dai W, Li W, et al. Cape: Context-Aware Prompt Perturbation Mechanism with Differential Privacy[C]//Forty-second International Conference on Machine Learning.</w:t>
            </w:r>
            <w:bookmarkEnd w:id="3"/>
            <w:bookmarkEnd w:id="21"/>
          </w:p>
        </w:tc>
      </w:tr>
      <w:tr w14:paraId="5696D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0" w:hRule="atLeast"/>
        </w:trPr>
        <w:tc>
          <w:tcPr>
            <w:tcW w:w="8522" w:type="dxa"/>
            <w:gridSpan w:val="6"/>
          </w:tcPr>
          <w:p w14:paraId="526246CB">
            <w:pPr>
              <w:rPr>
                <w:b/>
                <w:bCs/>
              </w:rPr>
            </w:pPr>
            <w:r>
              <w:rPr>
                <w:b/>
                <w:bCs/>
              </w:rPr>
              <w:t>三</w:t>
            </w:r>
            <w:r>
              <w:rPr>
                <w:b/>
                <w:bCs/>
                <w:sz w:val="28"/>
              </w:rPr>
              <w:t>、</w:t>
            </w:r>
            <w:r>
              <w:rPr>
                <w:b/>
                <w:bCs/>
              </w:rPr>
              <w:t>研究或设计的国内外现状和发展趋势：</w:t>
            </w:r>
          </w:p>
          <w:p w14:paraId="08D240A6">
            <w:pPr>
              <w:spacing w:line="360" w:lineRule="auto"/>
              <w:ind w:firstLine="420" w:firstLineChars="200"/>
              <w:rPr>
                <w:kern w:val="0"/>
                <w:szCs w:val="21"/>
              </w:rPr>
            </w:pPr>
            <w:r>
              <w:rPr>
                <w:rFonts w:hint="eastAsia"/>
                <w:kern w:val="0"/>
                <w:szCs w:val="21"/>
              </w:rPr>
              <w:t>针对大模型推理阶段的隐私保护，现有研究主要沿两条技术路径展开：</w:t>
            </w:r>
          </w:p>
          <w:p w14:paraId="782F652C">
            <w:pPr>
              <w:spacing w:line="360" w:lineRule="auto"/>
              <w:ind w:firstLine="420" w:firstLineChars="200"/>
              <w:rPr>
                <w:kern w:val="0"/>
                <w:szCs w:val="21"/>
              </w:rPr>
            </w:pPr>
            <w:r>
              <w:rPr>
                <w:rFonts w:hint="eastAsia"/>
                <w:kern w:val="0"/>
                <w:szCs w:val="21"/>
              </w:rPr>
              <w:t>其一是</w:t>
            </w:r>
            <w:r>
              <w:rPr>
                <w:kern w:val="0"/>
                <w:szCs w:val="21"/>
              </w:rPr>
              <w:t>基于密码学的解决方案</w:t>
            </w:r>
            <w:r>
              <w:rPr>
                <w:rFonts w:hint="eastAsia"/>
                <w:kern w:val="0"/>
                <w:szCs w:val="21"/>
              </w:rPr>
              <w:t>，Wu</w:t>
            </w:r>
            <w:r>
              <w:rPr>
                <w:kern w:val="0"/>
                <w:szCs w:val="21"/>
                <w:vertAlign w:val="superscript"/>
              </w:rPr>
              <w:fldChar w:fldCharType="begin"/>
            </w:r>
            <w:r>
              <w:rPr>
                <w:kern w:val="0"/>
                <w:szCs w:val="21"/>
                <w:vertAlign w:val="superscript"/>
              </w:rPr>
              <w:instrText xml:space="preserve"> </w:instrText>
            </w:r>
            <w:r>
              <w:rPr>
                <w:rFonts w:hint="eastAsia"/>
                <w:kern w:val="0"/>
                <w:szCs w:val="21"/>
                <w:vertAlign w:val="superscript"/>
              </w:rPr>
              <w:instrText xml:space="preserve">REF _Ref224241942 \r \h</w:instrText>
            </w:r>
            <w:r>
              <w:rPr>
                <w:kern w:val="0"/>
                <w:szCs w:val="21"/>
                <w:vertAlign w:val="superscript"/>
              </w:rPr>
              <w:instrText xml:space="preserve">  \* MERGEFORMAT </w:instrText>
            </w:r>
            <w:r>
              <w:rPr>
                <w:kern w:val="0"/>
                <w:szCs w:val="21"/>
                <w:vertAlign w:val="superscript"/>
              </w:rPr>
              <w:fldChar w:fldCharType="separate"/>
            </w:r>
            <w:r>
              <w:rPr>
                <w:kern w:val="0"/>
                <w:szCs w:val="21"/>
                <w:vertAlign w:val="superscript"/>
              </w:rPr>
              <w:t>[12]</w:t>
            </w:r>
            <w:r>
              <w:rPr>
                <w:kern w:val="0"/>
                <w:szCs w:val="21"/>
                <w:vertAlign w:val="superscript"/>
              </w:rPr>
              <w:fldChar w:fldCharType="end"/>
            </w:r>
            <w:r>
              <w:rPr>
                <w:rFonts w:hint="eastAsia"/>
                <w:kern w:val="0"/>
                <w:szCs w:val="21"/>
              </w:rPr>
              <w:t xml:space="preserve"> 等人提出的 Ditto 框架，通过将量化技术与多方安全计算（MPC）</w:t>
            </w:r>
            <w:r>
              <w:rPr>
                <w:kern w:val="0"/>
                <w:szCs w:val="21"/>
                <w:vertAlign w:val="superscript"/>
              </w:rPr>
              <w:fldChar w:fldCharType="begin"/>
            </w:r>
            <w:r>
              <w:rPr>
                <w:kern w:val="0"/>
                <w:szCs w:val="21"/>
                <w:vertAlign w:val="superscript"/>
              </w:rPr>
              <w:instrText xml:space="preserve"> </w:instrText>
            </w:r>
            <w:r>
              <w:rPr>
                <w:rFonts w:hint="eastAsia"/>
                <w:kern w:val="0"/>
                <w:szCs w:val="21"/>
                <w:vertAlign w:val="superscript"/>
              </w:rPr>
              <w:instrText xml:space="preserve">REF _Ref224242395 \r \h</w:instrText>
            </w:r>
            <w:r>
              <w:rPr>
                <w:kern w:val="0"/>
                <w:szCs w:val="21"/>
                <w:vertAlign w:val="superscript"/>
              </w:rPr>
              <w:instrText xml:space="preserve">  \* MERGEFORMAT </w:instrText>
            </w:r>
            <w:r>
              <w:rPr>
                <w:kern w:val="0"/>
                <w:szCs w:val="21"/>
                <w:vertAlign w:val="superscript"/>
              </w:rPr>
              <w:fldChar w:fldCharType="separate"/>
            </w:r>
            <w:r>
              <w:rPr>
                <w:kern w:val="0"/>
                <w:szCs w:val="21"/>
                <w:vertAlign w:val="superscript"/>
              </w:rPr>
              <w:t>[13]</w:t>
            </w:r>
            <w:r>
              <w:rPr>
                <w:kern w:val="0"/>
                <w:szCs w:val="21"/>
                <w:vertAlign w:val="superscript"/>
              </w:rPr>
              <w:fldChar w:fldCharType="end"/>
            </w:r>
            <w:r>
              <w:rPr>
                <w:rFonts w:hint="eastAsia"/>
                <w:kern w:val="0"/>
                <w:szCs w:val="21"/>
              </w:rPr>
              <w:t>相结合，实现了针对 Transformer 架构的高效安全推理。Hou 等人</w:t>
            </w:r>
            <w:r>
              <w:rPr>
                <w:kern w:val="0"/>
                <w:szCs w:val="21"/>
                <w:vertAlign w:val="superscript"/>
              </w:rPr>
              <w:fldChar w:fldCharType="begin"/>
            </w:r>
            <w:r>
              <w:rPr>
                <w:kern w:val="0"/>
                <w:szCs w:val="21"/>
                <w:vertAlign w:val="superscript"/>
              </w:rPr>
              <w:instrText xml:space="preserve"> </w:instrText>
            </w:r>
            <w:r>
              <w:rPr>
                <w:rFonts w:hint="eastAsia"/>
                <w:kern w:val="0"/>
                <w:szCs w:val="21"/>
                <w:vertAlign w:val="superscript"/>
              </w:rPr>
              <w:instrText xml:space="preserve">REF _Ref224242008 \r \h</w:instrText>
            </w:r>
            <w:r>
              <w:rPr>
                <w:kern w:val="0"/>
                <w:szCs w:val="21"/>
                <w:vertAlign w:val="superscript"/>
              </w:rPr>
              <w:instrText xml:space="preserve">  \* MERGEFORMAT </w:instrText>
            </w:r>
            <w:r>
              <w:rPr>
                <w:kern w:val="0"/>
                <w:szCs w:val="21"/>
                <w:vertAlign w:val="superscript"/>
              </w:rPr>
              <w:fldChar w:fldCharType="separate"/>
            </w:r>
            <w:r>
              <w:rPr>
                <w:kern w:val="0"/>
                <w:szCs w:val="21"/>
                <w:vertAlign w:val="superscript"/>
              </w:rPr>
              <w:t>[14]</w:t>
            </w:r>
            <w:r>
              <w:rPr>
                <w:kern w:val="0"/>
                <w:szCs w:val="21"/>
                <w:vertAlign w:val="superscript"/>
              </w:rPr>
              <w:fldChar w:fldCharType="end"/>
            </w:r>
            <w:r>
              <w:rPr>
                <w:rFonts w:hint="eastAsia"/>
                <w:kern w:val="0"/>
                <w:szCs w:val="21"/>
              </w:rPr>
              <w:t>则开发了 CipherGPT 协议，利用同态加密技术，通过定制化的安全矩阵乘法和非线性激活函数（如 GELU）近似协议，大幅降低了安全两方推理的通信开销，并首次实现了安全的 Top-k 采样，为极高安全需求下的 LLM 应用提供了技术保障。虽然它们能提供极高的安全性，但其计算开销和通信延迟过高，在大语言模型（LLM）动辄数十亿参数的实时推理场景下，难以实现毫秒级的响应。</w:t>
            </w:r>
          </w:p>
          <w:p w14:paraId="5310A187">
            <w:pPr>
              <w:spacing w:line="360" w:lineRule="auto"/>
              <w:ind w:firstLine="420" w:firstLineChars="200"/>
              <w:rPr>
                <w:kern w:val="0"/>
                <w:szCs w:val="21"/>
              </w:rPr>
            </w:pPr>
            <w:r>
              <w:rPr>
                <w:rFonts w:hint="eastAsia"/>
                <w:kern w:val="0"/>
                <w:szCs w:val="21"/>
              </w:rPr>
              <w:t>其二是基于差分隐私（DP）的扰动方案。</w:t>
            </w:r>
            <w:r>
              <w:rPr>
                <w:kern w:val="0"/>
                <w:szCs w:val="21"/>
              </w:rPr>
              <w:t>通过在数据源头添加噪声来模糊敏感信息，以可控的精度损失换取高效的隐私保护。</w:t>
            </w:r>
            <w:r>
              <w:rPr>
                <w:rFonts w:hint="eastAsia"/>
                <w:kern w:val="0"/>
                <w:szCs w:val="21"/>
              </w:rPr>
              <w:t>在早期研究中，Abadi 等人</w:t>
            </w:r>
            <w:r>
              <w:rPr>
                <w:kern w:val="0"/>
                <w:szCs w:val="21"/>
                <w:vertAlign w:val="superscript"/>
              </w:rPr>
              <w:fldChar w:fldCharType="begin"/>
            </w:r>
            <w:r>
              <w:rPr>
                <w:kern w:val="0"/>
                <w:szCs w:val="21"/>
                <w:vertAlign w:val="superscript"/>
              </w:rPr>
              <w:instrText xml:space="preserve"> </w:instrText>
            </w:r>
            <w:r>
              <w:rPr>
                <w:rFonts w:hint="eastAsia"/>
                <w:kern w:val="0"/>
                <w:szCs w:val="21"/>
                <w:vertAlign w:val="superscript"/>
              </w:rPr>
              <w:instrText xml:space="preserve">REF _Ref221748131 \r \h</w:instrText>
            </w:r>
            <w:r>
              <w:rPr>
                <w:kern w:val="0"/>
                <w:szCs w:val="21"/>
                <w:vertAlign w:val="superscript"/>
              </w:rPr>
              <w:instrText xml:space="preserve">  \* MERGEFORMAT </w:instrText>
            </w:r>
            <w:r>
              <w:rPr>
                <w:kern w:val="0"/>
                <w:szCs w:val="21"/>
                <w:vertAlign w:val="superscript"/>
              </w:rPr>
              <w:fldChar w:fldCharType="separate"/>
            </w:r>
            <w:r>
              <w:rPr>
                <w:kern w:val="0"/>
                <w:szCs w:val="21"/>
                <w:vertAlign w:val="superscript"/>
              </w:rPr>
              <w:t>[11]</w:t>
            </w:r>
            <w:r>
              <w:rPr>
                <w:kern w:val="0"/>
                <w:szCs w:val="21"/>
                <w:vertAlign w:val="superscript"/>
              </w:rPr>
              <w:fldChar w:fldCharType="end"/>
            </w:r>
            <w:r>
              <w:rPr>
                <w:rFonts w:hint="eastAsia"/>
                <w:kern w:val="0"/>
                <w:szCs w:val="21"/>
              </w:rPr>
              <w:t>提出了差分隐私随机梯度下降（DP-SGD）算法，通过在模型微调阶段对梯度进行裁剪和加噪，在数学上严格保证了单个训练样本对模型的影响范围，为后续研究奠定了理论基础。</w:t>
            </w:r>
          </w:p>
          <w:p w14:paraId="165ADE3F">
            <w:pPr>
              <w:spacing w:line="360" w:lineRule="auto"/>
              <w:ind w:firstLine="420" w:firstLineChars="200"/>
              <w:rPr>
                <w:kern w:val="0"/>
                <w:szCs w:val="21"/>
              </w:rPr>
            </w:pPr>
            <w:r>
              <w:rPr>
                <w:rFonts w:hint="eastAsia"/>
                <w:kern w:val="0"/>
                <w:szCs w:val="21"/>
              </w:rPr>
              <w:t>本研究聚焦于后者，</w:t>
            </w:r>
            <w:r>
              <w:rPr>
                <w:kern w:val="0"/>
                <w:szCs w:val="21"/>
              </w:rPr>
              <w:t>根据对服务端模型的依赖程度和扰动对象的不同，现有的</w:t>
            </w:r>
            <w:r>
              <w:rPr>
                <w:rFonts w:hint="eastAsia"/>
                <w:kern w:val="0"/>
                <w:szCs w:val="21"/>
              </w:rPr>
              <w:t>基于</w:t>
            </w:r>
            <w:r>
              <w:rPr>
                <w:kern w:val="0"/>
                <w:szCs w:val="21"/>
              </w:rPr>
              <w:t xml:space="preserve"> DP 方案可进一步分为两类：</w:t>
            </w:r>
            <w:r>
              <w:rPr>
                <w:rFonts w:hint="eastAsia"/>
                <w:kern w:val="0"/>
                <w:szCs w:val="21"/>
              </w:rPr>
              <w:t xml:space="preserve"> </w:t>
            </w:r>
          </w:p>
          <w:p w14:paraId="490B7932">
            <w:pPr>
              <w:pStyle w:val="15"/>
              <w:numPr>
                <w:ilvl w:val="0"/>
                <w:numId w:val="2"/>
              </w:numPr>
              <w:ind w:firstLineChars="0"/>
              <w:rPr>
                <w:rFonts w:hint="eastAsia"/>
                <w:kern w:val="0"/>
                <w:szCs w:val="21"/>
              </w:rPr>
            </w:pPr>
            <w:r>
              <w:rPr>
                <w:rFonts w:hint="eastAsia"/>
                <w:kern w:val="0"/>
                <w:szCs w:val="21"/>
              </w:rPr>
              <w:t>基于白盒的混合执行的表示扰动方案</w:t>
            </w:r>
          </w:p>
          <w:p w14:paraId="179F0BFD">
            <w:pPr>
              <w:pStyle w:val="6"/>
              <w:widowControl/>
              <w:spacing w:before="0" w:beforeAutospacing="0" w:after="0" w:afterAutospacing="0" w:line="360" w:lineRule="auto"/>
              <w:ind w:firstLine="420" w:firstLineChars="200"/>
              <w:rPr>
                <w:rFonts w:hint="eastAsia"/>
                <w:sz w:val="21"/>
                <w:szCs w:val="21"/>
              </w:rPr>
            </w:pPr>
            <w:r>
              <w:rPr>
                <w:rFonts w:hint="eastAsia"/>
                <w:sz w:val="21"/>
                <w:szCs w:val="21"/>
              </w:rPr>
              <w:t>该方法通常将模型拆分为客户端和服务端两部分。客户端负责浅层计算并对中间层表示（Representation）添加噪声。如 Zhou等人</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 xml:space="preserve">REF _Ref224242107 \r \h</w:instrText>
            </w:r>
            <w:r>
              <w:rPr>
                <w:sz w:val="21"/>
                <w:szCs w:val="21"/>
                <w:vertAlign w:val="superscript"/>
              </w:rPr>
              <w:instrText xml:space="preserve">  \* MERGEFORMAT </w:instrText>
            </w:r>
            <w:r>
              <w:rPr>
                <w:sz w:val="21"/>
                <w:szCs w:val="21"/>
                <w:vertAlign w:val="superscript"/>
              </w:rPr>
              <w:fldChar w:fldCharType="separate"/>
            </w:r>
            <w:r>
              <w:rPr>
                <w:sz w:val="21"/>
                <w:szCs w:val="21"/>
                <w:vertAlign w:val="superscript"/>
              </w:rPr>
              <w:t>[15]</w:t>
            </w:r>
            <w:r>
              <w:rPr>
                <w:sz w:val="21"/>
                <w:szCs w:val="21"/>
                <w:vertAlign w:val="superscript"/>
              </w:rPr>
              <w:fldChar w:fldCharType="end"/>
            </w:r>
            <w:r>
              <w:rPr>
                <w:rFonts w:hint="eastAsia"/>
                <w:sz w:val="21"/>
                <w:szCs w:val="21"/>
              </w:rPr>
              <w:t>提出的 TextObfuscator 框架，通过对词表示进行聚类并在类簇中施加扰动，使敏感词在功能相似的表示簇中不可区分，增强了防御文本重建攻击的能力。Du等人</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 xml:space="preserve">REF _Ref224242151 \r \h</w:instrText>
            </w:r>
            <w:r>
              <w:rPr>
                <w:sz w:val="21"/>
                <w:szCs w:val="21"/>
                <w:vertAlign w:val="superscript"/>
              </w:rPr>
              <w:instrText xml:space="preserve">  \* MERGEFORMAT </w:instrText>
            </w:r>
            <w:r>
              <w:rPr>
                <w:sz w:val="21"/>
                <w:szCs w:val="21"/>
                <w:vertAlign w:val="superscript"/>
              </w:rPr>
              <w:fldChar w:fldCharType="separate"/>
            </w:r>
            <w:r>
              <w:rPr>
                <w:sz w:val="21"/>
                <w:szCs w:val="21"/>
                <w:vertAlign w:val="superscript"/>
              </w:rPr>
              <w:t>[16]</w:t>
            </w:r>
            <w:r>
              <w:rPr>
                <w:sz w:val="21"/>
                <w:szCs w:val="21"/>
                <w:vertAlign w:val="superscript"/>
              </w:rPr>
              <w:fldChar w:fldCharType="end"/>
            </w:r>
            <w:r>
              <w:rPr>
                <w:rFonts w:hint="eastAsia"/>
                <w:sz w:val="21"/>
                <w:szCs w:val="21"/>
              </w:rPr>
              <w:t>提出的 DP-Forward 机制则创新性地将噪声注入环节提前至前向传播阶段，解决了在超大规模模型上进行传统 DP-SGD</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 xml:space="preserve">REF _Ref221748131 \r \h</w:instrText>
            </w:r>
            <w:r>
              <w:rPr>
                <w:sz w:val="21"/>
                <w:szCs w:val="21"/>
                <w:vertAlign w:val="superscript"/>
              </w:rPr>
              <w:instrText xml:space="preserve">  \* MERGEFORMAT </w:instrText>
            </w:r>
            <w:r>
              <w:rPr>
                <w:sz w:val="21"/>
                <w:szCs w:val="21"/>
                <w:vertAlign w:val="superscript"/>
              </w:rPr>
              <w:fldChar w:fldCharType="separate"/>
            </w:r>
            <w:r>
              <w:rPr>
                <w:sz w:val="21"/>
                <w:szCs w:val="21"/>
                <w:vertAlign w:val="superscript"/>
              </w:rPr>
              <w:t>[11]</w:t>
            </w:r>
            <w:r>
              <w:rPr>
                <w:sz w:val="21"/>
                <w:szCs w:val="21"/>
                <w:vertAlign w:val="superscript"/>
              </w:rPr>
              <w:fldChar w:fldCharType="end"/>
            </w:r>
            <w:r>
              <w:rPr>
                <w:rFonts w:hint="eastAsia"/>
                <w:sz w:val="21"/>
                <w:szCs w:val="21"/>
              </w:rPr>
              <w:t xml:space="preserve"> 微调时面临的显存开销巨大及收敛困难等问题。此类方案的优点是扰动粒度精细，对下游任务影响较小；但缺点是要求客户端具备一定的计算能力以部署部分模型，且对模型结构存在强依赖。</w:t>
            </w:r>
          </w:p>
          <w:p w14:paraId="69668B9E">
            <w:pPr>
              <w:pStyle w:val="15"/>
              <w:numPr>
                <w:ilvl w:val="0"/>
                <w:numId w:val="3"/>
              </w:numPr>
              <w:ind w:firstLineChars="0"/>
              <w:rPr>
                <w:kern w:val="0"/>
                <w:szCs w:val="21"/>
              </w:rPr>
            </w:pPr>
            <w:r>
              <w:rPr>
                <w:rFonts w:hint="eastAsia"/>
                <w:kern w:val="0"/>
                <w:szCs w:val="21"/>
              </w:rPr>
              <w:t>基于黑盒模型推理的输入扰动方案</w:t>
            </w:r>
          </w:p>
          <w:p w14:paraId="07FF8BE1">
            <w:pPr>
              <w:pStyle w:val="6"/>
              <w:widowControl/>
              <w:spacing w:before="0" w:beforeAutospacing="0" w:after="0" w:afterAutospacing="0" w:line="360" w:lineRule="auto"/>
              <w:ind w:firstLine="420" w:firstLineChars="200"/>
              <w:rPr>
                <w:sz w:val="21"/>
                <w:szCs w:val="21"/>
              </w:rPr>
            </w:pPr>
            <w:r>
              <w:rPr>
                <w:rFonts w:hint="eastAsia"/>
                <w:sz w:val="21"/>
                <w:szCs w:val="21"/>
              </w:rPr>
              <w:t>该路径的核心在于直接对离散的输入文本进行脱敏。随着大模型通过商业 API 形式广泛部署，如何在无法访问模型内部参数的前提下保护提示词（Prompt）隐私成为研究新热点。</w:t>
            </w:r>
            <w:r>
              <w:rPr>
                <w:sz w:val="21"/>
                <w:szCs w:val="21"/>
              </w:rPr>
              <w:t>Yue 等人</w:t>
            </w:r>
            <w:r>
              <w:rPr>
                <w:sz w:val="21"/>
                <w:szCs w:val="21"/>
                <w:vertAlign w:val="superscript"/>
              </w:rPr>
              <w:fldChar w:fldCharType="begin"/>
            </w:r>
            <w:r>
              <w:rPr>
                <w:sz w:val="21"/>
                <w:szCs w:val="21"/>
                <w:vertAlign w:val="superscript"/>
              </w:rPr>
              <w:instrText xml:space="preserve"> REF _Ref221746014 \r \h  \* MERGEFORMAT </w:instrText>
            </w:r>
            <w:r>
              <w:rPr>
                <w:sz w:val="21"/>
                <w:szCs w:val="21"/>
                <w:vertAlign w:val="superscript"/>
              </w:rPr>
              <w:fldChar w:fldCharType="separate"/>
            </w:r>
            <w:r>
              <w:rPr>
                <w:sz w:val="21"/>
                <w:szCs w:val="21"/>
                <w:vertAlign w:val="superscript"/>
              </w:rPr>
              <w:t>[17]</w:t>
            </w:r>
            <w:r>
              <w:rPr>
                <w:sz w:val="21"/>
                <w:szCs w:val="21"/>
                <w:vertAlign w:val="superscript"/>
              </w:rPr>
              <w:fldChar w:fldCharType="end"/>
            </w:r>
            <w:r>
              <w:rPr>
                <w:sz w:val="21"/>
                <w:szCs w:val="21"/>
              </w:rPr>
              <w:t xml:space="preserve">提出了 </w:t>
            </w:r>
            <w:r>
              <w:rPr>
                <w:rStyle w:val="11"/>
                <w:b w:val="0"/>
                <w:sz w:val="21"/>
                <w:szCs w:val="21"/>
              </w:rPr>
              <w:t>SanText</w:t>
            </w:r>
            <w:r>
              <w:rPr>
                <w:sz w:val="21"/>
                <w:szCs w:val="21"/>
              </w:rPr>
              <w:t xml:space="preserve"> 框架，该框架利用度量本地差分隐私（MLDP）</w:t>
            </w:r>
            <w:r>
              <w:rPr>
                <w:sz w:val="21"/>
                <w:szCs w:val="21"/>
                <w:vertAlign w:val="superscript"/>
              </w:rPr>
              <w:fldChar w:fldCharType="begin"/>
            </w:r>
            <w:r>
              <w:rPr>
                <w:sz w:val="21"/>
                <w:szCs w:val="21"/>
                <w:vertAlign w:val="superscript"/>
              </w:rPr>
              <w:instrText xml:space="preserve"> REF _Ref222949512 \r \h  \* MERGEFORMAT </w:instrText>
            </w:r>
            <w:r>
              <w:rPr>
                <w:sz w:val="21"/>
                <w:szCs w:val="21"/>
                <w:vertAlign w:val="superscript"/>
              </w:rPr>
              <w:fldChar w:fldCharType="separate"/>
            </w:r>
            <w:r>
              <w:rPr>
                <w:sz w:val="21"/>
                <w:szCs w:val="21"/>
                <w:vertAlign w:val="superscript"/>
              </w:rPr>
              <w:t>[18]</w:t>
            </w:r>
            <w:r>
              <w:rPr>
                <w:sz w:val="21"/>
                <w:szCs w:val="21"/>
                <w:vertAlign w:val="superscript"/>
              </w:rPr>
              <w:fldChar w:fldCharType="end"/>
            </w:r>
            <w:r>
              <w:rPr>
                <w:sz w:val="21"/>
                <w:szCs w:val="21"/>
              </w:rPr>
              <w:t>在词向量空间内进行自然文本脱敏。其核心原理是根据</w:t>
            </w:r>
            <w:r>
              <w:rPr>
                <w:rFonts w:hint="eastAsia"/>
                <w:sz w:val="21"/>
                <w:szCs w:val="21"/>
              </w:rPr>
              <w:t>Token之</w:t>
            </w:r>
            <w:r>
              <w:rPr>
                <w:sz w:val="21"/>
                <w:szCs w:val="21"/>
              </w:rPr>
              <w:t>间的欧式距离构建概率映射矩阵，将敏感词替换为语义相近的非敏感词，并配合脱敏感知的微调策略，有效缓解了隐私强度与模型性能之间的矛盾。针对度量</w:t>
            </w:r>
            <w:r>
              <w:rPr>
                <w:rFonts w:hint="eastAsia"/>
                <w:sz w:val="21"/>
                <w:szCs w:val="21"/>
              </w:rPr>
              <w:t>空间</w:t>
            </w:r>
            <w:r>
              <w:rPr>
                <w:sz w:val="21"/>
                <w:szCs w:val="21"/>
              </w:rPr>
              <w:t>的局限性</w:t>
            </w:r>
            <w:r>
              <w:rPr>
                <w:rFonts w:hint="eastAsia"/>
                <w:sz w:val="21"/>
                <w:szCs w:val="21"/>
              </w:rPr>
              <w:t>（如余弦相似度不满足度量空间定义的三角不等式特性）</w:t>
            </w:r>
            <w:r>
              <w:rPr>
                <w:sz w:val="21"/>
                <w:szCs w:val="21"/>
              </w:rPr>
              <w:t>，Chen 等人</w:t>
            </w:r>
            <w:r>
              <w:rPr>
                <w:sz w:val="21"/>
                <w:szCs w:val="21"/>
                <w:vertAlign w:val="superscript"/>
              </w:rPr>
              <w:fldChar w:fldCharType="begin"/>
            </w:r>
            <w:r>
              <w:rPr>
                <w:sz w:val="21"/>
                <w:szCs w:val="21"/>
                <w:vertAlign w:val="superscript"/>
              </w:rPr>
              <w:instrText xml:space="preserve"> REF _Ref221746035 \r \h  \* MERGEFORMAT </w:instrText>
            </w:r>
            <w:r>
              <w:rPr>
                <w:sz w:val="21"/>
                <w:szCs w:val="21"/>
                <w:vertAlign w:val="superscript"/>
              </w:rPr>
              <w:fldChar w:fldCharType="separate"/>
            </w:r>
            <w:r>
              <w:rPr>
                <w:sz w:val="21"/>
                <w:szCs w:val="21"/>
                <w:vertAlign w:val="superscript"/>
              </w:rPr>
              <w:t>[19]</w:t>
            </w:r>
            <w:r>
              <w:rPr>
                <w:sz w:val="21"/>
                <w:szCs w:val="21"/>
                <w:vertAlign w:val="superscript"/>
              </w:rPr>
              <w:fldChar w:fldCharType="end"/>
            </w:r>
            <w:r>
              <w:rPr>
                <w:sz w:val="21"/>
                <w:szCs w:val="21"/>
              </w:rPr>
              <w:t xml:space="preserve">进一步开发了 </w:t>
            </w:r>
            <w:r>
              <w:rPr>
                <w:rStyle w:val="11"/>
                <w:b w:val="0"/>
                <w:sz w:val="21"/>
                <w:szCs w:val="21"/>
              </w:rPr>
              <w:t>CusText</w:t>
            </w:r>
            <w:r>
              <w:rPr>
                <w:sz w:val="21"/>
                <w:szCs w:val="21"/>
              </w:rPr>
              <w:t xml:space="preserve"> 定制化脱敏机制。该方法不再依赖全局统一的距离度量，而是为每个 Token 动态构建个性化的输出映射集合，通过优化采样概率分布，实现了在多种</w:t>
            </w:r>
            <w:r>
              <w:rPr>
                <w:rFonts w:hint="eastAsia"/>
                <w:sz w:val="21"/>
                <w:szCs w:val="21"/>
              </w:rPr>
              <w:t>语义</w:t>
            </w:r>
            <w:r>
              <w:rPr>
                <w:sz w:val="21"/>
                <w:szCs w:val="21"/>
              </w:rPr>
              <w:t>相似度标准下隐私与效用的更优平衡。</w:t>
            </w:r>
          </w:p>
          <w:p w14:paraId="1DD037F0">
            <w:pPr>
              <w:pStyle w:val="6"/>
              <w:widowControl/>
              <w:spacing w:before="0" w:beforeAutospacing="0" w:after="0" w:afterAutospacing="0" w:line="360" w:lineRule="auto"/>
              <w:ind w:firstLine="420" w:firstLineChars="200"/>
              <w:rPr>
                <w:sz w:val="21"/>
                <w:szCs w:val="21"/>
              </w:rPr>
            </w:pPr>
            <w:r>
              <w:rPr>
                <w:rFonts w:hint="eastAsia"/>
                <w:sz w:val="21"/>
                <w:szCs w:val="21"/>
              </w:rPr>
              <w:t>在黑盒生成任务方面，</w:t>
            </w:r>
            <w:r>
              <w:rPr>
                <w:sz w:val="21"/>
                <w:szCs w:val="21"/>
              </w:rPr>
              <w:t>Tong 等人</w:t>
            </w:r>
            <w:r>
              <w:rPr>
                <w:sz w:val="21"/>
                <w:szCs w:val="21"/>
                <w:vertAlign w:val="superscript"/>
              </w:rPr>
              <w:fldChar w:fldCharType="begin"/>
            </w:r>
            <w:r>
              <w:rPr>
                <w:sz w:val="21"/>
                <w:szCs w:val="21"/>
                <w:vertAlign w:val="superscript"/>
              </w:rPr>
              <w:instrText xml:space="preserve"> REF _Ref221746052 \r \h  \* MERGEFORMAT </w:instrText>
            </w:r>
            <w:r>
              <w:rPr>
                <w:sz w:val="21"/>
                <w:szCs w:val="21"/>
                <w:vertAlign w:val="superscript"/>
              </w:rPr>
              <w:fldChar w:fldCharType="separate"/>
            </w:r>
            <w:r>
              <w:rPr>
                <w:sz w:val="21"/>
                <w:szCs w:val="21"/>
                <w:vertAlign w:val="superscript"/>
              </w:rPr>
              <w:t>[20]</w:t>
            </w:r>
            <w:r>
              <w:rPr>
                <w:sz w:val="21"/>
                <w:szCs w:val="21"/>
                <w:vertAlign w:val="superscript"/>
              </w:rPr>
              <w:fldChar w:fldCharType="end"/>
            </w:r>
            <w:r>
              <w:rPr>
                <w:sz w:val="21"/>
                <w:szCs w:val="21"/>
              </w:rPr>
              <w:t>提出</w:t>
            </w:r>
            <w:r>
              <w:rPr>
                <w:rFonts w:hint="eastAsia"/>
                <w:sz w:val="21"/>
                <w:szCs w:val="21"/>
              </w:rPr>
              <w:t>的</w:t>
            </w:r>
            <w:r>
              <w:rPr>
                <w:sz w:val="21"/>
                <w:szCs w:val="21"/>
              </w:rPr>
              <w:t xml:space="preserve"> </w:t>
            </w:r>
            <w:r>
              <w:rPr>
                <w:rStyle w:val="11"/>
                <w:b w:val="0"/>
                <w:sz w:val="21"/>
                <w:szCs w:val="21"/>
              </w:rPr>
              <w:t>InferDPT</w:t>
            </w:r>
            <w:r>
              <w:rPr>
                <w:sz w:val="21"/>
                <w:szCs w:val="21"/>
              </w:rPr>
              <w:t xml:space="preserve"> 推理框架是首个针对黑盒大模型设计的</w:t>
            </w:r>
            <w:r>
              <w:rPr>
                <w:rFonts w:hint="eastAsia"/>
                <w:sz w:val="21"/>
                <w:szCs w:val="21"/>
              </w:rPr>
              <w:t>DP</w:t>
            </w:r>
            <w:r>
              <w:rPr>
                <w:sz w:val="21"/>
                <w:szCs w:val="21"/>
              </w:rPr>
              <w:t>文本生成框架。该框架包含“扰动模块”和“提取模块”：扰动模块利用随机邻接表机制（RanText）扩大混淆空间，通过替换敏感词生成扰动文本；提取模块则基于知识蒸馏的思想，从扰动后的模型输出中提取连贯且一致的原始语义信息，确保了生成任务的成功率。为了进一步优化隐私与效用的权衡，Wu 等人</w:t>
            </w:r>
            <w:r>
              <w:rPr>
                <w:sz w:val="21"/>
                <w:szCs w:val="21"/>
                <w:vertAlign w:val="superscript"/>
              </w:rPr>
              <w:fldChar w:fldCharType="begin"/>
            </w:r>
            <w:r>
              <w:rPr>
                <w:sz w:val="21"/>
                <w:szCs w:val="21"/>
                <w:vertAlign w:val="superscript"/>
              </w:rPr>
              <w:instrText xml:space="preserve"> REF _Ref222949570 \r \h  \* MERGEFORMAT </w:instrText>
            </w:r>
            <w:r>
              <w:rPr>
                <w:sz w:val="21"/>
                <w:szCs w:val="21"/>
                <w:vertAlign w:val="superscript"/>
              </w:rPr>
              <w:fldChar w:fldCharType="separate"/>
            </w:r>
            <w:r>
              <w:rPr>
                <w:sz w:val="21"/>
                <w:szCs w:val="21"/>
                <w:vertAlign w:val="superscript"/>
              </w:rPr>
              <w:t>[21]</w:t>
            </w:r>
            <w:r>
              <w:rPr>
                <w:sz w:val="21"/>
                <w:szCs w:val="21"/>
                <w:vertAlign w:val="superscript"/>
              </w:rPr>
              <w:fldChar w:fldCharType="end"/>
            </w:r>
            <w:r>
              <w:rPr>
                <w:sz w:val="21"/>
                <w:szCs w:val="21"/>
              </w:rPr>
              <w:t xml:space="preserve">提出了上下文感知的提示词扰动机制 </w:t>
            </w:r>
            <w:r>
              <w:rPr>
                <w:rStyle w:val="11"/>
                <w:b w:val="0"/>
                <w:sz w:val="21"/>
                <w:szCs w:val="21"/>
              </w:rPr>
              <w:t>Cape</w:t>
            </w:r>
            <w:r>
              <w:rPr>
                <w:sz w:val="21"/>
                <w:szCs w:val="21"/>
              </w:rPr>
              <w:t>。该工作引入了混合效用函数，能够更精准地捕捉 Token 间的复杂语义相似性，并针对大规模词表可能导致的长尾分布问题，设计了分桶采样机制。通过这种分段处理方式，Cape 在大幅提升推理效率的同时，显著降低了脱敏文本的语义偏离度。</w:t>
            </w:r>
          </w:p>
          <w:p w14:paraId="17EA8F42">
            <w:pPr>
              <w:pStyle w:val="6"/>
              <w:widowControl/>
              <w:spacing w:before="0" w:beforeAutospacing="0" w:after="0" w:afterAutospacing="0" w:line="360" w:lineRule="auto"/>
              <w:ind w:firstLine="420" w:firstLineChars="200"/>
              <w:rPr>
                <w:rFonts w:hint="eastAsia"/>
                <w:sz w:val="21"/>
                <w:szCs w:val="21"/>
              </w:rPr>
            </w:pPr>
            <w:r>
              <w:rPr>
                <w:sz w:val="21"/>
                <w:szCs w:val="21"/>
              </w:rPr>
              <w:t>此类黑盒方案无需访问模型内部参数，适配于当前的商业大模型 API 环境。然而，如何在极大的词表空间内实现更高效的概率采样，并进一步减少随机替换带来的语义逻辑损伤，仍是目前亟待解决的关键问题。</w:t>
            </w:r>
          </w:p>
          <w:p w14:paraId="0BAD7F51">
            <w:pPr>
              <w:numPr>
                <w:ilvl w:val="0"/>
                <w:numId w:val="4"/>
              </w:numPr>
              <w:spacing w:line="360" w:lineRule="auto"/>
              <w:rPr>
                <w:b/>
                <w:bCs/>
                <w:szCs w:val="21"/>
              </w:rPr>
            </w:pPr>
            <w:r>
              <w:rPr>
                <w:b/>
                <w:bCs/>
                <w:szCs w:val="21"/>
              </w:rPr>
              <w:t>发展趋势</w:t>
            </w:r>
            <w:r>
              <w:rPr>
                <w:rFonts w:hint="eastAsia"/>
                <w:b/>
                <w:bCs/>
                <w:szCs w:val="21"/>
              </w:rPr>
              <w:t xml:space="preserve"> </w:t>
            </w:r>
          </w:p>
          <w:p w14:paraId="19F9EF44">
            <w:pPr>
              <w:pStyle w:val="6"/>
              <w:widowControl/>
              <w:spacing w:before="0" w:beforeAutospacing="0" w:after="0" w:afterAutospacing="0" w:line="360" w:lineRule="auto"/>
              <w:ind w:firstLine="210" w:firstLineChars="100"/>
              <w:rPr>
                <w:sz w:val="21"/>
                <w:szCs w:val="21"/>
              </w:rPr>
            </w:pPr>
            <w:r>
              <w:rPr>
                <w:sz w:val="21"/>
                <w:szCs w:val="21"/>
              </w:rPr>
              <w:t>综合当前研究现状，基于差分隐私的提示词保护技术正呈现出以下发展趋势：</w:t>
            </w:r>
          </w:p>
          <w:p w14:paraId="245CB6F5">
            <w:pPr>
              <w:pStyle w:val="15"/>
              <w:numPr>
                <w:ilvl w:val="0"/>
                <w:numId w:val="5"/>
              </w:numPr>
              <w:spacing w:line="360" w:lineRule="auto"/>
              <w:ind w:firstLineChars="0"/>
              <w:rPr>
                <w:kern w:val="0"/>
                <w:szCs w:val="21"/>
                <w:lang w:bidi="ar"/>
              </w:rPr>
            </w:pPr>
            <w:r>
              <w:rPr>
                <w:rFonts w:hint="eastAsia"/>
                <w:kern w:val="0"/>
                <w:szCs w:val="21"/>
                <w:lang w:bidi="ar"/>
              </w:rPr>
              <w:t>策略动态化：针对多用户、多任务场景，探索支持动态隐私预算分配的通用采样机制，以平衡个性化隐私需求与系统效率。</w:t>
            </w:r>
          </w:p>
          <w:p w14:paraId="08CA4E4F">
            <w:pPr>
              <w:pStyle w:val="15"/>
              <w:numPr>
                <w:ilvl w:val="0"/>
                <w:numId w:val="5"/>
              </w:numPr>
              <w:spacing w:line="360" w:lineRule="auto"/>
              <w:ind w:firstLineChars="0"/>
              <w:rPr>
                <w:kern w:val="0"/>
                <w:szCs w:val="21"/>
                <w:lang w:bidi="ar"/>
              </w:rPr>
            </w:pPr>
            <w:r>
              <w:rPr>
                <w:rFonts w:hint="eastAsia"/>
                <w:kern w:val="0"/>
                <w:szCs w:val="21"/>
                <w:lang w:bidi="ar"/>
              </w:rPr>
              <w:t>采样高效化：通过离线预建高效索引与在线轻量级映射，解决大规模语料下的采样延迟，实现毫秒级的隐私推理响应。</w:t>
            </w:r>
          </w:p>
          <w:p w14:paraId="141DCEE5">
            <w:pPr>
              <w:pStyle w:val="15"/>
              <w:numPr>
                <w:ilvl w:val="0"/>
                <w:numId w:val="5"/>
              </w:numPr>
              <w:spacing w:line="360" w:lineRule="auto"/>
              <w:ind w:firstLineChars="0"/>
              <w:rPr>
                <w:rFonts w:hint="eastAsia"/>
                <w:kern w:val="0"/>
                <w:szCs w:val="21"/>
                <w:lang w:bidi="ar"/>
              </w:rPr>
            </w:pPr>
            <w:r>
              <w:rPr>
                <w:rFonts w:hint="eastAsia"/>
                <w:kern w:val="0"/>
                <w:szCs w:val="21"/>
                <w:lang w:bidi="ar"/>
              </w:rPr>
              <w:t>效用最优化：在不依赖模型白盒信息的条件下，通过精细化采样策略最大限度减少语义偏差，确保隐私加噪后的文本在生成任务中依然具备高准确度。</w:t>
            </w:r>
          </w:p>
        </w:tc>
      </w:tr>
      <w:tr w14:paraId="3810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8522" w:type="dxa"/>
            <w:gridSpan w:val="6"/>
          </w:tcPr>
          <w:p w14:paraId="73C889DE">
            <w:pPr>
              <w:pStyle w:val="6"/>
              <w:widowControl/>
              <w:spacing w:before="0" w:beforeAutospacing="0" w:after="0" w:afterAutospacing="0" w:line="360" w:lineRule="auto"/>
              <w:rPr>
                <w:b/>
                <w:bCs/>
                <w:sz w:val="21"/>
                <w:szCs w:val="21"/>
              </w:rPr>
            </w:pPr>
            <w:bookmarkStart w:id="22" w:name="OLE_LINK1"/>
            <w:r>
              <w:rPr>
                <w:b/>
                <w:bCs/>
                <w:sz w:val="21"/>
                <w:szCs w:val="21"/>
              </w:rPr>
              <w:t>四、主要研究或设计内容，需要解决的关键问题和思路：</w:t>
            </w:r>
          </w:p>
          <w:bookmarkEnd w:id="22"/>
          <w:p w14:paraId="6F5E0B46">
            <w:pPr>
              <w:pStyle w:val="6"/>
              <w:widowControl/>
              <w:spacing w:before="0" w:beforeAutospacing="0" w:after="0" w:afterAutospacing="0" w:line="360" w:lineRule="auto"/>
              <w:ind w:firstLine="422" w:firstLineChars="200"/>
              <w:rPr>
                <w:b/>
                <w:bCs/>
                <w:sz w:val="21"/>
                <w:szCs w:val="21"/>
              </w:rPr>
            </w:pPr>
            <w:bookmarkStart w:id="23" w:name="OLE_LINK9"/>
            <w:r>
              <w:rPr>
                <w:b/>
                <w:bCs/>
                <w:sz w:val="21"/>
                <w:szCs w:val="21"/>
              </w:rPr>
              <w:t xml:space="preserve">1. </w:t>
            </w:r>
            <w:bookmarkStart w:id="24" w:name="OLE_LINK10"/>
            <w:r>
              <w:rPr>
                <w:b/>
                <w:bCs/>
                <w:sz w:val="21"/>
                <w:szCs w:val="21"/>
              </w:rPr>
              <w:t>主要研究内容</w:t>
            </w:r>
          </w:p>
          <w:p w14:paraId="5D3E5EC3">
            <w:pPr>
              <w:pStyle w:val="6"/>
              <w:widowControl/>
              <w:spacing w:before="0" w:beforeAutospacing="0" w:after="0" w:afterAutospacing="0" w:line="360" w:lineRule="auto"/>
              <w:ind w:firstLine="420" w:firstLineChars="200"/>
              <w:rPr>
                <w:sz w:val="21"/>
                <w:szCs w:val="21"/>
              </w:rPr>
            </w:pPr>
            <w:r>
              <w:rPr>
                <w:sz w:val="21"/>
                <w:szCs w:val="21"/>
              </w:rPr>
              <w:t>针对现有文本差分隐私（DP）机制在处理大规模词表时计算开销大（需实时计算全词表Embedding距离）的痛点，本研究拟设计一种通用型高效提示词扰动框架。具体研究内容如下：</w:t>
            </w:r>
          </w:p>
          <w:p w14:paraId="7ED5D6C6">
            <w:pPr>
              <w:pStyle w:val="6"/>
              <w:widowControl/>
              <w:spacing w:before="0" w:beforeAutospacing="0" w:after="0" w:afterAutospacing="0" w:line="360" w:lineRule="auto"/>
              <w:ind w:firstLine="420" w:firstLineChars="200"/>
              <w:rPr>
                <w:sz w:val="21"/>
                <w:szCs w:val="21"/>
              </w:rPr>
            </w:pPr>
            <w:r>
              <w:rPr>
                <w:sz w:val="21"/>
                <w:szCs w:val="21"/>
              </w:rPr>
              <w:t>（1）基于</w:t>
            </w:r>
            <w:r>
              <w:rPr>
                <w:rFonts w:hint="eastAsia"/>
                <w:sz w:val="21"/>
                <w:szCs w:val="21"/>
              </w:rPr>
              <w:t xml:space="preserve">多级预设隐私强度的候选空间构建技术：针对在线推理阶段实时计算全词表向量距离导致的显著延迟问题，研究“以空间换时间”的离线预处理方案。选取若干具有代表性的隐私预算值（如 </w:t>
            </w:r>
            <m:oMath>
              <m:r>
                <m:rPr>
                  <m:sty m:val="p"/>
                </m:rPr>
                <w:rPr>
                  <w:rFonts w:ascii="Cambria Math" w:hAnsi="Cambria Math"/>
                  <w:sz w:val="21"/>
                  <w:szCs w:val="21"/>
                </w:rPr>
                <m:t>ϵ</m:t>
              </m:r>
              <m:r>
                <m:rPr>
                  <m:sty m:val="p"/>
                </m:rPr>
                <w:rPr>
                  <w:rFonts w:hint="eastAsia" w:ascii="Cambria Math" w:hAnsi="Cambria Math"/>
                  <w:sz w:val="21"/>
                  <w:szCs w:val="21"/>
                </w:rPr>
                <m:t xml:space="preserve">=1, </m:t>
              </m:r>
              <m:r>
                <m:rPr>
                  <m:sty m:val="p"/>
                </m:rPr>
                <w:rPr>
                  <w:rFonts w:ascii="Cambria Math" w:hAnsi="Cambria Math"/>
                  <w:sz w:val="21"/>
                  <w:szCs w:val="21"/>
                </w:rPr>
                <m:t>2</m:t>
              </m:r>
              <m:r>
                <m:rPr>
                  <m:sty m:val="p"/>
                </m:rPr>
                <w:rPr>
                  <w:rFonts w:hint="eastAsia" w:ascii="Cambria Math" w:hAnsi="Cambria Math"/>
                  <w:sz w:val="21"/>
                  <w:szCs w:val="21"/>
                </w:rPr>
                <m:t xml:space="preserve">, </m:t>
              </m:r>
              <m:r>
                <m:rPr>
                  <m:sty m:val="p"/>
                </m:rPr>
                <w:rPr>
                  <w:rFonts w:ascii="Cambria Math" w:hAnsi="Cambria Math"/>
                  <w:sz w:val="21"/>
                  <w:szCs w:val="21"/>
                </w:rPr>
                <m:t>4,8</m:t>
              </m:r>
              <m:r>
                <m:rPr>
                  <m:sty m:val="p"/>
                </m:rPr>
                <w:rPr>
                  <w:rFonts w:hint="eastAsia" w:ascii="Cambria Math" w:hAnsi="Cambria Math"/>
                  <w:sz w:val="21"/>
                  <w:szCs w:val="21"/>
                </w:rPr>
                <m:t xml:space="preserve"> </m:t>
              </m:r>
            </m:oMath>
            <w:r>
              <w:rPr>
                <w:rFonts w:hint="eastAsia"/>
                <w:sz w:val="21"/>
                <w:szCs w:val="21"/>
              </w:rPr>
              <w:t>等）作为预设隐私等级。针对每个等级，利用指数机制提前计算词表中每个 Token 的候选替换集合。</w:t>
            </w:r>
          </w:p>
          <w:p w14:paraId="2D1F5FFE">
            <w:pPr>
              <w:pStyle w:val="6"/>
              <w:widowControl/>
              <w:spacing w:before="0" w:beforeAutospacing="0" w:after="0" w:afterAutospacing="0" w:line="360" w:lineRule="auto"/>
              <w:ind w:firstLine="420" w:firstLineChars="200"/>
              <w:rPr>
                <w:sz w:val="21"/>
                <w:szCs w:val="21"/>
              </w:rPr>
            </w:pPr>
            <w:r>
              <w:rPr>
                <w:sz w:val="21"/>
                <w:szCs w:val="21"/>
              </w:rPr>
              <w:t>（2）支持动态预算调节的自适应概率采样算法研究</w:t>
            </w:r>
            <w:r>
              <w:rPr>
                <w:rFonts w:hint="eastAsia"/>
                <w:sz w:val="21"/>
                <w:szCs w:val="21"/>
              </w:rPr>
              <w:t xml:space="preserve">：针对用户个性化且连续变化的隐私预算需求，研究如何利用有限的离线预设等级实现对任意指定预算 </w:t>
            </w:r>
            <m:oMath>
              <m:r>
                <m:rPr>
                  <m:sty m:val="p"/>
                </m:rPr>
                <w:rPr>
                  <w:rFonts w:ascii="Cambria Math" w:hAnsi="Cambria Math"/>
                  <w:sz w:val="21"/>
                  <w:szCs w:val="21"/>
                </w:rPr>
                <m:t>ϵ</m:t>
              </m:r>
            </m:oMath>
            <w:r>
              <w:rPr>
                <w:rFonts w:hint="eastAsia"/>
                <w:sz w:val="21"/>
                <w:szCs w:val="21"/>
              </w:rPr>
              <w:t xml:space="preserve"> 的动态响应。当用户要求的预算值 </w:t>
            </w:r>
            <m:oMath>
              <m:sSup>
                <m:sSupPr>
                  <m:ctrlPr>
                    <w:rPr>
                      <w:rFonts w:ascii="Cambria Math" w:hAnsi="Cambria Math"/>
                      <w:sz w:val="21"/>
                      <w:szCs w:val="21"/>
                    </w:rPr>
                  </m:ctrlPr>
                </m:sSupPr>
                <m:e>
                  <m:r>
                    <m:rPr>
                      <m:sty m:val="p"/>
                    </m:rPr>
                    <w:rPr>
                      <w:rFonts w:ascii="Cambria Math" w:hAnsi="Cambria Math"/>
                      <w:sz w:val="21"/>
                      <w:szCs w:val="21"/>
                    </w:rPr>
                    <m:t>ϵ</m:t>
                  </m:r>
                  <m:ctrlPr>
                    <w:rPr>
                      <w:rFonts w:ascii="Cambria Math" w:hAnsi="Cambria Math"/>
                      <w:sz w:val="21"/>
                      <w:szCs w:val="21"/>
                    </w:rPr>
                  </m:ctrlPr>
                </m:e>
                <m:sup>
                  <m:r>
                    <m:rPr>
                      <m:sty m:val="p"/>
                    </m:rPr>
                    <w:rPr>
                      <w:rFonts w:ascii="Cambria Math" w:hAnsi="Cambria Math"/>
                      <w:sz w:val="21"/>
                      <w:szCs w:val="21"/>
                    </w:rPr>
                    <m:t>'</m:t>
                  </m:r>
                  <m:ctrlPr>
                    <w:rPr>
                      <w:rFonts w:ascii="Cambria Math" w:hAnsi="Cambria Math"/>
                      <w:sz w:val="21"/>
                      <w:szCs w:val="21"/>
                    </w:rPr>
                  </m:ctrlPr>
                </m:sup>
              </m:sSup>
            </m:oMath>
            <w:r>
              <w:rPr>
                <w:rFonts w:hint="eastAsia"/>
                <w:sz w:val="21"/>
                <w:szCs w:val="21"/>
              </w:rPr>
              <w:t xml:space="preserve">处于两个预设等级（如 </w:t>
            </w:r>
            <m:oMath>
              <m:r>
                <m:rPr>
                  <m:sty m:val="p"/>
                </m:rPr>
                <w:rPr>
                  <w:rFonts w:ascii="Cambria Math" w:hAnsi="Cambria Math"/>
                  <w:sz w:val="21"/>
                  <w:szCs w:val="21"/>
                </w:rPr>
                <m:t>ϵ</m:t>
              </m:r>
              <m:r>
                <m:rPr>
                  <m:sty m:val="p"/>
                </m:rPr>
                <w:rPr>
                  <w:rFonts w:hint="eastAsia" w:ascii="Cambria Math" w:hAnsi="Cambria Math"/>
                  <w:sz w:val="21"/>
                  <w:szCs w:val="21"/>
                </w:rPr>
                <m:t>=2</m:t>
              </m:r>
            </m:oMath>
            <w:r>
              <w:rPr>
                <w:rFonts w:hint="eastAsia"/>
                <w:sz w:val="21"/>
                <w:szCs w:val="21"/>
              </w:rPr>
              <w:t xml:space="preserve"> 和 </w:t>
            </w:r>
            <m:oMath>
              <m:r>
                <m:rPr>
                  <m:sty m:val="p"/>
                </m:rPr>
                <w:rPr>
                  <w:rFonts w:ascii="Cambria Math" w:hAnsi="Cambria Math"/>
                  <w:sz w:val="21"/>
                  <w:szCs w:val="21"/>
                </w:rPr>
                <m:t>ϵ</m:t>
              </m:r>
              <m:r>
                <m:rPr>
                  <m:sty m:val="p"/>
                </m:rPr>
                <w:rPr>
                  <w:rFonts w:hint="eastAsia" w:ascii="Cambria Math" w:hAnsi="Cambria Math"/>
                  <w:sz w:val="21"/>
                  <w:szCs w:val="21"/>
                </w:rPr>
                <m:t>=4</m:t>
              </m:r>
            </m:oMath>
            <w:r>
              <w:rPr>
                <w:rFonts w:hint="eastAsia"/>
                <w:sz w:val="21"/>
                <w:szCs w:val="21"/>
              </w:rPr>
              <w:t>）之间时，研究一种基于概率加权的采样算法。通过数学推导确定从相邻两个预设集合中抽取的比例，确保最终输出在统计分布上严格符合用户要求的隐私强度。在确定采样权重后，进一步研究如何在不增加在线计算负担的前提下，通过对候选词进行轻量级过滤，降低随机采样对提示词逻辑连贯性的破坏，提升下游任务的准确度。</w:t>
            </w:r>
          </w:p>
          <w:p w14:paraId="42E8B9C8">
            <w:pPr>
              <w:pStyle w:val="6"/>
              <w:widowControl/>
              <w:spacing w:before="0" w:beforeAutospacing="0" w:after="0" w:afterAutospacing="0" w:line="360" w:lineRule="auto"/>
              <w:ind w:firstLine="420" w:firstLineChars="200"/>
              <w:rPr>
                <w:sz w:val="21"/>
                <w:szCs w:val="21"/>
              </w:rPr>
            </w:pPr>
            <w:r>
              <w:rPr>
                <w:sz w:val="21"/>
                <w:szCs w:val="21"/>
              </w:rPr>
              <w:t>（3）效率与准确性的平衡验证实验：在典型大模型推理任务（如情感分析）下，量化分析新机制对推理时延的降低程度，并验证扰动后提示词在LLM下游任务中的准确率保持情况。</w:t>
            </w:r>
          </w:p>
          <w:bookmarkEnd w:id="23"/>
          <w:p w14:paraId="02368E86">
            <w:pPr>
              <w:pStyle w:val="6"/>
              <w:widowControl/>
              <w:spacing w:before="0" w:beforeAutospacing="0" w:after="0" w:afterAutospacing="0" w:line="360" w:lineRule="auto"/>
              <w:ind w:firstLine="422" w:firstLineChars="200"/>
              <w:rPr>
                <w:b/>
                <w:bCs/>
                <w:sz w:val="21"/>
                <w:szCs w:val="21"/>
              </w:rPr>
            </w:pPr>
            <w:r>
              <w:rPr>
                <w:b/>
                <w:bCs/>
                <w:sz w:val="21"/>
                <w:szCs w:val="21"/>
              </w:rPr>
              <w:t>2. 需要解决的关键问题</w:t>
            </w:r>
            <w:r>
              <w:rPr>
                <w:rFonts w:hint="eastAsia"/>
                <w:b/>
                <w:bCs/>
                <w:sz w:val="21"/>
                <w:szCs w:val="21"/>
              </w:rPr>
              <w:t>和思路</w:t>
            </w:r>
          </w:p>
          <w:p w14:paraId="02065F5C">
            <w:pPr>
              <w:pStyle w:val="6"/>
              <w:widowControl/>
              <w:spacing w:before="0" w:beforeAutospacing="0" w:after="0" w:afterAutospacing="0" w:line="360" w:lineRule="auto"/>
              <w:ind w:firstLine="420" w:firstLineChars="200"/>
              <w:rPr>
                <w:sz w:val="21"/>
                <w:szCs w:val="21"/>
              </w:rPr>
            </w:pPr>
            <w:r>
              <w:rPr>
                <w:sz w:val="21"/>
                <w:szCs w:val="21"/>
              </w:rPr>
              <w:t>（1）预生成集合的完备性与存储开销平衡：如何</w:t>
            </w:r>
            <w:bookmarkStart w:id="27" w:name="_GoBack"/>
            <w:bookmarkEnd w:id="27"/>
            <w:r>
              <w:rPr>
                <w:sz w:val="21"/>
                <w:szCs w:val="21"/>
              </w:rPr>
              <w:t>设计索引结构，既能覆盖绝大多数输入词汇，又能使离线存储的候选词空间不至于过大。</w:t>
            </w:r>
          </w:p>
          <w:p w14:paraId="4984F423">
            <w:pPr>
              <w:pStyle w:val="6"/>
              <w:widowControl/>
              <w:spacing w:before="0" w:beforeAutospacing="0" w:after="0" w:afterAutospacing="0" w:line="360" w:lineRule="auto"/>
              <w:ind w:firstLine="420" w:firstLineChars="200"/>
              <w:rPr>
                <w:sz w:val="21"/>
                <w:szCs w:val="21"/>
              </w:rPr>
            </w:pPr>
            <w:r>
              <w:rPr>
                <w:sz w:val="21"/>
                <w:szCs w:val="21"/>
              </w:rPr>
              <w:t>（2）</w:t>
            </w:r>
            <w:r>
              <w:rPr>
                <w:rFonts w:hint="eastAsia"/>
                <w:sz w:val="21"/>
                <w:szCs w:val="21"/>
              </w:rPr>
              <w:t>动态隐私预算下的概率分配模型推导：这是本研究的核心理论难点。当用户需求的隐私预算</w:t>
            </w:r>
            <m:oMath>
              <m:sSup>
                <m:sSupPr>
                  <m:ctrlPr>
                    <w:rPr>
                      <w:rFonts w:ascii="Cambria Math" w:hAnsi="Cambria Math"/>
                      <w:sz w:val="21"/>
                      <w:szCs w:val="21"/>
                    </w:rPr>
                  </m:ctrlPr>
                </m:sSupPr>
                <m:e>
                  <m:r>
                    <m:rPr>
                      <m:sty m:val="p"/>
                    </m:rPr>
                    <w:rPr>
                      <w:rFonts w:ascii="Cambria Math" w:hAnsi="Cambria Math"/>
                      <w:sz w:val="21"/>
                      <w:szCs w:val="21"/>
                    </w:rPr>
                    <m:t>ϵ</m:t>
                  </m:r>
                  <m:ctrlPr>
                    <w:rPr>
                      <w:rFonts w:ascii="Cambria Math" w:hAnsi="Cambria Math"/>
                      <w:sz w:val="21"/>
                      <w:szCs w:val="21"/>
                    </w:rPr>
                  </m:ctrlPr>
                </m:e>
                <m:sup>
                  <m:r>
                    <m:rPr>
                      <m:sty m:val="p"/>
                    </m:rPr>
                    <w:rPr>
                      <w:rFonts w:ascii="Cambria Math" w:hAnsi="Cambria Math"/>
                      <w:sz w:val="21"/>
                      <w:szCs w:val="21"/>
                    </w:rPr>
                    <m:t>'</m:t>
                  </m:r>
                  <m:ctrlPr>
                    <w:rPr>
                      <w:rFonts w:ascii="Cambria Math" w:hAnsi="Cambria Math"/>
                      <w:sz w:val="21"/>
                      <w:szCs w:val="21"/>
                    </w:rPr>
                  </m:ctrlPr>
                </m:sup>
              </m:sSup>
            </m:oMath>
            <w:r>
              <w:rPr>
                <w:rFonts w:hint="eastAsia"/>
                <w:sz w:val="21"/>
                <w:szCs w:val="21"/>
              </w:rPr>
              <w:t xml:space="preserve">处于两个预设等级之间时，如何通过数学证明和推导，确定一套严谨的概率加权分配算法，使得通过概率组合产生的随机化输出，在数学定义上能够严格等价于 </w:t>
            </w:r>
            <m:oMath>
              <m:sSup>
                <m:sSupPr>
                  <m:ctrlPr>
                    <w:rPr>
                      <w:rFonts w:ascii="Cambria Math" w:hAnsi="Cambria Math"/>
                      <w:sz w:val="21"/>
                      <w:szCs w:val="21"/>
                    </w:rPr>
                  </m:ctrlPr>
                </m:sSupPr>
                <m:e>
                  <m:r>
                    <m:rPr>
                      <m:sty m:val="p"/>
                    </m:rPr>
                    <w:rPr>
                      <w:rFonts w:ascii="Cambria Math" w:hAnsi="Cambria Math"/>
                      <w:sz w:val="21"/>
                      <w:szCs w:val="21"/>
                    </w:rPr>
                    <m:t>ϵ</m:t>
                  </m:r>
                  <m:ctrlPr>
                    <w:rPr>
                      <w:rFonts w:ascii="Cambria Math" w:hAnsi="Cambria Math"/>
                      <w:sz w:val="21"/>
                      <w:szCs w:val="21"/>
                    </w:rPr>
                  </m:ctrlPr>
                </m:e>
                <m:sup>
                  <m:r>
                    <m:rPr>
                      <m:sty m:val="p"/>
                    </m:rPr>
                    <w:rPr>
                      <w:rFonts w:ascii="Cambria Math" w:hAnsi="Cambria Math"/>
                      <w:sz w:val="21"/>
                      <w:szCs w:val="21"/>
                    </w:rPr>
                    <m:t>'</m:t>
                  </m:r>
                  <m:ctrlPr>
                    <w:rPr>
                      <w:rFonts w:ascii="Cambria Math" w:hAnsi="Cambria Math"/>
                      <w:sz w:val="21"/>
                      <w:szCs w:val="21"/>
                    </w:rPr>
                  </m:ctrlPr>
                </m:sup>
              </m:sSup>
            </m:oMath>
            <w:r>
              <w:rPr>
                <w:rFonts w:hint="eastAsia"/>
                <w:sz w:val="21"/>
                <w:szCs w:val="21"/>
              </w:rPr>
              <w:t>-DP，避免产生隐私泄露风险。</w:t>
            </w:r>
          </w:p>
          <w:p w14:paraId="682191D2">
            <w:pPr>
              <w:pStyle w:val="6"/>
              <w:widowControl/>
              <w:spacing w:before="0" w:beforeAutospacing="0" w:after="0" w:afterAutospacing="0" w:line="360" w:lineRule="auto"/>
              <w:ind w:firstLine="420" w:firstLineChars="200"/>
              <w:rPr>
                <w:sz w:val="21"/>
                <w:szCs w:val="21"/>
              </w:rPr>
            </w:pPr>
            <w:r>
              <w:rPr>
                <w:sz w:val="21"/>
                <w:szCs w:val="21"/>
              </w:rPr>
              <w:t>（3）语义损失的最小化控制：如何在不进行实时全词表Embedding计算的前提下，仅依靠预生成的候选集和中间采样层，实现</w:t>
            </w:r>
            <w:r>
              <w:rPr>
                <w:rFonts w:hint="eastAsia"/>
                <w:sz w:val="21"/>
                <w:szCs w:val="21"/>
              </w:rPr>
              <w:t>较</w:t>
            </w:r>
            <w:r>
              <w:rPr>
                <w:sz w:val="21"/>
                <w:szCs w:val="21"/>
              </w:rPr>
              <w:t>高的语义保留度。</w:t>
            </w:r>
            <w:bookmarkEnd w:id="24"/>
          </w:p>
          <w:p w14:paraId="586BBBCB">
            <w:pPr>
              <w:pStyle w:val="6"/>
              <w:widowControl/>
              <w:spacing w:before="0" w:beforeAutospacing="0" w:after="0" w:afterAutospacing="0" w:line="360" w:lineRule="auto"/>
              <w:ind w:firstLine="420" w:firstLineChars="200"/>
              <w:rPr>
                <w:rFonts w:hint="eastAsia"/>
                <w:sz w:val="21"/>
                <w:szCs w:val="21"/>
              </w:rPr>
            </w:pPr>
          </w:p>
        </w:tc>
      </w:tr>
      <w:tr w14:paraId="64537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5" w:hRule="atLeast"/>
        </w:trPr>
        <w:tc>
          <w:tcPr>
            <w:tcW w:w="8522" w:type="dxa"/>
            <w:gridSpan w:val="6"/>
            <w:tcBorders>
              <w:bottom w:val="single" w:color="auto" w:sz="4" w:space="0"/>
            </w:tcBorders>
          </w:tcPr>
          <w:p w14:paraId="64F9DF68">
            <w:pPr>
              <w:rPr>
                <w:b/>
                <w:bCs/>
                <w:sz w:val="28"/>
              </w:rPr>
            </w:pPr>
            <w:r>
              <w:rPr>
                <w:b/>
                <w:bCs/>
              </w:rPr>
              <w:t>五、完成毕业论文（设计）所必须具备的工作条件及解决的办法</w:t>
            </w:r>
            <w:r>
              <w:rPr>
                <w:b/>
                <w:bCs/>
                <w:sz w:val="28"/>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3"/>
              <w:gridCol w:w="3544"/>
              <w:gridCol w:w="3223"/>
            </w:tblGrid>
            <w:tr w14:paraId="6E04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 w:type="dxa"/>
                </w:tcPr>
                <w:p w14:paraId="06E70D77">
                  <w:pPr>
                    <w:jc w:val="center"/>
                    <w:rPr>
                      <w:szCs w:val="21"/>
                    </w:rPr>
                  </w:pPr>
                  <w:r>
                    <w:rPr>
                      <w:szCs w:val="21"/>
                    </w:rPr>
                    <w:t>类别</w:t>
                  </w:r>
                </w:p>
              </w:tc>
              <w:tc>
                <w:tcPr>
                  <w:tcW w:w="3544" w:type="dxa"/>
                </w:tcPr>
                <w:p w14:paraId="68FC3FAE">
                  <w:pPr>
                    <w:jc w:val="center"/>
                    <w:rPr>
                      <w:szCs w:val="21"/>
                    </w:rPr>
                  </w:pPr>
                  <w:r>
                    <w:rPr>
                      <w:szCs w:val="21"/>
                    </w:rPr>
                    <w:t>必须具备的工作条件</w:t>
                  </w:r>
                </w:p>
              </w:tc>
              <w:tc>
                <w:tcPr>
                  <w:tcW w:w="3223" w:type="dxa"/>
                </w:tcPr>
                <w:p w14:paraId="3023F1EB">
                  <w:pPr>
                    <w:jc w:val="center"/>
                    <w:rPr>
                      <w:szCs w:val="21"/>
                    </w:rPr>
                  </w:pPr>
                  <w:r>
                    <w:rPr>
                      <w:szCs w:val="21"/>
                    </w:rPr>
                    <w:t>解决办法</w:t>
                  </w:r>
                </w:p>
              </w:tc>
            </w:tr>
            <w:tr w14:paraId="33F7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 w:type="dxa"/>
                </w:tcPr>
                <w:p w14:paraId="419276A9">
                  <w:pPr>
                    <w:jc w:val="center"/>
                    <w:rPr>
                      <w:szCs w:val="21"/>
                    </w:rPr>
                  </w:pPr>
                  <w:r>
                    <w:rPr>
                      <w:szCs w:val="21"/>
                    </w:rPr>
                    <w:t>理论知识</w:t>
                  </w:r>
                </w:p>
              </w:tc>
              <w:tc>
                <w:tcPr>
                  <w:tcW w:w="3544" w:type="dxa"/>
                </w:tcPr>
                <w:p w14:paraId="2ADF0F95">
                  <w:pPr>
                    <w:jc w:val="center"/>
                    <w:rPr>
                      <w:szCs w:val="21"/>
                    </w:rPr>
                  </w:pPr>
                  <w:r>
                    <w:rPr>
                      <w:szCs w:val="21"/>
                    </w:rPr>
                    <w:t>掌握差分隐私（DP）基本定义、指数机制及文本脱敏 SOTA 算法。</w:t>
                  </w:r>
                </w:p>
              </w:tc>
              <w:tc>
                <w:tcPr>
                  <w:tcW w:w="3223" w:type="dxa"/>
                </w:tcPr>
                <w:p w14:paraId="4A6586F8">
                  <w:pPr>
                    <w:jc w:val="center"/>
                    <w:rPr>
                      <w:szCs w:val="21"/>
                    </w:rPr>
                  </w:pPr>
                  <w:r>
                    <w:rPr>
                      <w:szCs w:val="21"/>
                    </w:rPr>
                    <w:t>研读经典论文，推导隐私预算证明过程，参与指导老师讨论。</w:t>
                  </w:r>
                </w:p>
              </w:tc>
            </w:tr>
            <w:tr w14:paraId="1D9B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 w:type="dxa"/>
                </w:tcPr>
                <w:p w14:paraId="3F0D7F88">
                  <w:pPr>
                    <w:jc w:val="center"/>
                    <w:rPr>
                      <w:szCs w:val="21"/>
                    </w:rPr>
                  </w:pPr>
                  <w:r>
                    <w:rPr>
                      <w:szCs w:val="21"/>
                    </w:rPr>
                    <w:t>实验平台</w:t>
                  </w:r>
                </w:p>
              </w:tc>
              <w:tc>
                <w:tcPr>
                  <w:tcW w:w="3544" w:type="dxa"/>
                </w:tcPr>
                <w:p w14:paraId="03E26A17">
                  <w:pPr>
                    <w:jc w:val="center"/>
                    <w:rPr>
                      <w:szCs w:val="21"/>
                    </w:rPr>
                  </w:pPr>
                  <w:r>
                    <w:rPr>
                      <w:szCs w:val="21"/>
                    </w:rPr>
                    <w:t>具备支持深度学习运算的硬件（GPU）及 Python 开发环境。</w:t>
                  </w:r>
                </w:p>
              </w:tc>
              <w:tc>
                <w:tcPr>
                  <w:tcW w:w="3223" w:type="dxa"/>
                </w:tcPr>
                <w:p w14:paraId="200C9421">
                  <w:pPr>
                    <w:jc w:val="center"/>
                    <w:rPr>
                      <w:szCs w:val="21"/>
                    </w:rPr>
                  </w:pPr>
                  <w:r>
                    <w:rPr>
                      <w:szCs w:val="21"/>
                    </w:rPr>
                    <w:t>配置 CUDA 加速环境；若本地资源不足则申请实验室服务器或使用云算力。</w:t>
                  </w:r>
                </w:p>
              </w:tc>
            </w:tr>
            <w:tr w14:paraId="1B0D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 w:type="dxa"/>
                </w:tcPr>
                <w:p w14:paraId="6E40CADD">
                  <w:pPr>
                    <w:jc w:val="center"/>
                    <w:rPr>
                      <w:szCs w:val="21"/>
                    </w:rPr>
                  </w:pPr>
                  <w:r>
                    <w:rPr>
                      <w:szCs w:val="21"/>
                    </w:rPr>
                    <w:t>数据资源</w:t>
                  </w:r>
                </w:p>
              </w:tc>
              <w:tc>
                <w:tcPr>
                  <w:tcW w:w="3544" w:type="dxa"/>
                </w:tcPr>
                <w:p w14:paraId="46B3856F">
                  <w:pPr>
                    <w:jc w:val="center"/>
                    <w:rPr>
                      <w:szCs w:val="21"/>
                    </w:rPr>
                  </w:pPr>
                  <w:r>
                    <w:rPr>
                      <w:szCs w:val="21"/>
                    </w:rPr>
                    <w:t>公开的 NLP 基准测试集及包含敏感信息的模拟数据集。</w:t>
                  </w:r>
                </w:p>
              </w:tc>
              <w:tc>
                <w:tcPr>
                  <w:tcW w:w="3223" w:type="dxa"/>
                </w:tcPr>
                <w:p w14:paraId="7012C49E">
                  <w:pPr>
                    <w:jc w:val="center"/>
                    <w:rPr>
                      <w:szCs w:val="21"/>
                    </w:rPr>
                  </w:pPr>
                  <w:r>
                    <w:rPr>
                      <w:szCs w:val="21"/>
                    </w:rPr>
                    <w:t>从 GLUE 等基准库下载，并利用预定义敏感词库进行标注。</w:t>
                  </w:r>
                </w:p>
              </w:tc>
            </w:tr>
            <w:tr w14:paraId="4C76B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 w:type="dxa"/>
                </w:tcPr>
                <w:p w14:paraId="7F0A7D50">
                  <w:pPr>
                    <w:jc w:val="center"/>
                    <w:rPr>
                      <w:szCs w:val="21"/>
                    </w:rPr>
                  </w:pPr>
                  <w:r>
                    <w:rPr>
                      <w:szCs w:val="21"/>
                    </w:rPr>
                    <w:t>模型调用</w:t>
                  </w:r>
                </w:p>
              </w:tc>
              <w:tc>
                <w:tcPr>
                  <w:tcW w:w="3544" w:type="dxa"/>
                </w:tcPr>
                <w:p w14:paraId="5076564E">
                  <w:pPr>
                    <w:jc w:val="center"/>
                    <w:rPr>
                      <w:szCs w:val="21"/>
                    </w:rPr>
                  </w:pPr>
                  <w:r>
                    <w:rPr>
                      <w:szCs w:val="21"/>
                    </w:rPr>
                    <w:t>可访问的大语言模型（LLM）API 或本地部署的开源模型。</w:t>
                  </w:r>
                </w:p>
              </w:tc>
              <w:tc>
                <w:tcPr>
                  <w:tcW w:w="3223" w:type="dxa"/>
                </w:tcPr>
                <w:p w14:paraId="66D9CC12">
                  <w:pPr>
                    <w:jc w:val="center"/>
                    <w:rPr>
                      <w:szCs w:val="21"/>
                    </w:rPr>
                  </w:pPr>
                  <w:bookmarkStart w:id="25" w:name="OLE_LINK4"/>
                  <w:r>
                    <w:rPr>
                      <w:szCs w:val="21"/>
                    </w:rPr>
                    <w:t xml:space="preserve">申请 OpenAI/DashScope API </w:t>
                  </w:r>
                  <w:bookmarkEnd w:id="25"/>
                  <w:r>
                    <w:rPr>
                      <w:szCs w:val="21"/>
                    </w:rPr>
                    <w:t>密钥，或在本地部署 Llama-3-8B 等轻量级模型。</w:t>
                  </w:r>
                </w:p>
              </w:tc>
            </w:tr>
          </w:tbl>
          <w:p w14:paraId="5927BB91">
            <w:pPr>
              <w:rPr>
                <w:sz w:val="24"/>
              </w:rPr>
            </w:pPr>
          </w:p>
        </w:tc>
      </w:tr>
      <w:tr w14:paraId="2047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trPr>
        <w:tc>
          <w:tcPr>
            <w:tcW w:w="8522" w:type="dxa"/>
            <w:gridSpan w:val="6"/>
          </w:tcPr>
          <w:p w14:paraId="20520DE6">
            <w:pPr>
              <w:rPr>
                <w:sz w:val="24"/>
              </w:rPr>
            </w:pPr>
            <w:r>
              <w:rPr>
                <w:b/>
                <w:bCs/>
              </w:rPr>
              <w:t>六</w:t>
            </w:r>
            <w:bookmarkStart w:id="26" w:name="OLE_LINK5"/>
            <w:r>
              <w:rPr>
                <w:b/>
                <w:bCs/>
              </w:rPr>
              <w:t>、工作的主要阶段、进度与时间安排</w:t>
            </w:r>
            <w:r>
              <w:rPr>
                <w:sz w:val="24"/>
              </w:rPr>
              <w:t>：</w:t>
            </w:r>
            <w:bookmarkEnd w:id="26"/>
          </w:p>
          <w:p w14:paraId="3C101876">
            <w:pPr>
              <w:pStyle w:val="15"/>
              <w:numPr>
                <w:ilvl w:val="0"/>
                <w:numId w:val="6"/>
              </w:numPr>
              <w:spacing w:line="360" w:lineRule="auto"/>
              <w:ind w:firstLineChars="0"/>
              <w:rPr>
                <w:kern w:val="0"/>
                <w:szCs w:val="21"/>
              </w:rPr>
            </w:pPr>
            <w:r>
              <w:rPr>
                <w:b/>
                <w:bCs/>
                <w:kern w:val="0"/>
                <w:szCs w:val="21"/>
              </w:rPr>
              <w:t>第一阶段</w:t>
            </w:r>
            <w:r>
              <w:rPr>
                <w:rFonts w:hint="eastAsia"/>
                <w:b/>
                <w:bCs/>
                <w:kern w:val="0"/>
                <w:szCs w:val="21"/>
                <w:lang w:eastAsia="zh-CN"/>
              </w:rPr>
              <w:t>（</w:t>
            </w:r>
            <w:r>
              <w:rPr>
                <w:rFonts w:hint="eastAsia"/>
                <w:b/>
                <w:bCs/>
                <w:kern w:val="0"/>
                <w:szCs w:val="21"/>
                <w:lang w:val="en-US" w:eastAsia="zh-CN"/>
              </w:rPr>
              <w:t>3月</w:t>
            </w:r>
            <w:r>
              <w:rPr>
                <w:rFonts w:hint="eastAsia"/>
                <w:b/>
                <w:bCs/>
                <w:kern w:val="0"/>
                <w:szCs w:val="21"/>
                <w:lang w:eastAsia="zh-CN"/>
              </w:rPr>
              <w:t>）</w:t>
            </w:r>
            <w:r>
              <w:rPr>
                <w:kern w:val="0"/>
                <w:szCs w:val="21"/>
              </w:rPr>
              <w:t>：数学模型构建与需求分析，完成算法的需求分析报告，确立改进算法的数学模型以及隐私性证明思路。</w:t>
            </w:r>
          </w:p>
          <w:p w14:paraId="38F566A6">
            <w:pPr>
              <w:pStyle w:val="15"/>
              <w:numPr>
                <w:ilvl w:val="0"/>
                <w:numId w:val="6"/>
              </w:numPr>
              <w:spacing w:line="360" w:lineRule="auto"/>
              <w:ind w:firstLineChars="0"/>
              <w:rPr>
                <w:kern w:val="0"/>
                <w:szCs w:val="21"/>
              </w:rPr>
            </w:pPr>
            <w:r>
              <w:rPr>
                <w:b/>
                <w:bCs/>
                <w:kern w:val="0"/>
                <w:szCs w:val="21"/>
              </w:rPr>
              <w:t>第二阶段</w:t>
            </w:r>
            <w:r>
              <w:rPr>
                <w:rFonts w:hint="eastAsia"/>
                <w:b/>
                <w:bCs/>
                <w:kern w:val="0"/>
                <w:szCs w:val="21"/>
                <w:lang w:eastAsia="zh-CN"/>
              </w:rPr>
              <w:t>（</w:t>
            </w:r>
            <w:r>
              <w:rPr>
                <w:rFonts w:hint="eastAsia"/>
                <w:b/>
                <w:bCs/>
                <w:kern w:val="0"/>
                <w:szCs w:val="21"/>
                <w:lang w:val="en-US" w:eastAsia="zh-CN"/>
              </w:rPr>
              <w:t>4月</w:t>
            </w:r>
            <w:r>
              <w:rPr>
                <w:rFonts w:hint="eastAsia"/>
                <w:b/>
                <w:bCs/>
                <w:kern w:val="0"/>
                <w:szCs w:val="21"/>
                <w:lang w:eastAsia="zh-CN"/>
              </w:rPr>
              <w:t>）</w:t>
            </w:r>
            <w:r>
              <w:rPr>
                <w:kern w:val="0"/>
                <w:szCs w:val="21"/>
              </w:rPr>
              <w:t>：算法详细设计与理论推导，完成算法详细设计文档，给出算法伪代码以及核心计算逻辑的数学推导。</w:t>
            </w:r>
          </w:p>
          <w:p w14:paraId="421DE8F1">
            <w:pPr>
              <w:pStyle w:val="15"/>
              <w:numPr>
                <w:ilvl w:val="0"/>
                <w:numId w:val="6"/>
              </w:numPr>
              <w:spacing w:line="360" w:lineRule="auto"/>
              <w:ind w:firstLineChars="0"/>
              <w:rPr>
                <w:kern w:val="0"/>
                <w:szCs w:val="21"/>
              </w:rPr>
            </w:pPr>
            <w:r>
              <w:rPr>
                <w:b/>
                <w:bCs/>
                <w:kern w:val="0"/>
                <w:szCs w:val="21"/>
              </w:rPr>
              <w:t>第三阶段</w:t>
            </w:r>
            <w:r>
              <w:rPr>
                <w:rFonts w:hint="eastAsia"/>
                <w:b/>
                <w:bCs/>
                <w:kern w:val="0"/>
                <w:szCs w:val="21"/>
                <w:lang w:eastAsia="zh-CN"/>
              </w:rPr>
              <w:t>（</w:t>
            </w:r>
            <w:r>
              <w:rPr>
                <w:rFonts w:hint="eastAsia"/>
                <w:b/>
                <w:bCs/>
                <w:kern w:val="0"/>
                <w:szCs w:val="21"/>
                <w:lang w:val="en-US" w:eastAsia="zh-CN"/>
              </w:rPr>
              <w:t>4月-5月</w:t>
            </w:r>
            <w:r>
              <w:rPr>
                <w:rFonts w:hint="eastAsia"/>
                <w:b/>
                <w:bCs/>
                <w:kern w:val="0"/>
                <w:szCs w:val="21"/>
                <w:lang w:eastAsia="zh-CN"/>
              </w:rPr>
              <w:t>）</w:t>
            </w:r>
            <w:r>
              <w:rPr>
                <w:kern w:val="0"/>
                <w:szCs w:val="21"/>
              </w:rPr>
              <w:t>：算法编码实现与仿真实验，完成全部算法代码，获取支撑论文结论的完整数据图表。</w:t>
            </w:r>
          </w:p>
          <w:p w14:paraId="19D5205F">
            <w:pPr>
              <w:pStyle w:val="15"/>
              <w:numPr>
                <w:ilvl w:val="0"/>
                <w:numId w:val="6"/>
              </w:numPr>
              <w:spacing w:line="360" w:lineRule="auto"/>
              <w:ind w:firstLineChars="0"/>
              <w:rPr>
                <w:kern w:val="0"/>
                <w:szCs w:val="21"/>
              </w:rPr>
            </w:pPr>
            <w:r>
              <w:rPr>
                <w:b/>
                <w:bCs/>
                <w:kern w:val="0"/>
                <w:szCs w:val="21"/>
              </w:rPr>
              <w:t>第四阶段</w:t>
            </w:r>
            <w:r>
              <w:rPr>
                <w:rFonts w:hint="eastAsia"/>
                <w:b/>
                <w:bCs/>
                <w:kern w:val="0"/>
                <w:szCs w:val="21"/>
                <w:lang w:eastAsia="zh-CN"/>
              </w:rPr>
              <w:t>（</w:t>
            </w:r>
            <w:r>
              <w:rPr>
                <w:rFonts w:hint="eastAsia"/>
                <w:b/>
                <w:bCs/>
                <w:kern w:val="0"/>
                <w:szCs w:val="21"/>
                <w:lang w:val="en-US" w:eastAsia="zh-CN"/>
              </w:rPr>
              <w:t>5月-6月初</w:t>
            </w:r>
            <w:r>
              <w:rPr>
                <w:rFonts w:hint="eastAsia"/>
                <w:b/>
                <w:bCs/>
                <w:kern w:val="0"/>
                <w:szCs w:val="21"/>
                <w:lang w:eastAsia="zh-CN"/>
              </w:rPr>
              <w:t>）</w:t>
            </w:r>
            <w:r>
              <w:rPr>
                <w:kern w:val="0"/>
                <w:szCs w:val="21"/>
              </w:rPr>
              <w:t>：论文撰写与学术总结，提交毕业论文终稿，制作答辩PPT，并完成答辩。</w:t>
            </w:r>
          </w:p>
        </w:tc>
      </w:tr>
      <w:tr w14:paraId="6021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trPr>
        <w:tc>
          <w:tcPr>
            <w:tcW w:w="8522" w:type="dxa"/>
            <w:gridSpan w:val="6"/>
          </w:tcPr>
          <w:p w14:paraId="75406502">
            <w:pPr>
              <w:rPr>
                <w:b/>
                <w:szCs w:val="21"/>
              </w:rPr>
            </w:pPr>
            <w:r>
              <w:rPr>
                <w:b/>
                <w:szCs w:val="21"/>
              </w:rPr>
              <w:t>导师意见和建议：</w:t>
            </w:r>
          </w:p>
          <w:p w14:paraId="426FFF6D">
            <w:pPr>
              <w:rPr>
                <w:b/>
                <w:szCs w:val="21"/>
              </w:rPr>
            </w:pPr>
          </w:p>
          <w:p w14:paraId="5DA6E29F">
            <w:pPr>
              <w:rPr>
                <w:b/>
                <w:szCs w:val="21"/>
              </w:rPr>
            </w:pPr>
          </w:p>
          <w:p w14:paraId="6650C86C">
            <w:pPr>
              <w:rPr>
                <w:b/>
                <w:szCs w:val="21"/>
              </w:rPr>
            </w:pPr>
          </w:p>
          <w:p w14:paraId="5FC6647F">
            <w:pPr>
              <w:rPr>
                <w:b/>
                <w:szCs w:val="21"/>
              </w:rPr>
            </w:pPr>
          </w:p>
          <w:p w14:paraId="7A8E696B">
            <w:pPr>
              <w:rPr>
                <w:b/>
                <w:szCs w:val="21"/>
              </w:rPr>
            </w:pPr>
          </w:p>
          <w:p w14:paraId="6F1051DF">
            <w:pPr>
              <w:rPr>
                <w:b/>
                <w:szCs w:val="21"/>
              </w:rPr>
            </w:pPr>
          </w:p>
        </w:tc>
      </w:tr>
    </w:tbl>
    <w:p w14:paraId="0C6AF36D">
      <w:pPr>
        <w:rPr>
          <w:szCs w:val="21"/>
        </w:rPr>
      </w:pPr>
    </w:p>
    <w:p w14:paraId="7E094701">
      <w:pPr>
        <w:rPr>
          <w:szCs w:val="21"/>
        </w:rPr>
      </w:pPr>
      <w:r>
        <w:rPr>
          <w:szCs w:val="21"/>
        </w:rPr>
        <w:t>说明：1、论文（设计）类型：A—理论研究；B—应用研究；C—设计等；</w:t>
      </w:r>
    </w:p>
    <w:p w14:paraId="44F5EA39">
      <w:r>
        <w:rPr>
          <w:szCs w:val="21"/>
        </w:rPr>
        <w:t xml:space="preserve">      2、</w:t>
      </w:r>
      <w:r>
        <w:t>指来源于科研项目、生产/社会实际或实验室建设等。</w:t>
      </w:r>
    </w:p>
    <w:sectPr>
      <w:pgSz w:w="11906" w:h="16838"/>
      <w:pgMar w:top="1091"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E97CF0"/>
    <w:multiLevelType w:val="multilevel"/>
    <w:tmpl w:val="10E97CF0"/>
    <w:lvl w:ilvl="0" w:tentative="0">
      <w:start w:val="1"/>
      <w:numFmt w:val="decimal"/>
      <w:suff w:val="space"/>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ACD7391"/>
    <w:multiLevelType w:val="multilevel"/>
    <w:tmpl w:val="1ACD7391"/>
    <w:lvl w:ilvl="0" w:tentative="0">
      <w:start w:val="1"/>
      <w:numFmt w:val="decimal"/>
      <w:lvlText w:val="[%1]"/>
      <w:lvlJc w:val="left"/>
      <w:pPr>
        <w:ind w:left="440" w:hanging="440"/>
      </w:pPr>
      <w:rPr>
        <w:rFonts w:hint="default" w:ascii="Times New Roman" w:hAnsi="Times New Roman" w:eastAsia="宋体"/>
        <w:sz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82823E1"/>
    <w:multiLevelType w:val="singleLevel"/>
    <w:tmpl w:val="482823E1"/>
    <w:lvl w:ilvl="0" w:tentative="0">
      <w:start w:val="2"/>
      <w:numFmt w:val="decimal"/>
      <w:suff w:val="space"/>
      <w:lvlText w:val="%1."/>
      <w:lvlJc w:val="left"/>
    </w:lvl>
  </w:abstractNum>
  <w:abstractNum w:abstractNumId="3">
    <w:nsid w:val="53EE1ECB"/>
    <w:multiLevelType w:val="multilevel"/>
    <w:tmpl w:val="53EE1ECB"/>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1A11836"/>
    <w:multiLevelType w:val="multilevel"/>
    <w:tmpl w:val="61A11836"/>
    <w:lvl w:ilvl="0" w:tentative="0">
      <w:start w:val="1"/>
      <w:numFmt w:val="decimal"/>
      <w:suff w:val="space"/>
      <w:lvlText w:val="（%1）"/>
      <w:lvlJc w:val="left"/>
      <w:pPr>
        <w:ind w:left="0" w:firstLine="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0"/>
    <w:lvlOverride w:ilvl="0">
      <w:lvl w:ilvl="0" w:tentative="1">
        <w:start w:val="1"/>
        <w:numFmt w:val="decimal"/>
        <w:suff w:val="space"/>
        <w:lvlText w:val="（%1）"/>
        <w:lvlJc w:val="left"/>
        <w:pPr>
          <w:ind w:left="720" w:hanging="720"/>
        </w:pPr>
        <w:rPr>
          <w:rFonts w:hint="default"/>
        </w:rPr>
      </w:lvl>
    </w:lvlOverride>
    <w:lvlOverride w:ilvl="1">
      <w:lvl w:ilvl="1" w:tentative="1">
        <w:start w:val="1"/>
        <w:numFmt w:val="lowerLetter"/>
        <w:lvlText w:val="%2)"/>
        <w:lvlJc w:val="left"/>
        <w:pPr>
          <w:ind w:left="880" w:hanging="440"/>
        </w:pPr>
      </w:lvl>
    </w:lvlOverride>
    <w:lvlOverride w:ilvl="2">
      <w:lvl w:ilvl="2" w:tentative="1">
        <w:start w:val="1"/>
        <w:numFmt w:val="lowerRoman"/>
        <w:lvlText w:val="%3."/>
        <w:lvlJc w:val="right"/>
        <w:pPr>
          <w:ind w:left="1320" w:hanging="440"/>
        </w:pPr>
      </w:lvl>
    </w:lvlOverride>
    <w:lvlOverride w:ilvl="3">
      <w:lvl w:ilvl="3" w:tentative="1">
        <w:start w:val="1"/>
        <w:numFmt w:val="decimal"/>
        <w:lvlText w:val="%4."/>
        <w:lvlJc w:val="left"/>
        <w:pPr>
          <w:ind w:left="1760" w:hanging="440"/>
        </w:pPr>
      </w:lvl>
    </w:lvlOverride>
    <w:lvlOverride w:ilvl="4">
      <w:lvl w:ilvl="4" w:tentative="1">
        <w:start w:val="1"/>
        <w:numFmt w:val="lowerLetter"/>
        <w:lvlText w:val="%5)"/>
        <w:lvlJc w:val="left"/>
        <w:pPr>
          <w:ind w:left="2200" w:hanging="440"/>
        </w:pPr>
      </w:lvl>
    </w:lvlOverride>
    <w:lvlOverride w:ilvl="5">
      <w:lvl w:ilvl="5" w:tentative="1">
        <w:start w:val="1"/>
        <w:numFmt w:val="lowerRoman"/>
        <w:lvlText w:val="%6."/>
        <w:lvlJc w:val="right"/>
        <w:pPr>
          <w:ind w:left="2640" w:hanging="440"/>
        </w:pPr>
      </w:lvl>
    </w:lvlOverride>
    <w:lvlOverride w:ilvl="6">
      <w:lvl w:ilvl="6" w:tentative="1">
        <w:start w:val="1"/>
        <w:numFmt w:val="decimal"/>
        <w:lvlText w:val="%7."/>
        <w:lvlJc w:val="left"/>
        <w:pPr>
          <w:ind w:left="3080" w:hanging="440"/>
        </w:pPr>
      </w:lvl>
    </w:lvlOverride>
    <w:lvlOverride w:ilvl="7">
      <w:lvl w:ilvl="7" w:tentative="1">
        <w:start w:val="1"/>
        <w:numFmt w:val="lowerLetter"/>
        <w:lvlText w:val="%8)"/>
        <w:lvlJc w:val="left"/>
        <w:pPr>
          <w:ind w:left="3520" w:hanging="440"/>
        </w:pPr>
      </w:lvl>
    </w:lvlOverride>
    <w:lvlOverride w:ilvl="8">
      <w:lvl w:ilvl="8" w:tentative="1">
        <w:start w:val="1"/>
        <w:numFmt w:val="lowerRoman"/>
        <w:lvlText w:val="%9."/>
        <w:lvlJc w:val="right"/>
        <w:pPr>
          <w:ind w:left="3960" w:hanging="440"/>
        </w:pPr>
      </w:lvl>
    </w:lvlOverride>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0B5"/>
    <w:rsid w:val="000805EE"/>
    <w:rsid w:val="001075F5"/>
    <w:rsid w:val="00221E9B"/>
    <w:rsid w:val="002263A3"/>
    <w:rsid w:val="00240467"/>
    <w:rsid w:val="00241933"/>
    <w:rsid w:val="00285C40"/>
    <w:rsid w:val="00296ED4"/>
    <w:rsid w:val="002A7E7E"/>
    <w:rsid w:val="00347F37"/>
    <w:rsid w:val="00355524"/>
    <w:rsid w:val="00390F95"/>
    <w:rsid w:val="003A3817"/>
    <w:rsid w:val="003C580B"/>
    <w:rsid w:val="003F5321"/>
    <w:rsid w:val="00414F8F"/>
    <w:rsid w:val="004176B9"/>
    <w:rsid w:val="00420279"/>
    <w:rsid w:val="00442534"/>
    <w:rsid w:val="00451306"/>
    <w:rsid w:val="004D7C86"/>
    <w:rsid w:val="004E07B1"/>
    <w:rsid w:val="005734AA"/>
    <w:rsid w:val="005A4E7F"/>
    <w:rsid w:val="005C1BE3"/>
    <w:rsid w:val="00603176"/>
    <w:rsid w:val="00611CE5"/>
    <w:rsid w:val="006B7DD6"/>
    <w:rsid w:val="006D7CDD"/>
    <w:rsid w:val="00700FE0"/>
    <w:rsid w:val="007102FB"/>
    <w:rsid w:val="00713F55"/>
    <w:rsid w:val="00776A61"/>
    <w:rsid w:val="007772AE"/>
    <w:rsid w:val="007E688A"/>
    <w:rsid w:val="007F09F3"/>
    <w:rsid w:val="00825A5B"/>
    <w:rsid w:val="00925265"/>
    <w:rsid w:val="009C7ACB"/>
    <w:rsid w:val="009D792D"/>
    <w:rsid w:val="009F0CBC"/>
    <w:rsid w:val="00A118CB"/>
    <w:rsid w:val="00A57CB5"/>
    <w:rsid w:val="00A9117C"/>
    <w:rsid w:val="00AA7006"/>
    <w:rsid w:val="00AE10B5"/>
    <w:rsid w:val="00B4480D"/>
    <w:rsid w:val="00B56411"/>
    <w:rsid w:val="00B60805"/>
    <w:rsid w:val="00B62B9E"/>
    <w:rsid w:val="00BF7473"/>
    <w:rsid w:val="00C35667"/>
    <w:rsid w:val="00C56F32"/>
    <w:rsid w:val="00C84EAC"/>
    <w:rsid w:val="00D0261A"/>
    <w:rsid w:val="00D12626"/>
    <w:rsid w:val="00D80CF3"/>
    <w:rsid w:val="00DA2030"/>
    <w:rsid w:val="00E1403A"/>
    <w:rsid w:val="00E32D71"/>
    <w:rsid w:val="00E34E98"/>
    <w:rsid w:val="00E426E7"/>
    <w:rsid w:val="00EB611F"/>
    <w:rsid w:val="00EF43DB"/>
    <w:rsid w:val="00F20E79"/>
    <w:rsid w:val="00F91DF3"/>
    <w:rsid w:val="00FC6002"/>
    <w:rsid w:val="00FC6E1D"/>
    <w:rsid w:val="00FE2340"/>
    <w:rsid w:val="06EC00AB"/>
    <w:rsid w:val="13F32411"/>
    <w:rsid w:val="27D455AA"/>
    <w:rsid w:val="29726A0C"/>
    <w:rsid w:val="3AC528EE"/>
    <w:rsid w:val="51B53635"/>
    <w:rsid w:val="60390775"/>
    <w:rsid w:val="7BE22493"/>
    <w:rsid w:val="7C330AD0"/>
    <w:rsid w:val="7E6C1722"/>
    <w:rsid w:val="7F3B7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character" w:default="1" w:styleId="10">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qFormat/>
    <w:uiPriority w:val="0"/>
    <w:pPr>
      <w:jc w:val="left"/>
    </w:p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tabs>
        <w:tab w:val="center" w:pos="4153"/>
        <w:tab w:val="right" w:pos="8306"/>
      </w:tabs>
      <w:snapToGrid w:val="0"/>
      <w:jc w:val="center"/>
    </w:pPr>
    <w:rPr>
      <w:sz w:val="18"/>
      <w:szCs w:val="18"/>
    </w:rPr>
  </w:style>
  <w:style w:type="paragraph" w:styleId="6">
    <w:name w:val="Normal (Web)"/>
    <w:basedOn w:val="1"/>
    <w:qFormat/>
    <w:uiPriority w:val="99"/>
    <w:pPr>
      <w:spacing w:before="100" w:beforeAutospacing="1" w:after="100" w:afterAutospacing="1"/>
      <w:jc w:val="left"/>
    </w:pPr>
    <w:rPr>
      <w:kern w:val="0"/>
      <w:sz w:val="24"/>
    </w:rPr>
  </w:style>
  <w:style w:type="paragraph" w:styleId="7">
    <w:name w:val="annotation subject"/>
    <w:basedOn w:val="3"/>
    <w:next w:val="3"/>
    <w:link w:val="18"/>
    <w:qFormat/>
    <w:uiPriority w:val="0"/>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annotation reference"/>
    <w:basedOn w:val="10"/>
    <w:qFormat/>
    <w:uiPriority w:val="0"/>
    <w:rPr>
      <w:sz w:val="21"/>
      <w:szCs w:val="21"/>
    </w:rPr>
  </w:style>
  <w:style w:type="character" w:customStyle="1" w:styleId="13">
    <w:name w:val="页眉 字符"/>
    <w:basedOn w:val="10"/>
    <w:link w:val="5"/>
    <w:qFormat/>
    <w:uiPriority w:val="0"/>
    <w:rPr>
      <w:kern w:val="2"/>
      <w:sz w:val="18"/>
      <w:szCs w:val="18"/>
    </w:rPr>
  </w:style>
  <w:style w:type="character" w:customStyle="1" w:styleId="14">
    <w:name w:val="页脚 字符"/>
    <w:basedOn w:val="10"/>
    <w:link w:val="4"/>
    <w:qFormat/>
    <w:uiPriority w:val="0"/>
    <w:rPr>
      <w:kern w:val="2"/>
      <w:sz w:val="18"/>
      <w:szCs w:val="18"/>
    </w:rPr>
  </w:style>
  <w:style w:type="paragraph" w:styleId="15">
    <w:name w:val="List Paragraph"/>
    <w:basedOn w:val="1"/>
    <w:qFormat/>
    <w:uiPriority w:val="34"/>
    <w:pPr>
      <w:ind w:firstLine="420" w:firstLineChars="200"/>
    </w:pPr>
  </w:style>
  <w:style w:type="character" w:styleId="16">
    <w:name w:val="Placeholder Text"/>
    <w:basedOn w:val="10"/>
    <w:unhideWhenUsed/>
    <w:qFormat/>
    <w:uiPriority w:val="99"/>
    <w:rPr>
      <w:color w:val="666666"/>
    </w:rPr>
  </w:style>
  <w:style w:type="character" w:customStyle="1" w:styleId="17">
    <w:name w:val="批注文字 字符"/>
    <w:basedOn w:val="10"/>
    <w:link w:val="3"/>
    <w:qFormat/>
    <w:uiPriority w:val="0"/>
    <w:rPr>
      <w:kern w:val="2"/>
      <w:sz w:val="21"/>
      <w:szCs w:val="24"/>
    </w:rPr>
  </w:style>
  <w:style w:type="character" w:customStyle="1" w:styleId="18">
    <w:name w:val="批注主题 字符"/>
    <w:basedOn w:val="17"/>
    <w:link w:val="7"/>
    <w:qFormat/>
    <w:uiPriority w:val="0"/>
    <w:rPr>
      <w:b/>
      <w:bCs/>
      <w:kern w:val="2"/>
      <w:sz w:val="21"/>
      <w:szCs w:val="24"/>
    </w:rPr>
  </w:style>
  <w:style w:type="paragraph" w:customStyle="1" w:styleId="1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68CA7-5EC3-44FE-B7B0-DE9F42B8F052}">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6</Pages>
  <Words>4530</Words>
  <Characters>7393</Characters>
  <Lines>172</Lines>
  <Paragraphs>112</Paragraphs>
  <TotalTime>298</TotalTime>
  <ScaleCrop>false</ScaleCrop>
  <LinksUpToDate>false</LinksUpToDate>
  <CharactersWithSpaces>7924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2026-03-12T13:30:00Z</dcterms:created>
  <dc:creator>微软用户</dc:creator>
  <cp:lastModifiedBy>SUDA</cp:lastModifiedBy>
  <dcterms:modified xsi:type="dcterms:W3CDTF">2026-03-31T06:28:20Z</dcterms:modified>
  <dc:title>贵州大学本科生毕业论文（设计）开题报告表</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58831CFACA77455290AFEAD0B7B77125_13</vt:lpwstr>
  </property>
  <property fmtid="{D5CDD505-2E9C-101B-9397-08002B2CF9AE}" pid="4" name="KSOTemplateDocerSaveRecord">
    <vt:lpwstr>eyJoZGlkIjoiOTRhMDg2ZTcyMGI3YTE5YWQzMzQ0OWU5ODk5YTAzZDAiLCJ1c2VySWQiOiIxMjkwMjcwMzcyIn0=</vt:lpwstr>
  </property>
</Properties>
</file>