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3256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25" w:lineRule="atLeast"/>
        <w:ind w:left="0" w:right="0" w:firstLine="0"/>
        <w:rPr>
          <w:rFonts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  <w:bdr w:val="none" w:color="auto" w:sz="0" w:space="0"/>
          <w:shd w:val="clear" w:fill="FFFFFF"/>
        </w:rPr>
        <w:t>肿瘤词条包含内容</w:t>
      </w:r>
    </w:p>
    <w:p w14:paraId="6916FD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1、基础知识：</w:t>
      </w:r>
    </w:p>
    <w:p w14:paraId="3961A9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危险因素</w:t>
      </w:r>
    </w:p>
    <w:p w14:paraId="451B8C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流行病学</w:t>
      </w:r>
    </w:p>
    <w:p w14:paraId="27BF38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2、诊断：</w:t>
      </w:r>
    </w:p>
    <w:p w14:paraId="14453C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临床表现</w:t>
      </w:r>
    </w:p>
    <w:p w14:paraId="1C4A2F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辅助检查（含实验室检查、影像学检查、病理、免疫组化）</w:t>
      </w:r>
    </w:p>
    <w:p w14:paraId="429C05F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病情评估（如有）</w:t>
      </w:r>
    </w:p>
    <w:p w14:paraId="26B1AF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3、分期</w:t>
      </w:r>
    </w:p>
    <w:p w14:paraId="2C0453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考虑到分期存在临床分期和病理分期，治疗真正参考的分期是病理分期，因此将分期单独列出做一个字段。</w:t>
      </w:r>
    </w:p>
    <w:p w14:paraId="7C351E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危险度评估、复发风险评估（如有）。</w:t>
      </w:r>
    </w:p>
    <w:p w14:paraId="2CBE45B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4、治疗</w:t>
      </w:r>
    </w:p>
    <w:p w14:paraId="519429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按照不同分期分别撰写治疗方案推荐，不同治疗方式适应证及禁忌证，剂量及疗程，注意事项等（手术操作内容可以不保留）、确定某治疗方案的里程碑研究（内容需精简）。</w:t>
      </w:r>
    </w:p>
    <w:p w14:paraId="4E65C9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疗效评估。</w:t>
      </w:r>
    </w:p>
    <w:p w14:paraId="3813B7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5、预防</w:t>
      </w:r>
    </w:p>
    <w:p w14:paraId="723F2D4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高危人群</w:t>
      </w:r>
    </w:p>
    <w:p w14:paraId="1722C59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筛查频次</w:t>
      </w:r>
    </w:p>
    <w:p w14:paraId="02EA52B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6、预后</w:t>
      </w:r>
    </w:p>
    <w:p w14:paraId="787791D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生存率</w:t>
      </w:r>
    </w:p>
    <w:p w14:paraId="3883AA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25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  <w:bdr w:val="none" w:color="auto" w:sz="0" w:space="0"/>
          <w:shd w:val="clear" w:fill="FFFFFF"/>
        </w:rPr>
        <w:t>三、撰写框架要求</w:t>
      </w:r>
    </w:p>
    <w:p w14:paraId="13782AD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1、基础知识：</w:t>
      </w:r>
    </w:p>
    <w:p w14:paraId="0A3BF04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危险因素：仅需提及具体危险因素，不需展开。</w:t>
      </w:r>
    </w:p>
    <w:p w14:paraId="2216A7C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分型（如有）：分为A、B 、C等，一句话概括即可。</w:t>
      </w:r>
    </w:p>
    <w:p w14:paraId="5AF90D2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2、诊断：</w:t>
      </w:r>
    </w:p>
    <w:p w14:paraId="1409CA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临床表现（如有）：一句话概括；或者列出不同类型的表现，不需要展开。</w:t>
      </w:r>
    </w:p>
    <w:p w14:paraId="0455CC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影像学检查&amp;实验室检查：仅需要提到检查名称即可，如CT、CEA等。</w:t>
      </w:r>
    </w:p>
    <w:p w14:paraId="118E1285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病理学检查：需提及病理分型、分子分型等。</w:t>
      </w:r>
    </w:p>
    <w:p w14:paraId="10341E5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3、分期：列出分期依据，如TNM、UICC等。</w:t>
      </w:r>
    </w:p>
    <w:p w14:paraId="19FBB7A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4、治疗：按照不同分期，列出具体的治疗方式。</w:t>
      </w:r>
    </w:p>
    <w:p w14:paraId="30E81F3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5、疗效评估：列出评估疗效的标准，如RESIST。</w:t>
      </w:r>
    </w:p>
    <w:p w14:paraId="2ABABA8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6、筛查：列出高危人群及筛查频次。</w:t>
      </w:r>
    </w:p>
    <w:p w14:paraId="3C1C87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25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  <w:bdr w:val="none" w:color="auto" w:sz="0" w:space="0"/>
          <w:shd w:val="clear" w:fill="FFFFFF"/>
        </w:rPr>
        <w:t>四、「治疗」字段之外内容生产</w:t>
      </w:r>
    </w:p>
    <w:p w14:paraId="13FBD1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200" w:beforeAutospacing="0" w:after="0" w:afterAutospacing="0" w:line="30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  <w:bdr w:val="none" w:color="auto" w:sz="0" w:space="0"/>
          <w:shd w:val="clear" w:fill="FFFFFF"/>
        </w:rPr>
        <w:t>（一）需生产内容</w:t>
      </w:r>
    </w:p>
    <w:p w14:paraId="41584A3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1、基础知识</w:t>
      </w:r>
    </w:p>
    <w:p w14:paraId="48EE22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危险因素</w:t>
      </w:r>
    </w:p>
    <w:p w14:paraId="17884F4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流行病学</w:t>
      </w:r>
    </w:p>
    <w:p w14:paraId="1E2F66E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2、诊断：</w:t>
      </w:r>
    </w:p>
    <w:p w14:paraId="43E38D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临床表现</w:t>
      </w:r>
    </w:p>
    <w:p w14:paraId="071E766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辅助检查，含实验室检查、影像学检查、病理、免疫组化等项目的适应人群和影像学典型表现（如有），其中免疫组化和分子分型需根据不同肿瘤提供相关内容。</w:t>
      </w:r>
    </w:p>
    <w:p w14:paraId="17C5CD0C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病情评估（如有）</w:t>
      </w:r>
    </w:p>
    <w:p w14:paraId="6658713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3、分期</w:t>
      </w:r>
    </w:p>
    <w:p w14:paraId="294B80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考虑到分期存在临床分期和病理分期，治疗真正参考的分期是病理分期，因此将分期单独列出做一个字段。</w:t>
      </w:r>
    </w:p>
    <w:p w14:paraId="3CED70B5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危险度评估、复发风险评估（如有）。</w:t>
      </w:r>
    </w:p>
    <w:p w14:paraId="088F93D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4、预防</w:t>
      </w:r>
    </w:p>
    <w:p w14:paraId="769479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高危人群</w:t>
      </w:r>
    </w:p>
    <w:p w14:paraId="5A141C9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筛查频次</w:t>
      </w:r>
    </w:p>
    <w:p w14:paraId="350A7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5、预后</w:t>
      </w:r>
    </w:p>
    <w:p w14:paraId="5492244A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生存率</w:t>
      </w:r>
    </w:p>
    <w:p w14:paraId="51D2D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30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  <w:bdr w:val="none" w:color="auto" w:sz="0" w:space="0"/>
          <w:shd w:val="clear" w:fill="FFFFFF"/>
        </w:rPr>
        <w:t>（二）生产方式</w:t>
      </w:r>
    </w:p>
    <w:p w14:paraId="01E689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根据专家提供的框架，查找数据源（含专家审核）、兼职整合生产内容（按照常规词条生产模式）。</w:t>
      </w:r>
    </w:p>
    <w:p w14:paraId="2DEA20A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需要说明的是，因为不涉及治疗，国内指南基本满足内容生产，因此主要参考中文指南。如有特殊情况，比如有中文指南未包含的重大进展，可选用英文指南。</w:t>
      </w:r>
    </w:p>
    <w:p w14:paraId="6E1FAE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25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8"/>
          <w:szCs w:val="48"/>
          <w:bdr w:val="none" w:color="auto" w:sz="0" w:space="0"/>
          <w:shd w:val="clear" w:fill="FFFFFF"/>
        </w:rPr>
        <w:t>五、「治疗」内容生产</w:t>
      </w:r>
    </w:p>
    <w:p w14:paraId="78CB11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200" w:beforeAutospacing="0" w:after="0" w:afterAutospacing="0" w:line="30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  <w:bdr w:val="none" w:color="auto" w:sz="0" w:space="0"/>
          <w:shd w:val="clear" w:fill="FFFFFF"/>
        </w:rPr>
        <w:t>（一）具体内容</w:t>
      </w:r>
    </w:p>
    <w:p w14:paraId="162EFEE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1、按照某个肿瘤的临床通用分期撰写内容：</w:t>
      </w:r>
    </w:p>
    <w:p w14:paraId="6BF7EF9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比如「HR+HER2-型乳腺癌」可以分为：原位癌，浸润性乳腺癌（又分为不做术前全身治疗、做术前全身治疗）、晚期乳腺癌；</w:t>
      </w:r>
    </w:p>
    <w:p w14:paraId="72044EF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「原发性肝癌」分为：IA、IB、IIA、IIB、IIIA、IIIB、IV期。</w:t>
      </w:r>
    </w:p>
    <w:p w14:paraId="7B332FD7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不同肿瘤的分期不同，具体以临床治疗实践和指南推荐为准。</w:t>
      </w:r>
    </w:p>
    <w:p w14:paraId="2A90D6B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2、不同分期的推荐治疗方案：</w:t>
      </w:r>
    </w:p>
    <w:p w14:paraId="7B86D10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比如：</w:t>
      </w:r>
    </w:p>
    <w:p w14:paraId="3095305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5F576E" w:sz="0" w:space="0"/>
          <w:right w:val="none" w:color="auto" w:sz="0" w:space="0"/>
        </w:pBdr>
        <w:shd w:val="clear" w:fill="FFFFFF"/>
        <w:spacing w:before="600" w:beforeAutospacing="0" w:after="0" w:afterAutospacing="0" w:line="30" w:lineRule="atLeast"/>
        <w:ind w:left="0" w:right="0" w:firstLine="0"/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172B4D"/>
          <w:spacing w:val="-2"/>
          <w:sz w:val="40"/>
          <w:szCs w:val="40"/>
        </w:rPr>
      </w:pPr>
      <w:r>
        <w:rPr>
          <w:rFonts w:hint="default" w:ascii="Helvetica Neue" w:hAnsi="Helvetica Neue" w:eastAsia="Helvetica Neue" w:cs="Helvetica Neue"/>
          <w:b w:val="0"/>
          <w:bCs w:val="0"/>
          <w:i w:val="0"/>
          <w:iCs w:val="0"/>
          <w:caps w:val="0"/>
          <w:color w:val="339966"/>
          <w:spacing w:val="-2"/>
          <w:sz w:val="40"/>
          <w:szCs w:val="40"/>
          <w:bdr w:val="none" w:color="auto" w:sz="0" w:space="0"/>
          <w:shd w:val="clear" w:fill="FFFFFF"/>
        </w:rPr>
        <w:t>IIA、IIB 期 NSCLC 的治疗</w:t>
      </w:r>
    </w:p>
    <w:p w14:paraId="1FE74E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 w:line="3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172B4D"/>
          <w:spacing w:val="-1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339966"/>
          <w:spacing w:val="-1"/>
          <w:sz w:val="32"/>
          <w:szCs w:val="32"/>
          <w:bdr w:val="none" w:color="auto" w:sz="0" w:space="0"/>
          <w:shd w:val="clear" w:fill="FFFFFF"/>
        </w:rPr>
        <w:t>可手术的患者</w:t>
      </w:r>
    </w:p>
    <w:p w14:paraId="61A6262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驱动基因阴性患者方案选择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[276]</w:t>
      </w:r>
    </w:p>
    <w:p w14:paraId="41D8F5B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纳武利尤单抗+含铂化疗新辅助+开胸/胸腔镜下/微创技术下（机器人辅助）的解剖性肺切除+肺门及纵隔淋巴结清扫。</w:t>
      </w:r>
    </w:p>
    <w:p w14:paraId="2E6CB3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开胸/胸腔镜下/微创技术下（机器人辅助）的解剖性肺切除术+肺门及纵隔淋巴结清扫+辅助化疗，后给予阿替利珠单抗（1 年，限 PD-L1 TC≥1%）或帕博丽珠单抗（1 年）。……</w:t>
      </w:r>
    </w:p>
    <w:p w14:paraId="56066FF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Style w:val="8"/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驱动基因阳性患者方案选择</w:t>
      </w:r>
    </w:p>
    <w:p w14:paraId="44C190E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EGFR 经典突变患者</w:t>
      </w:r>
    </w:p>
    <w:p w14:paraId="1D325E0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339966"/>
          <w:spacing w:val="0"/>
          <w:sz w:val="28"/>
          <w:szCs w:val="28"/>
          <w:bdr w:val="none" w:color="auto" w:sz="0" w:space="0"/>
          <w:shd w:val="clear" w:fill="FFFFFF"/>
        </w:rPr>
        <w:t>解剖性肺切除/胸腔镜下/微创技术下（机器人辅助）的解剖性肺切除+肺门及纵隔淋巴结清扫+辅助化疗+奥希替尼靶向治疗（3 年）[22]。</w:t>
      </w:r>
    </w:p>
    <w:p w14:paraId="2A628D8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00" w:beforeAutospacing="0" w:after="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bdr w:val="none" w:color="auto" w:sz="0" w:space="0"/>
          <w:shd w:val="clear" w:fill="FFFFFF"/>
        </w:rPr>
        <w:t>3、手术治疗/化疗/放疗/新辅助/靶向/免疫/介入等治疗方式，应包含以下内容：</w:t>
      </w:r>
    </w:p>
    <w:p w14:paraId="3778749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不同治疗方式的适应证和禁忌证（指征）</w:t>
      </w:r>
    </w:p>
    <w:p w14:paraId="14ED072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手术治疗的术式选择、淋巴结请扫选择</w:t>
      </w:r>
    </w:p>
    <w:p w14:paraId="0641D5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所有药物治疗的药物方案、剂量、周期</w:t>
      </w:r>
    </w:p>
    <w:p w14:paraId="36E325C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放疗的方案、剂量、周期、靶区、放疗技术或种类</w:t>
      </w:r>
    </w:p>
    <w:p w14:paraId="1FFBD958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bottom w:val="none" w:color="auto" w:sz="0" w:space="0"/>
        </w:pBdr>
        <w:spacing w:before="0" w:beforeAutospacing="1" w:after="0" w:afterAutospacing="1"/>
        <w:ind w:left="0" w:hanging="36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172B4D"/>
          <w:spacing w:val="0"/>
          <w:sz w:val="28"/>
          <w:szCs w:val="28"/>
          <w:shd w:val="clear" w:fill="FFFFFF"/>
        </w:rPr>
        <w:t>介入/消融治疗参考放疗内容。</w:t>
      </w:r>
      <w:bookmarkStart w:id="0" w:name="_GoBack"/>
      <w:bookmarkEnd w:id="0"/>
    </w:p>
    <w:p w14:paraId="49470336">
      <w:pPr>
        <w:keepNext w:val="0"/>
        <w:keepLines w:val="0"/>
        <w:widowControl/>
        <w:suppressLineNumbers w:val="0"/>
        <w:jc w:val="left"/>
      </w:pPr>
    </w:p>
    <w:p w14:paraId="39C21B3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C4714"/>
    <w:multiLevelType w:val="multilevel"/>
    <w:tmpl w:val="9FFC47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FD2F5F"/>
    <w:multiLevelType w:val="multilevel"/>
    <w:tmpl w:val="9FFD2F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9F94C65"/>
    <w:multiLevelType w:val="multilevel"/>
    <w:tmpl w:val="A9F94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D7D8C464"/>
    <w:multiLevelType w:val="multilevel"/>
    <w:tmpl w:val="D7D8C4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DD7F7B98"/>
    <w:multiLevelType w:val="multilevel"/>
    <w:tmpl w:val="DD7F7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36D984C"/>
    <w:multiLevelType w:val="multilevel"/>
    <w:tmpl w:val="F36D98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F75FFF68"/>
    <w:multiLevelType w:val="multilevel"/>
    <w:tmpl w:val="F75FFF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F96FFC5E"/>
    <w:multiLevelType w:val="multilevel"/>
    <w:tmpl w:val="F96FFC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FE5BF842"/>
    <w:multiLevelType w:val="multilevel"/>
    <w:tmpl w:val="FE5BF8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FECD3D46"/>
    <w:multiLevelType w:val="multilevel"/>
    <w:tmpl w:val="FECD3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FF25134D"/>
    <w:multiLevelType w:val="multilevel"/>
    <w:tmpl w:val="FF2513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FFCF84D8"/>
    <w:multiLevelType w:val="multilevel"/>
    <w:tmpl w:val="FFCF8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FFDC3FFA"/>
    <w:multiLevelType w:val="multilevel"/>
    <w:tmpl w:val="FFDC3F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FFDED869"/>
    <w:multiLevelType w:val="multilevel"/>
    <w:tmpl w:val="FFDED8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FFFE6AC2"/>
    <w:multiLevelType w:val="multilevel"/>
    <w:tmpl w:val="FFFE6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6AFA0FF6"/>
    <w:multiLevelType w:val="multilevel"/>
    <w:tmpl w:val="6AFA0F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0"/>
  </w:num>
  <w:num w:numId="2">
    <w:abstractNumId w:val="4"/>
  </w:num>
  <w:num w:numId="3">
    <w:abstractNumId w:val="15"/>
  </w:num>
  <w:num w:numId="4">
    <w:abstractNumId w:val="0"/>
  </w:num>
  <w:num w:numId="5">
    <w:abstractNumId w:val="12"/>
  </w:num>
  <w:num w:numId="6">
    <w:abstractNumId w:val="13"/>
  </w:num>
  <w:num w:numId="7">
    <w:abstractNumId w:val="2"/>
  </w:num>
  <w:num w:numId="8">
    <w:abstractNumId w:val="3"/>
  </w:num>
  <w:num w:numId="9">
    <w:abstractNumId w:val="14"/>
  </w:num>
  <w:num w:numId="10">
    <w:abstractNumId w:val="9"/>
  </w:num>
  <w:num w:numId="11">
    <w:abstractNumId w:val="11"/>
  </w:num>
  <w:num w:numId="12">
    <w:abstractNumId w:val="1"/>
  </w:num>
  <w:num w:numId="13">
    <w:abstractNumId w:val="5"/>
  </w:num>
  <w:num w:numId="14">
    <w:abstractNumId w:val="6"/>
  </w:num>
  <w:num w:numId="15">
    <w:abstractNumId w:val="7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FF0674"/>
    <w:rsid w:val="5F2BFA7C"/>
    <w:rsid w:val="B6FF0674"/>
    <w:rsid w:val="EBFF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2026-06-06T10:26:00Z</dcterms:created>
  <dc:creator>盛凯翔</dc:creator>
  <cp:lastModifiedBy>盛凯翔</cp:lastModifiedBy>
  <dcterms:modified xsi:type="dcterms:W3CDTF">2026-06-06T10:28:13Z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42085B887AB757FC6E85236A07DF4EAB_41</vt:lpwstr>
  </property>
</Properties>
</file>