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615F8" w14:textId="77777777" w:rsidR="000B2A8F" w:rsidRPr="00967987" w:rsidRDefault="00000000">
      <w:pPr>
        <w:spacing w:after="100"/>
        <w:jc w:val="center"/>
        <w:rPr>
          <w:rFonts w:ascii="宋体" w:hAnsi="宋体"/>
          <w:lang w:eastAsia="zh-CN"/>
        </w:rPr>
      </w:pPr>
      <w:r w:rsidRPr="00967987">
        <w:rPr>
          <w:rFonts w:ascii="宋体" w:hAnsi="宋体"/>
          <w:b/>
          <w:color w:val="000000"/>
          <w:sz w:val="36"/>
          <w:lang w:eastAsia="zh-CN"/>
        </w:rPr>
        <w:t>混合自动驾驶碰撞冲突风险传播研究</w:t>
      </w:r>
    </w:p>
    <w:p w14:paraId="5465BD35" w14:textId="77777777" w:rsidR="000B2A8F" w:rsidRPr="00967987" w:rsidRDefault="00000000">
      <w:pPr>
        <w:spacing w:after="140"/>
        <w:jc w:val="center"/>
        <w:rPr>
          <w:rFonts w:ascii="宋体" w:hAnsi="宋体"/>
          <w:lang w:eastAsia="zh-CN"/>
        </w:rPr>
      </w:pPr>
      <w:r w:rsidRPr="00967987">
        <w:rPr>
          <w:rFonts w:ascii="宋体" w:hAnsi="宋体"/>
          <w:b/>
          <w:color w:val="000000"/>
          <w:sz w:val="30"/>
          <w:lang w:eastAsia="zh-CN"/>
        </w:rPr>
        <w:t>本周进展</w:t>
      </w:r>
    </w:p>
    <w:p w14:paraId="5E188C98" w14:textId="77777777" w:rsidR="000B2A8F" w:rsidRPr="00967987" w:rsidRDefault="00000000">
      <w:pPr>
        <w:spacing w:after="160"/>
        <w:jc w:val="center"/>
        <w:rPr>
          <w:rFonts w:ascii="宋体" w:hAnsi="宋体"/>
          <w:lang w:eastAsia="zh-CN"/>
        </w:rPr>
      </w:pPr>
      <w:r w:rsidRPr="00967987">
        <w:rPr>
          <w:rFonts w:ascii="宋体" w:hAnsi="宋体"/>
          <w:color w:val="444444"/>
          <w:lang w:eastAsia="zh-CN"/>
        </w:rPr>
        <w:t>禹尧珅    7.15-7.21</w:t>
      </w:r>
    </w:p>
    <w:p w14:paraId="6ED68419" w14:textId="6727F271" w:rsidR="000B2A8F" w:rsidRPr="00967987" w:rsidRDefault="005259E3">
      <w:pPr>
        <w:pStyle w:val="1"/>
        <w:rPr>
          <w:rFonts w:ascii="宋体" w:eastAsia="宋体" w:hAnsi="宋体"/>
          <w:lang w:eastAsia="zh-CN"/>
        </w:rPr>
      </w:pPr>
      <w:r>
        <w:rPr>
          <w:rFonts w:ascii="宋体" w:eastAsia="宋体" w:hAnsi="宋体" w:hint="eastAsia"/>
          <w:lang w:eastAsia="zh-CN"/>
        </w:rPr>
        <w:t>一、</w:t>
      </w:r>
      <w:r w:rsidR="00000000" w:rsidRPr="00967987">
        <w:rPr>
          <w:rFonts w:ascii="宋体" w:eastAsia="宋体" w:hAnsi="宋体"/>
          <w:lang w:eastAsia="zh-CN"/>
        </w:rPr>
        <w:t>前期工作</w:t>
      </w:r>
    </w:p>
    <w:p w14:paraId="3696ADF7" w14:textId="77777777" w:rsidR="000B2A8F" w:rsidRPr="00967987" w:rsidRDefault="00000000">
      <w:pPr>
        <w:ind w:firstLine="420"/>
        <w:jc w:val="both"/>
        <w:rPr>
          <w:rFonts w:ascii="宋体" w:hAnsi="宋体"/>
          <w:lang w:eastAsia="zh-CN"/>
        </w:rPr>
      </w:pPr>
      <w:r w:rsidRPr="00967987">
        <w:rPr>
          <w:rFonts w:ascii="宋体" w:hAnsi="宋体"/>
          <w:color w:val="000000"/>
          <w:lang w:eastAsia="zh-CN"/>
        </w:rPr>
        <w:t>前期完成了交通冲突风险、因果分析和非局部交通流方面的文献调研，并跑通“车辆轨迹-风险事件-局部关系”的小规模流程。Wang 等[1]研究交通冲突风险图，Lyu 等[2]将因果信息用于冲突预测，Luo 等[3]分析相邻车辆的级联风险；Huang 和 Du[5]、Sun 和 Tan[6]、Friedrich 等[7]研究车辆对一定范围外信息的响应。</w:t>
      </w:r>
    </w:p>
    <w:p w14:paraId="4D9CB25F" w14:textId="77777777" w:rsidR="000B2A8F" w:rsidRPr="00967987" w:rsidRDefault="00000000">
      <w:pPr>
        <w:ind w:firstLine="420"/>
        <w:jc w:val="both"/>
        <w:rPr>
          <w:rFonts w:ascii="宋体" w:hAnsi="宋体"/>
          <w:lang w:eastAsia="zh-CN"/>
        </w:rPr>
      </w:pPr>
      <w:r w:rsidRPr="00967987">
        <w:rPr>
          <w:rFonts w:ascii="宋体" w:hAnsi="宋体"/>
          <w:color w:val="000000"/>
          <w:lang w:eastAsia="zh-CN"/>
        </w:rPr>
        <w:t>前期实验仅覆盖一个合流场景，数据量较小，只能说明流程可运行。老师提出两点意见：一是从已有研究中</w:t>
      </w:r>
      <w:r w:rsidRPr="00967987">
        <w:rPr>
          <w:rFonts w:ascii="宋体" w:hAnsi="宋体"/>
          <w:b/>
          <w:bCs/>
          <w:color w:val="000000"/>
          <w:lang w:eastAsia="zh-CN"/>
        </w:rPr>
        <w:t>提炼本文的创新点</w:t>
      </w:r>
      <w:r w:rsidRPr="00967987">
        <w:rPr>
          <w:rFonts w:ascii="宋体" w:hAnsi="宋体"/>
          <w:color w:val="000000"/>
          <w:lang w:eastAsia="zh-CN"/>
        </w:rPr>
        <w:t>；二是</w:t>
      </w:r>
      <w:r w:rsidRPr="00967987">
        <w:rPr>
          <w:rFonts w:ascii="宋体" w:hAnsi="宋体"/>
          <w:b/>
          <w:bCs/>
          <w:color w:val="000000"/>
          <w:lang w:eastAsia="zh-CN"/>
        </w:rPr>
        <w:t>明确风险</w:t>
      </w:r>
      <w:r w:rsidRPr="00967987">
        <w:rPr>
          <w:rFonts w:ascii="宋体" w:hAnsi="宋体"/>
          <w:color w:val="000000"/>
          <w:lang w:eastAsia="zh-CN"/>
        </w:rPr>
        <w:t>指碰撞、拥堵还是其他交通状态。本周围绕这两个问题继续推进，实验平台统一使用 DRIFT。</w:t>
      </w:r>
    </w:p>
    <w:p w14:paraId="0F73D7F5" w14:textId="5A0B8BF9" w:rsidR="000B2A8F" w:rsidRPr="00967987" w:rsidRDefault="005259E3">
      <w:pPr>
        <w:pStyle w:val="1"/>
        <w:rPr>
          <w:rFonts w:ascii="宋体" w:eastAsia="宋体" w:hAnsi="宋体"/>
          <w:lang w:eastAsia="zh-CN"/>
        </w:rPr>
      </w:pPr>
      <w:r>
        <w:rPr>
          <w:rFonts w:ascii="宋体" w:eastAsia="宋体" w:hAnsi="宋体" w:hint="eastAsia"/>
          <w:lang w:eastAsia="zh-CN"/>
        </w:rPr>
        <w:t>二、</w:t>
      </w:r>
      <w:r w:rsidR="00000000" w:rsidRPr="00967987">
        <w:rPr>
          <w:rFonts w:ascii="宋体" w:eastAsia="宋体" w:hAnsi="宋体"/>
          <w:lang w:eastAsia="zh-CN"/>
        </w:rPr>
        <w:t>本周工作</w:t>
      </w:r>
    </w:p>
    <w:p w14:paraId="6A3085A1" w14:textId="35A7ACC4" w:rsidR="000B2A8F" w:rsidRPr="00967987" w:rsidRDefault="005259E3">
      <w:pPr>
        <w:pStyle w:val="21"/>
        <w:rPr>
          <w:rFonts w:ascii="宋体" w:eastAsia="宋体" w:hAnsi="宋体"/>
          <w:lang w:eastAsia="zh-CN"/>
        </w:rPr>
      </w:pPr>
      <w:r>
        <w:rPr>
          <w:rFonts w:ascii="宋体" w:eastAsia="宋体" w:hAnsi="宋体" w:hint="eastAsia"/>
          <w:lang w:eastAsia="zh-CN"/>
        </w:rPr>
        <w:t>1.</w:t>
      </w:r>
      <w:r w:rsidR="00000000" w:rsidRPr="00967987">
        <w:rPr>
          <w:rFonts w:ascii="宋体" w:eastAsia="宋体" w:hAnsi="宋体"/>
          <w:lang w:eastAsia="zh-CN"/>
        </w:rPr>
        <w:t>文献</w:t>
      </w:r>
      <w:r>
        <w:rPr>
          <w:rFonts w:ascii="宋体" w:eastAsia="宋体" w:hAnsi="宋体" w:hint="eastAsia"/>
          <w:lang w:eastAsia="zh-CN"/>
        </w:rPr>
        <w:t>总结</w:t>
      </w:r>
      <w:r w:rsidR="00000000" w:rsidRPr="00967987">
        <w:rPr>
          <w:rFonts w:ascii="宋体" w:eastAsia="宋体" w:hAnsi="宋体"/>
          <w:lang w:eastAsia="zh-CN"/>
        </w:rPr>
        <w:t>与创新点</w:t>
      </w:r>
      <w:r>
        <w:rPr>
          <w:rFonts w:ascii="宋体" w:eastAsia="宋体" w:hAnsi="宋体" w:hint="eastAsia"/>
          <w:lang w:eastAsia="zh-CN"/>
        </w:rPr>
        <w:t>凝练</w:t>
      </w:r>
    </w:p>
    <w:tbl>
      <w:tblPr>
        <w:tblStyle w:val="aff1"/>
        <w:tblW w:w="9638" w:type="dxa"/>
        <w:tblInd w:w="11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750"/>
        <w:gridCol w:w="4050"/>
        <w:gridCol w:w="3838"/>
      </w:tblGrid>
      <w:tr w:rsidR="000B2A8F" w:rsidRPr="00967987" w14:paraId="59C773DA" w14:textId="77777777">
        <w:trPr>
          <w:cantSplit/>
          <w:tblHeader/>
        </w:trPr>
        <w:tc>
          <w:tcPr>
            <w:tcW w:w="1750" w:type="dxa"/>
            <w:shd w:val="clear" w:color="auto" w:fill="EDEDED"/>
            <w:tcMar>
              <w:top w:w="70" w:type="dxa"/>
              <w:left w:w="110" w:type="dxa"/>
              <w:bottom w:w="70" w:type="dxa"/>
              <w:right w:w="110" w:type="dxa"/>
            </w:tcMar>
            <w:vAlign w:val="center"/>
          </w:tcPr>
          <w:p w14:paraId="62835118" w14:textId="77777777" w:rsidR="000B2A8F" w:rsidRPr="00967987" w:rsidRDefault="00000000">
            <w:pPr>
              <w:spacing w:after="0" w:line="240" w:lineRule="auto"/>
              <w:jc w:val="center"/>
              <w:rPr>
                <w:rFonts w:ascii="宋体" w:hAnsi="宋体"/>
              </w:rPr>
            </w:pPr>
            <w:r w:rsidRPr="00967987">
              <w:rPr>
                <w:rFonts w:ascii="宋体" w:hAnsi="宋体"/>
                <w:b/>
                <w:color w:val="000000"/>
                <w:sz w:val="19"/>
              </w:rPr>
              <w:t>文献方向</w:t>
            </w:r>
          </w:p>
        </w:tc>
        <w:tc>
          <w:tcPr>
            <w:tcW w:w="4050" w:type="dxa"/>
            <w:shd w:val="clear" w:color="auto" w:fill="EDEDED"/>
            <w:tcMar>
              <w:top w:w="70" w:type="dxa"/>
              <w:left w:w="110" w:type="dxa"/>
              <w:bottom w:w="70" w:type="dxa"/>
              <w:right w:w="110" w:type="dxa"/>
            </w:tcMar>
            <w:vAlign w:val="center"/>
          </w:tcPr>
          <w:p w14:paraId="62CAFD3A" w14:textId="77777777" w:rsidR="000B2A8F" w:rsidRPr="00967987" w:rsidRDefault="00000000">
            <w:pPr>
              <w:spacing w:after="0" w:line="240" w:lineRule="auto"/>
              <w:jc w:val="center"/>
              <w:rPr>
                <w:rFonts w:ascii="宋体" w:hAnsi="宋体"/>
              </w:rPr>
            </w:pPr>
            <w:r w:rsidRPr="00967987">
              <w:rPr>
                <w:rFonts w:ascii="宋体" w:hAnsi="宋体"/>
                <w:b/>
                <w:color w:val="000000"/>
                <w:sz w:val="19"/>
              </w:rPr>
              <w:t>已有研究</w:t>
            </w:r>
          </w:p>
        </w:tc>
        <w:tc>
          <w:tcPr>
            <w:tcW w:w="3838" w:type="dxa"/>
            <w:shd w:val="clear" w:color="auto" w:fill="EDEDED"/>
            <w:tcMar>
              <w:top w:w="70" w:type="dxa"/>
              <w:left w:w="110" w:type="dxa"/>
              <w:bottom w:w="70" w:type="dxa"/>
              <w:right w:w="110" w:type="dxa"/>
            </w:tcMar>
            <w:vAlign w:val="center"/>
          </w:tcPr>
          <w:p w14:paraId="20618F69" w14:textId="77777777" w:rsidR="000B2A8F" w:rsidRPr="00967987" w:rsidRDefault="00000000">
            <w:pPr>
              <w:spacing w:after="0" w:line="240" w:lineRule="auto"/>
              <w:jc w:val="center"/>
              <w:rPr>
                <w:rFonts w:ascii="宋体" w:hAnsi="宋体"/>
              </w:rPr>
            </w:pPr>
            <w:r w:rsidRPr="00967987">
              <w:rPr>
                <w:rFonts w:ascii="宋体" w:hAnsi="宋体"/>
                <w:b/>
                <w:color w:val="000000"/>
                <w:sz w:val="19"/>
              </w:rPr>
              <w:t>本文的区别</w:t>
            </w:r>
          </w:p>
        </w:tc>
      </w:tr>
      <w:tr w:rsidR="000B2A8F" w:rsidRPr="00967987" w14:paraId="24AB4A61" w14:textId="77777777">
        <w:trPr>
          <w:cantSplit/>
        </w:trPr>
        <w:tc>
          <w:tcPr>
            <w:tcW w:w="1750" w:type="dxa"/>
            <w:tcMar>
              <w:top w:w="70" w:type="dxa"/>
              <w:left w:w="110" w:type="dxa"/>
              <w:bottom w:w="70" w:type="dxa"/>
              <w:right w:w="110" w:type="dxa"/>
            </w:tcMar>
            <w:vAlign w:val="center"/>
          </w:tcPr>
          <w:p w14:paraId="53B461B0"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冲突风险图与因果预测</w:t>
            </w:r>
          </w:p>
        </w:tc>
        <w:tc>
          <w:tcPr>
            <w:tcW w:w="4050" w:type="dxa"/>
            <w:tcMar>
              <w:top w:w="70" w:type="dxa"/>
              <w:left w:w="110" w:type="dxa"/>
              <w:bottom w:w="70" w:type="dxa"/>
              <w:right w:w="110" w:type="dxa"/>
            </w:tcMar>
            <w:vAlign w:val="center"/>
          </w:tcPr>
          <w:p w14:paraId="4A148191"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Wang 等[1]把冲突事件表示为节点、事件间的时空联系表示为边，用风险图刻画安全状态的演化；Lyu 等[2]在高速公路分流区构建因果图，将道路、交通和车辆因素用于实时冲突预测。</w:t>
            </w:r>
          </w:p>
        </w:tc>
        <w:tc>
          <w:tcPr>
            <w:tcW w:w="3838" w:type="dxa"/>
            <w:tcMar>
              <w:top w:w="70" w:type="dxa"/>
              <w:left w:w="110" w:type="dxa"/>
              <w:bottom w:w="70" w:type="dxa"/>
              <w:right w:w="110" w:type="dxa"/>
            </w:tcMar>
            <w:vAlign w:val="center"/>
          </w:tcPr>
          <w:p w14:paraId="0FBB6F58"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现有工作重在冲突表征和预测，没有通过闭环干预验证局部传播之外的车辆关系。</w:t>
            </w:r>
          </w:p>
        </w:tc>
      </w:tr>
      <w:tr w:rsidR="000B2A8F" w:rsidRPr="00967987" w14:paraId="0D636813" w14:textId="77777777">
        <w:trPr>
          <w:cantSplit/>
        </w:trPr>
        <w:tc>
          <w:tcPr>
            <w:tcW w:w="1750" w:type="dxa"/>
            <w:tcMar>
              <w:top w:w="70" w:type="dxa"/>
              <w:left w:w="110" w:type="dxa"/>
              <w:bottom w:w="70" w:type="dxa"/>
              <w:right w:w="110" w:type="dxa"/>
            </w:tcMar>
            <w:vAlign w:val="center"/>
          </w:tcPr>
          <w:p w14:paraId="5A5122AF" w14:textId="77777777" w:rsidR="000B2A8F" w:rsidRPr="00967987" w:rsidRDefault="00000000">
            <w:pPr>
              <w:spacing w:after="0" w:line="240" w:lineRule="auto"/>
              <w:rPr>
                <w:rFonts w:ascii="宋体" w:hAnsi="宋体"/>
              </w:rPr>
            </w:pPr>
            <w:r w:rsidRPr="00967987">
              <w:rPr>
                <w:rFonts w:ascii="宋体" w:hAnsi="宋体"/>
                <w:color w:val="000000"/>
                <w:sz w:val="18"/>
              </w:rPr>
              <w:t>相邻车辆级联风险</w:t>
            </w:r>
          </w:p>
        </w:tc>
        <w:tc>
          <w:tcPr>
            <w:tcW w:w="4050" w:type="dxa"/>
            <w:tcMar>
              <w:top w:w="70" w:type="dxa"/>
              <w:left w:w="110" w:type="dxa"/>
              <w:bottom w:w="70" w:type="dxa"/>
              <w:right w:w="110" w:type="dxa"/>
            </w:tcMar>
            <w:vAlign w:val="center"/>
          </w:tcPr>
          <w:p w14:paraId="75AC7D4C"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Luo 等[3]结合 TTC、DRAC 和前后车状态构造级联风险度量，描述风险在连续车队中的逐级累积。</w:t>
            </w:r>
          </w:p>
        </w:tc>
        <w:tc>
          <w:tcPr>
            <w:tcW w:w="3838" w:type="dxa"/>
            <w:tcMar>
              <w:top w:w="70" w:type="dxa"/>
              <w:left w:w="110" w:type="dxa"/>
              <w:bottom w:w="70" w:type="dxa"/>
              <w:right w:w="110" w:type="dxa"/>
            </w:tcMar>
            <w:vAlign w:val="center"/>
          </w:tcPr>
          <w:p w14:paraId="754FB1C2"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该方法研究相邻车辆的局部逐跳传播；本文先用它建立局部基线，再筛选基线无法解释的关系。</w:t>
            </w:r>
          </w:p>
        </w:tc>
      </w:tr>
      <w:tr w:rsidR="000B2A8F" w:rsidRPr="00967987" w14:paraId="105EF749" w14:textId="77777777">
        <w:trPr>
          <w:cantSplit/>
        </w:trPr>
        <w:tc>
          <w:tcPr>
            <w:tcW w:w="1750" w:type="dxa"/>
            <w:tcMar>
              <w:top w:w="70" w:type="dxa"/>
              <w:left w:w="110" w:type="dxa"/>
              <w:bottom w:w="70" w:type="dxa"/>
              <w:right w:w="110" w:type="dxa"/>
            </w:tcMar>
            <w:vAlign w:val="center"/>
          </w:tcPr>
          <w:p w14:paraId="399C5979" w14:textId="77777777" w:rsidR="000B2A8F" w:rsidRPr="00967987" w:rsidRDefault="00000000">
            <w:pPr>
              <w:spacing w:after="0" w:line="240" w:lineRule="auto"/>
              <w:rPr>
                <w:rFonts w:ascii="宋体" w:hAnsi="宋体"/>
              </w:rPr>
            </w:pPr>
            <w:r w:rsidRPr="00967987">
              <w:rPr>
                <w:rFonts w:ascii="宋体" w:hAnsi="宋体"/>
                <w:color w:val="000000"/>
                <w:sz w:val="18"/>
              </w:rPr>
              <w:t>非局部交通流</w:t>
            </w:r>
          </w:p>
        </w:tc>
        <w:tc>
          <w:tcPr>
            <w:tcW w:w="4050" w:type="dxa"/>
            <w:tcMar>
              <w:top w:w="70" w:type="dxa"/>
              <w:left w:w="110" w:type="dxa"/>
              <w:bottom w:w="70" w:type="dxa"/>
              <w:right w:w="110" w:type="dxa"/>
            </w:tcMar>
            <w:vAlign w:val="center"/>
          </w:tcPr>
          <w:p w14:paraId="3E21561E"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Huang 和 Du[5]研究联网车辆利用前方一定范围内交通信息的稳定性；Sun 和 Tan[6]研究前视规则；Friedrich 等[7]将类似规则扩展到路网。</w:t>
            </w:r>
          </w:p>
        </w:tc>
        <w:tc>
          <w:tcPr>
            <w:tcW w:w="3838" w:type="dxa"/>
            <w:tcMar>
              <w:top w:w="70" w:type="dxa"/>
              <w:left w:w="110" w:type="dxa"/>
              <w:bottom w:w="70" w:type="dxa"/>
              <w:right w:w="110" w:type="dxa"/>
            </w:tcMar>
            <w:vAlign w:val="center"/>
          </w:tcPr>
          <w:p w14:paraId="1FF18A9A"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这些研究主要分析速度、密度和交通流稳定性；本文研究单辆车的碰撞冲突事件，并进行闭环反事实验证。</w:t>
            </w:r>
          </w:p>
        </w:tc>
      </w:tr>
      <w:tr w:rsidR="000B2A8F" w:rsidRPr="00967987" w14:paraId="7B76F721" w14:textId="77777777">
        <w:trPr>
          <w:cantSplit/>
        </w:trPr>
        <w:tc>
          <w:tcPr>
            <w:tcW w:w="1750" w:type="dxa"/>
            <w:tcMar>
              <w:top w:w="70" w:type="dxa"/>
              <w:left w:w="110" w:type="dxa"/>
              <w:bottom w:w="70" w:type="dxa"/>
              <w:right w:w="110" w:type="dxa"/>
            </w:tcMar>
            <w:vAlign w:val="center"/>
          </w:tcPr>
          <w:p w14:paraId="26416DFC" w14:textId="77777777" w:rsidR="000B2A8F" w:rsidRPr="00967987" w:rsidRDefault="00000000">
            <w:pPr>
              <w:spacing w:after="0" w:line="240" w:lineRule="auto"/>
              <w:rPr>
                <w:rFonts w:ascii="宋体" w:hAnsi="宋体"/>
              </w:rPr>
            </w:pPr>
            <w:r w:rsidRPr="00967987">
              <w:rPr>
                <w:rFonts w:ascii="宋体" w:hAnsi="宋体"/>
                <w:color w:val="000000"/>
                <w:sz w:val="18"/>
              </w:rPr>
              <w:t>拥堵波传播</w:t>
            </w:r>
          </w:p>
        </w:tc>
        <w:tc>
          <w:tcPr>
            <w:tcW w:w="4050" w:type="dxa"/>
            <w:tcMar>
              <w:top w:w="70" w:type="dxa"/>
              <w:left w:w="110" w:type="dxa"/>
              <w:bottom w:w="70" w:type="dxa"/>
              <w:right w:w="110" w:type="dxa"/>
            </w:tcMar>
            <w:vAlign w:val="center"/>
          </w:tcPr>
          <w:p w14:paraId="37251472"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Guan 等[4]用随机游走方法分析混合交通中低速和拥堵状态如何形成并沿车流传播。</w:t>
            </w:r>
          </w:p>
        </w:tc>
        <w:tc>
          <w:tcPr>
            <w:tcW w:w="3838" w:type="dxa"/>
            <w:tcMar>
              <w:top w:w="70" w:type="dxa"/>
              <w:left w:w="110" w:type="dxa"/>
              <w:bottom w:w="70" w:type="dxa"/>
              <w:right w:w="110" w:type="dxa"/>
            </w:tcMar>
            <w:vAlign w:val="center"/>
          </w:tcPr>
          <w:p w14:paraId="248E2039"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拥堵属于交通效率和运行状态问题；本文关注碰撞发生前的安全冲突。</w:t>
            </w:r>
          </w:p>
        </w:tc>
      </w:tr>
      <w:tr w:rsidR="000B2A8F" w:rsidRPr="00967987" w14:paraId="12A32BD7" w14:textId="77777777">
        <w:tc>
          <w:tcPr>
            <w:tcW w:w="1750" w:type="dxa"/>
            <w:tcMar>
              <w:top w:w="70" w:type="dxa"/>
              <w:left w:w="110" w:type="dxa"/>
              <w:bottom w:w="70" w:type="dxa"/>
              <w:right w:w="110" w:type="dxa"/>
            </w:tcMar>
            <w:vAlign w:val="center"/>
          </w:tcPr>
          <w:p w14:paraId="1DF3B7AF"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量子非局部性与量子式决策</w:t>
            </w:r>
          </w:p>
        </w:tc>
        <w:tc>
          <w:tcPr>
            <w:tcW w:w="4050" w:type="dxa"/>
            <w:tcMar>
              <w:top w:w="70" w:type="dxa"/>
              <w:left w:w="110" w:type="dxa"/>
              <w:bottom w:w="70" w:type="dxa"/>
              <w:right w:w="110" w:type="dxa"/>
            </w:tcMar>
            <w:vAlign w:val="center"/>
          </w:tcPr>
          <w:p w14:paraId="29DA7072" w14:textId="77777777" w:rsidR="000B2A8F" w:rsidRPr="00967987" w:rsidRDefault="00000000">
            <w:pPr>
              <w:spacing w:after="0" w:line="240" w:lineRule="auto"/>
              <w:rPr>
                <w:rFonts w:ascii="宋体" w:hAnsi="宋体"/>
              </w:rPr>
            </w:pPr>
            <w:r w:rsidRPr="00967987">
              <w:rPr>
                <w:rFonts w:ascii="宋体" w:hAnsi="宋体"/>
                <w:color w:val="000000"/>
                <w:sz w:val="18"/>
              </w:rPr>
              <w:t>Brunner 等[9]综述 Bell 非局部性，研究量子系统中相隔对象的测量相关；Song 等[10]用量子概率描述自动驾驶决策中的犹豫和不确定性。</w:t>
            </w:r>
          </w:p>
        </w:tc>
        <w:tc>
          <w:tcPr>
            <w:tcW w:w="3838" w:type="dxa"/>
            <w:tcMar>
              <w:top w:w="70" w:type="dxa"/>
              <w:left w:w="110" w:type="dxa"/>
              <w:bottom w:w="70" w:type="dxa"/>
              <w:right w:w="110" w:type="dxa"/>
            </w:tcMar>
            <w:vAlign w:val="center"/>
          </w:tcPr>
          <w:p w14:paraId="3C187DE9"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两篇文献用于提出假设和界定边界，不是车辆间远距离风险作用的证据。交通机制仍需由感知、通信或统一控制解释。</w:t>
            </w:r>
          </w:p>
        </w:tc>
      </w:tr>
    </w:tbl>
    <w:p w14:paraId="65A18026" w14:textId="77777777" w:rsidR="005C765A" w:rsidRDefault="005C765A">
      <w:pPr>
        <w:ind w:firstLine="420"/>
        <w:jc w:val="both"/>
        <w:rPr>
          <w:rFonts w:ascii="宋体" w:hAnsi="宋体"/>
          <w:b/>
          <w:color w:val="000000"/>
          <w:lang w:eastAsia="zh-CN"/>
        </w:rPr>
      </w:pPr>
    </w:p>
    <w:p w14:paraId="18D58291" w14:textId="1691777C" w:rsidR="000B2A8F" w:rsidRPr="00967987" w:rsidRDefault="00000000">
      <w:pPr>
        <w:ind w:firstLine="420"/>
        <w:jc w:val="both"/>
        <w:rPr>
          <w:rFonts w:ascii="宋体" w:hAnsi="宋体"/>
          <w:lang w:eastAsia="zh-CN"/>
        </w:rPr>
      </w:pPr>
      <w:r w:rsidRPr="00967987">
        <w:rPr>
          <w:rFonts w:ascii="宋体" w:hAnsi="宋体"/>
          <w:b/>
          <w:color w:val="000000"/>
          <w:lang w:eastAsia="zh-CN"/>
        </w:rPr>
        <w:t>量子相关文献只作为假设来源和边界说明。</w:t>
      </w:r>
      <w:r w:rsidRPr="00967987">
        <w:rPr>
          <w:rFonts w:ascii="宋体" w:hAnsi="宋体"/>
          <w:color w:val="000000"/>
          <w:lang w:eastAsia="zh-CN"/>
        </w:rPr>
        <w:t>Bell 非局部性讨论的是量子测量相关[9]，量子式自动驾驶决策讨论的是行为不确定性[10]；它们都没有证明经典车辆之间存在量子作用。因此，本文仍要求远距离候选关系具有可观察的交通机制，并通过反事实实验验证。</w:t>
      </w:r>
    </w:p>
    <w:p w14:paraId="51FEB5A3" w14:textId="77777777" w:rsidR="000B2A8F" w:rsidRPr="00967987" w:rsidRDefault="00000000">
      <w:pPr>
        <w:ind w:firstLine="420"/>
        <w:jc w:val="both"/>
        <w:rPr>
          <w:rFonts w:ascii="宋体" w:hAnsi="宋体"/>
          <w:lang w:eastAsia="zh-CN"/>
        </w:rPr>
      </w:pPr>
      <w:r w:rsidRPr="00967987">
        <w:rPr>
          <w:rFonts w:ascii="宋体" w:hAnsi="宋体"/>
          <w:color w:val="000000"/>
          <w:lang w:eastAsia="zh-CN"/>
        </w:rPr>
        <w:t>结合上述文献，本文的创新点暂定为三点：</w:t>
      </w:r>
    </w:p>
    <w:p w14:paraId="338B1A90" w14:textId="77777777" w:rsidR="000B2A8F" w:rsidRPr="00967987" w:rsidRDefault="00000000">
      <w:pPr>
        <w:pStyle w:val="a"/>
        <w:numPr>
          <w:ilvl w:val="0"/>
          <w:numId w:val="10"/>
        </w:numPr>
        <w:spacing w:after="40" w:line="264" w:lineRule="auto"/>
        <w:ind w:left="420" w:hanging="283"/>
        <w:rPr>
          <w:rFonts w:ascii="宋体" w:hAnsi="宋体"/>
          <w:lang w:eastAsia="zh-CN"/>
        </w:rPr>
      </w:pPr>
      <w:r w:rsidRPr="00967987">
        <w:rPr>
          <w:rFonts w:ascii="宋体" w:hAnsi="宋体"/>
          <w:b/>
          <w:color w:val="000000"/>
          <w:lang w:eastAsia="zh-CN"/>
        </w:rPr>
        <w:t>单车事件尺度。</w:t>
      </w:r>
      <w:r w:rsidRPr="00967987">
        <w:rPr>
          <w:rFonts w:ascii="宋体" w:hAnsi="宋体"/>
          <w:color w:val="000000"/>
          <w:lang w:eastAsia="zh-CN"/>
        </w:rPr>
        <w:t>将非局部交通问题落到有车辆编号、起止时间和风险指标的追尾型碰撞冲突事件。</w:t>
      </w:r>
    </w:p>
    <w:p w14:paraId="7A86D2D0" w14:textId="77777777" w:rsidR="000B2A8F" w:rsidRPr="00967987" w:rsidRDefault="00000000">
      <w:pPr>
        <w:pStyle w:val="a"/>
        <w:numPr>
          <w:ilvl w:val="0"/>
          <w:numId w:val="10"/>
        </w:numPr>
        <w:spacing w:after="40" w:line="264" w:lineRule="auto"/>
        <w:ind w:left="420" w:hanging="283"/>
        <w:rPr>
          <w:rFonts w:ascii="宋体" w:hAnsi="宋体"/>
          <w:lang w:eastAsia="zh-CN"/>
        </w:rPr>
      </w:pPr>
      <w:r w:rsidRPr="00967987">
        <w:rPr>
          <w:rFonts w:ascii="宋体" w:hAnsi="宋体"/>
          <w:b/>
          <w:color w:val="000000"/>
          <w:lang w:eastAsia="zh-CN"/>
        </w:rPr>
        <w:t>区分局部传播与远距离候选关系。</w:t>
      </w:r>
      <w:r w:rsidRPr="00967987">
        <w:rPr>
          <w:rFonts w:ascii="宋体" w:hAnsi="宋体"/>
          <w:color w:val="000000"/>
          <w:lang w:eastAsia="zh-CN"/>
        </w:rPr>
        <w:t>同车连续、前车到后车和同区域近邻关系组成局部基线；没有连续中间传播链的关系才进入远距离候选集合。</w:t>
      </w:r>
    </w:p>
    <w:p w14:paraId="215260DD" w14:textId="77777777" w:rsidR="000B2A8F" w:rsidRPr="00967987" w:rsidRDefault="00000000">
      <w:pPr>
        <w:pStyle w:val="a"/>
        <w:numPr>
          <w:ilvl w:val="0"/>
          <w:numId w:val="10"/>
        </w:numPr>
        <w:spacing w:after="40" w:line="264" w:lineRule="auto"/>
        <w:ind w:left="420" w:hanging="283"/>
        <w:rPr>
          <w:rFonts w:ascii="宋体" w:hAnsi="宋体"/>
          <w:lang w:eastAsia="zh-CN"/>
        </w:rPr>
      </w:pPr>
      <w:r w:rsidRPr="00967987">
        <w:rPr>
          <w:rFonts w:ascii="宋体" w:hAnsi="宋体"/>
          <w:b/>
          <w:color w:val="000000"/>
          <w:lang w:eastAsia="zh-CN"/>
        </w:rPr>
        <w:t>闭环反事实验证。</w:t>
      </w:r>
      <w:r w:rsidRPr="00967987">
        <w:rPr>
          <w:rFonts w:ascii="宋体" w:hAnsi="宋体"/>
          <w:color w:val="000000"/>
          <w:lang w:eastAsia="zh-CN"/>
        </w:rPr>
        <w:t>固定初始状态和随机种子，只改变车辆 A 的信息或控制指令，再检查车辆 B 的风险是否稳定变化。</w:t>
      </w:r>
    </w:p>
    <w:p w14:paraId="705AB5F4" w14:textId="1C1D6418" w:rsidR="000B2A8F" w:rsidRPr="00967987" w:rsidRDefault="005C765A">
      <w:pPr>
        <w:pStyle w:val="21"/>
        <w:rPr>
          <w:rFonts w:ascii="宋体" w:eastAsia="宋体" w:hAnsi="宋体"/>
          <w:lang w:eastAsia="zh-CN"/>
        </w:rPr>
      </w:pPr>
      <w:r>
        <w:rPr>
          <w:rFonts w:ascii="宋体" w:eastAsia="宋体" w:hAnsi="宋体" w:hint="eastAsia"/>
          <w:lang w:eastAsia="zh-CN"/>
        </w:rPr>
        <w:lastRenderedPageBreak/>
        <w:t>2.</w:t>
      </w:r>
      <w:r w:rsidR="00000000" w:rsidRPr="00967987">
        <w:rPr>
          <w:rFonts w:ascii="宋体" w:eastAsia="宋体" w:hAnsi="宋体"/>
          <w:lang w:eastAsia="zh-CN"/>
        </w:rPr>
        <w:t>风险定义</w:t>
      </w:r>
    </w:p>
    <w:p w14:paraId="63035045" w14:textId="030E4C89" w:rsidR="000B2A8F" w:rsidRPr="00967987" w:rsidRDefault="00000000">
      <w:pPr>
        <w:ind w:firstLine="420"/>
        <w:jc w:val="both"/>
        <w:rPr>
          <w:rFonts w:ascii="宋体" w:hAnsi="宋体"/>
          <w:lang w:eastAsia="zh-CN"/>
        </w:rPr>
      </w:pPr>
      <w:r w:rsidRPr="00967987">
        <w:rPr>
          <w:rFonts w:ascii="宋体" w:hAnsi="宋体"/>
          <w:b/>
          <w:color w:val="000000"/>
          <w:lang w:eastAsia="zh-CN"/>
        </w:rPr>
        <w:t>风险定义为：混合自动驾驶场景中，跟驰或合流车辆持续接近，按当前运动状态继续行驶可能发生追尾，因此至少一辆车需要制动或调整轨迹的碰撞前交通冲突[1][2]。</w:t>
      </w:r>
      <w:r w:rsidRPr="00967987">
        <w:rPr>
          <w:rFonts w:ascii="宋体" w:hAnsi="宋体"/>
          <w:color w:val="000000"/>
          <w:lang w:eastAsia="zh-CN"/>
        </w:rPr>
        <w:t>例如车辆 A 合流后减速，后车 B 与 A 的距离持续缩小，B 必须制动才能避免追尾，从开始持续接近到恢复安全间距记为一次风险事件；若最终发生碰撞，则记录为事故结果。</w:t>
      </w:r>
    </w:p>
    <w:p w14:paraId="112B4002" w14:textId="77777777" w:rsidR="000B2A8F" w:rsidRPr="00967987" w:rsidRDefault="00000000">
      <w:pPr>
        <w:ind w:firstLine="420"/>
        <w:jc w:val="both"/>
        <w:rPr>
          <w:rFonts w:ascii="宋体" w:hAnsi="宋体"/>
          <w:lang w:eastAsia="zh-CN"/>
        </w:rPr>
      </w:pPr>
      <w:r w:rsidRPr="00967987">
        <w:rPr>
          <w:rFonts w:ascii="宋体" w:hAnsi="宋体"/>
          <w:b/>
          <w:color w:val="000000"/>
          <w:lang w:eastAsia="zh-CN"/>
        </w:rPr>
        <w:t>本文不把拥堵定义为风险。</w:t>
      </w:r>
      <w:r w:rsidRPr="00967987">
        <w:rPr>
          <w:rFonts w:ascii="宋体" w:hAnsi="宋体"/>
          <w:color w:val="000000"/>
          <w:lang w:eastAsia="zh-CN"/>
        </w:rPr>
        <w:t>拥堵主要由速度、密度和排队长度描述，属于交通效率问题；低速排队时车间距可以保持稳定，并不一定出现碰撞趋势；事故后的拥堵又属于事故造成的结果，与事故前冲突的形成机制不同。本文仍记录拥堵，并把它作为场景背景或共同因素控制，但不放入风险事件集合。急刹只有在同时形成持续碰撞接近时才纳入分析。</w:t>
      </w:r>
    </w:p>
    <w:p w14:paraId="43435781" w14:textId="77777777" w:rsidR="000B2A8F" w:rsidRPr="00967987" w:rsidRDefault="00000000">
      <w:pPr>
        <w:spacing w:before="40" w:after="40"/>
        <w:jc w:val="center"/>
        <w:rPr>
          <w:rFonts w:ascii="宋体" w:hAnsi="宋体"/>
        </w:rPr>
      </w:pPr>
      <w:r w:rsidRPr="00967987">
        <w:rPr>
          <w:rFonts w:ascii="宋体" w:hAnsi="宋体"/>
          <w:color w:val="000000"/>
        </w:rPr>
        <w:t>TTC</w:t>
      </w:r>
      <w:r w:rsidRPr="00967987">
        <w:rPr>
          <w:rFonts w:cs="Times New Roman"/>
          <w:color w:val="000000"/>
        </w:rPr>
        <w:t>ᵢ</w:t>
      </w:r>
      <w:r w:rsidRPr="00967987">
        <w:rPr>
          <w:rFonts w:ascii="宋体" w:hAnsi="宋体"/>
          <w:color w:val="000000"/>
        </w:rPr>
        <w:t>(t) = h</w:t>
      </w:r>
      <w:r w:rsidRPr="00967987">
        <w:rPr>
          <w:rFonts w:cs="Times New Roman"/>
          <w:color w:val="000000"/>
        </w:rPr>
        <w:t>ᵢ</w:t>
      </w:r>
      <w:r w:rsidRPr="00967987">
        <w:rPr>
          <w:rFonts w:ascii="宋体" w:hAnsi="宋体"/>
          <w:color w:val="000000"/>
        </w:rPr>
        <w:t>(t) / Δv</w:t>
      </w:r>
      <w:r w:rsidRPr="00967987">
        <w:rPr>
          <w:rFonts w:cs="Times New Roman"/>
          <w:color w:val="000000"/>
        </w:rPr>
        <w:t>ᵢ</w:t>
      </w:r>
      <w:r w:rsidRPr="00967987">
        <w:rPr>
          <w:rFonts w:ascii="宋体" w:hAnsi="宋体"/>
          <w:color w:val="000000"/>
        </w:rPr>
        <w:t>(t)        DRAC</w:t>
      </w:r>
      <w:r w:rsidRPr="00967987">
        <w:rPr>
          <w:rFonts w:cs="Times New Roman"/>
          <w:color w:val="000000"/>
        </w:rPr>
        <w:t>ᵢ</w:t>
      </w:r>
      <w:r w:rsidRPr="00967987">
        <w:rPr>
          <w:rFonts w:ascii="宋体" w:hAnsi="宋体"/>
          <w:color w:val="000000"/>
        </w:rPr>
        <w:t>(t) = Δv</w:t>
      </w:r>
      <w:r w:rsidRPr="00967987">
        <w:rPr>
          <w:rFonts w:cs="Times New Roman"/>
          <w:color w:val="000000"/>
        </w:rPr>
        <w:t>ᵢ</w:t>
      </w:r>
      <w:r w:rsidRPr="00967987">
        <w:rPr>
          <w:rFonts w:ascii="宋体" w:hAnsi="宋体"/>
          <w:color w:val="000000"/>
        </w:rPr>
        <w:t>²(t) / [2h</w:t>
      </w:r>
      <w:r w:rsidRPr="00967987">
        <w:rPr>
          <w:rFonts w:cs="Times New Roman"/>
          <w:color w:val="000000"/>
        </w:rPr>
        <w:t>ᵢ</w:t>
      </w:r>
      <w:r w:rsidRPr="00967987">
        <w:rPr>
          <w:rFonts w:ascii="宋体" w:hAnsi="宋体"/>
          <w:color w:val="000000"/>
        </w:rPr>
        <w:t>(t)]</w:t>
      </w:r>
    </w:p>
    <w:p w14:paraId="0980D459" w14:textId="77777777" w:rsidR="000B2A8F" w:rsidRPr="00967987" w:rsidRDefault="00000000">
      <w:pPr>
        <w:spacing w:before="40" w:after="40"/>
        <w:jc w:val="center"/>
        <w:rPr>
          <w:rFonts w:ascii="宋体" w:hAnsi="宋体"/>
        </w:rPr>
      </w:pPr>
      <w:r w:rsidRPr="00967987">
        <w:rPr>
          <w:rFonts w:ascii="宋体" w:hAnsi="宋体"/>
          <w:color w:val="000000"/>
        </w:rPr>
        <w:t>THW</w:t>
      </w:r>
      <w:r w:rsidRPr="00967987">
        <w:rPr>
          <w:rFonts w:cs="Times New Roman"/>
          <w:color w:val="000000"/>
        </w:rPr>
        <w:t>ᵢ</w:t>
      </w:r>
      <w:r w:rsidRPr="00967987">
        <w:rPr>
          <w:rFonts w:ascii="宋体" w:hAnsi="宋体"/>
          <w:color w:val="000000"/>
        </w:rPr>
        <w:t>(t) = h</w:t>
      </w:r>
      <w:r w:rsidRPr="00967987">
        <w:rPr>
          <w:rFonts w:cs="Times New Roman"/>
          <w:color w:val="000000"/>
        </w:rPr>
        <w:t>ᵢ</w:t>
      </w:r>
      <w:r w:rsidRPr="00967987">
        <w:rPr>
          <w:rFonts w:ascii="宋体" w:hAnsi="宋体"/>
          <w:color w:val="000000"/>
        </w:rPr>
        <w:t>(t) / v</w:t>
      </w:r>
      <w:r w:rsidRPr="00967987">
        <w:rPr>
          <w:rFonts w:cs="Times New Roman"/>
          <w:color w:val="000000"/>
        </w:rPr>
        <w:t>ᵢ</w:t>
      </w:r>
      <w:r w:rsidRPr="00967987">
        <w:rPr>
          <w:rFonts w:ascii="宋体" w:hAnsi="宋体"/>
          <w:color w:val="000000"/>
        </w:rPr>
        <w:t>(t)        B</w:t>
      </w:r>
      <w:r w:rsidRPr="00967987">
        <w:rPr>
          <w:rFonts w:cs="Times New Roman"/>
          <w:color w:val="000000"/>
        </w:rPr>
        <w:t>ᵢ</w:t>
      </w:r>
      <w:r w:rsidRPr="00967987">
        <w:rPr>
          <w:rFonts w:ascii="宋体" w:hAnsi="宋体"/>
          <w:color w:val="000000"/>
        </w:rPr>
        <w:t>(t) = max{0, -a</w:t>
      </w:r>
      <w:r w:rsidRPr="00967987">
        <w:rPr>
          <w:rFonts w:cs="Times New Roman"/>
          <w:color w:val="000000"/>
        </w:rPr>
        <w:t>ᵢ</w:t>
      </w:r>
      <w:r w:rsidRPr="00967987">
        <w:rPr>
          <w:rFonts w:ascii="宋体" w:hAnsi="宋体"/>
          <w:color w:val="000000"/>
        </w:rPr>
        <w:t>(t)}</w:t>
      </w:r>
    </w:p>
    <w:p w14:paraId="2E5EFDB3" w14:textId="77777777" w:rsidR="000B2A8F" w:rsidRPr="00967987" w:rsidRDefault="00000000">
      <w:pPr>
        <w:ind w:firstLine="420"/>
        <w:jc w:val="both"/>
        <w:rPr>
          <w:rFonts w:ascii="宋体" w:hAnsi="宋体"/>
          <w:lang w:eastAsia="zh-CN"/>
        </w:rPr>
      </w:pPr>
      <w:r w:rsidRPr="00967987">
        <w:rPr>
          <w:rFonts w:ascii="宋体" w:hAnsi="宋体"/>
          <w:color w:val="000000"/>
          <w:lang w:eastAsia="zh-CN"/>
        </w:rPr>
        <w:t>TTC 和 THW 越小，DRAC 和制动强度 B 越大，冲突越紧迫[3]。本周采用 TTC≤2 s、THW≤1 s 和加速度≤-3 m/s²识别风险状态；连续危险帧合并为一个事件片段。</w:t>
      </w:r>
    </w:p>
    <w:p w14:paraId="0D378BAE" w14:textId="4D6DF961" w:rsidR="000B2A8F" w:rsidRPr="00967987" w:rsidRDefault="005C765A">
      <w:pPr>
        <w:pStyle w:val="21"/>
        <w:rPr>
          <w:rFonts w:ascii="宋体" w:eastAsia="宋体" w:hAnsi="宋体"/>
          <w:lang w:eastAsia="zh-CN"/>
        </w:rPr>
      </w:pPr>
      <w:r>
        <w:rPr>
          <w:rFonts w:ascii="宋体" w:eastAsia="宋体" w:hAnsi="宋体" w:hint="eastAsia"/>
          <w:lang w:eastAsia="zh-CN"/>
        </w:rPr>
        <w:t>2.</w:t>
      </w:r>
      <w:r w:rsidR="00000000" w:rsidRPr="00967987">
        <w:rPr>
          <w:rFonts w:ascii="宋体" w:eastAsia="宋体" w:hAnsi="宋体"/>
          <w:lang w:eastAsia="zh-CN"/>
        </w:rPr>
        <w:t>DRIFT 基线与结果</w:t>
      </w:r>
    </w:p>
    <w:p w14:paraId="26F648E9" w14:textId="77777777" w:rsidR="000B2A8F" w:rsidRPr="00967987" w:rsidRDefault="00000000">
      <w:pPr>
        <w:ind w:firstLine="420"/>
        <w:jc w:val="both"/>
        <w:rPr>
          <w:rFonts w:ascii="宋体" w:hAnsi="宋体"/>
          <w:lang w:eastAsia="zh-CN"/>
        </w:rPr>
      </w:pPr>
      <w:r w:rsidRPr="00967987">
        <w:rPr>
          <w:rFonts w:ascii="宋体" w:hAnsi="宋体"/>
          <w:b/>
          <w:color w:val="000000"/>
          <w:lang w:eastAsia="zh-CN"/>
        </w:rPr>
        <w:t>DRIFT 在当前阶段可用。</w:t>
      </w:r>
      <w:r w:rsidRPr="00967987">
        <w:rPr>
          <w:rFonts w:ascii="宋体" w:hAnsi="宋体"/>
          <w:color w:val="000000"/>
          <w:lang w:eastAsia="zh-CN"/>
        </w:rPr>
        <w:t>修正 TTC、前车和车道字段后，90 次运行均能输出连续的车辆状态，能够完成风险事件提取、局部关系构建和时间置换；DRIFT 还支持固定随机种子后重新运行，为下一步闭环反事实实验提供了基础。这里的“可用”指它能支撑本课题的数据处理和验证流程，不表示它优于其他控制方法。</w:t>
      </w:r>
    </w:p>
    <w:p w14:paraId="5157DD0C" w14:textId="77777777" w:rsidR="000B2A8F" w:rsidRPr="00967987" w:rsidRDefault="00000000">
      <w:pPr>
        <w:ind w:firstLine="420"/>
        <w:jc w:val="both"/>
        <w:rPr>
          <w:rFonts w:ascii="宋体" w:hAnsi="宋体"/>
          <w:lang w:eastAsia="zh-CN"/>
        </w:rPr>
      </w:pPr>
      <w:r w:rsidRPr="00967987">
        <w:rPr>
          <w:rFonts w:ascii="宋体" w:hAnsi="宋体"/>
          <w:color w:val="000000"/>
          <w:lang w:eastAsia="zh-CN"/>
        </w:rPr>
        <w:t>局部关系要求源事件早于目标事件、时间差不超过 3 s，同区域关系的纵向距离不超过 50 m。时间置换保持每辆车自己的事件模式，只随机平移整段事件时间，用于检查跨车辆联系是否来自时间巧合[8]。</w:t>
      </w:r>
    </w:p>
    <w:tbl>
      <w:tblPr>
        <w:tblStyle w:val="aff1"/>
        <w:tblW w:w="9638" w:type="dxa"/>
        <w:tblInd w:w="11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650"/>
        <w:gridCol w:w="3100"/>
        <w:gridCol w:w="4888"/>
      </w:tblGrid>
      <w:tr w:rsidR="000B2A8F" w:rsidRPr="00967987" w14:paraId="0154F5EC" w14:textId="77777777">
        <w:trPr>
          <w:cantSplit/>
          <w:tblHeader/>
        </w:trPr>
        <w:tc>
          <w:tcPr>
            <w:tcW w:w="1650" w:type="dxa"/>
            <w:shd w:val="clear" w:color="auto" w:fill="EDEDED"/>
            <w:tcMar>
              <w:top w:w="70" w:type="dxa"/>
              <w:left w:w="110" w:type="dxa"/>
              <w:bottom w:w="70" w:type="dxa"/>
              <w:right w:w="110" w:type="dxa"/>
            </w:tcMar>
            <w:vAlign w:val="center"/>
          </w:tcPr>
          <w:p w14:paraId="32C7FD5C" w14:textId="77777777" w:rsidR="000B2A8F" w:rsidRPr="00967987" w:rsidRDefault="00000000">
            <w:pPr>
              <w:spacing w:after="0" w:line="240" w:lineRule="auto"/>
              <w:jc w:val="center"/>
              <w:rPr>
                <w:rFonts w:ascii="宋体" w:hAnsi="宋体"/>
              </w:rPr>
            </w:pPr>
            <w:r w:rsidRPr="00967987">
              <w:rPr>
                <w:rFonts w:ascii="宋体" w:hAnsi="宋体"/>
                <w:b/>
                <w:color w:val="000000"/>
                <w:sz w:val="19"/>
              </w:rPr>
              <w:t>内容</w:t>
            </w:r>
          </w:p>
        </w:tc>
        <w:tc>
          <w:tcPr>
            <w:tcW w:w="3100" w:type="dxa"/>
            <w:shd w:val="clear" w:color="auto" w:fill="EDEDED"/>
            <w:tcMar>
              <w:top w:w="70" w:type="dxa"/>
              <w:left w:w="110" w:type="dxa"/>
              <w:bottom w:w="70" w:type="dxa"/>
              <w:right w:w="110" w:type="dxa"/>
            </w:tcMar>
            <w:vAlign w:val="center"/>
          </w:tcPr>
          <w:p w14:paraId="3D4F90C2" w14:textId="77777777" w:rsidR="000B2A8F" w:rsidRPr="00967987" w:rsidRDefault="00000000">
            <w:pPr>
              <w:spacing w:after="0" w:line="240" w:lineRule="auto"/>
              <w:jc w:val="center"/>
              <w:rPr>
                <w:rFonts w:ascii="宋体" w:hAnsi="宋体"/>
              </w:rPr>
            </w:pPr>
            <w:r w:rsidRPr="00967987">
              <w:rPr>
                <w:rFonts w:ascii="宋体" w:hAnsi="宋体"/>
                <w:b/>
                <w:color w:val="000000"/>
                <w:sz w:val="19"/>
              </w:rPr>
              <w:t>结果</w:t>
            </w:r>
          </w:p>
        </w:tc>
        <w:tc>
          <w:tcPr>
            <w:tcW w:w="4888" w:type="dxa"/>
            <w:shd w:val="clear" w:color="auto" w:fill="EDEDED"/>
            <w:tcMar>
              <w:top w:w="70" w:type="dxa"/>
              <w:left w:w="110" w:type="dxa"/>
              <w:bottom w:w="70" w:type="dxa"/>
              <w:right w:w="110" w:type="dxa"/>
            </w:tcMar>
            <w:vAlign w:val="center"/>
          </w:tcPr>
          <w:p w14:paraId="30713041" w14:textId="77777777" w:rsidR="000B2A8F" w:rsidRPr="00967987" w:rsidRDefault="00000000">
            <w:pPr>
              <w:spacing w:after="0" w:line="240" w:lineRule="auto"/>
              <w:jc w:val="center"/>
              <w:rPr>
                <w:rFonts w:ascii="宋体" w:hAnsi="宋体"/>
              </w:rPr>
            </w:pPr>
            <w:r w:rsidRPr="00967987">
              <w:rPr>
                <w:rFonts w:ascii="宋体" w:hAnsi="宋体"/>
                <w:b/>
                <w:color w:val="000000"/>
                <w:sz w:val="19"/>
              </w:rPr>
              <w:t>说明</w:t>
            </w:r>
          </w:p>
        </w:tc>
      </w:tr>
      <w:tr w:rsidR="000B2A8F" w:rsidRPr="00967987" w14:paraId="67F37034" w14:textId="77777777">
        <w:tc>
          <w:tcPr>
            <w:tcW w:w="1650" w:type="dxa"/>
            <w:tcMar>
              <w:top w:w="70" w:type="dxa"/>
              <w:left w:w="110" w:type="dxa"/>
              <w:bottom w:w="70" w:type="dxa"/>
              <w:right w:w="110" w:type="dxa"/>
            </w:tcMar>
            <w:vAlign w:val="center"/>
          </w:tcPr>
          <w:p w14:paraId="336B1D13" w14:textId="77777777" w:rsidR="000B2A8F" w:rsidRPr="00967987" w:rsidRDefault="00000000">
            <w:pPr>
              <w:spacing w:after="0" w:line="240" w:lineRule="auto"/>
              <w:rPr>
                <w:rFonts w:ascii="宋体" w:hAnsi="宋体"/>
              </w:rPr>
            </w:pPr>
            <w:r w:rsidRPr="00967987">
              <w:rPr>
                <w:rFonts w:ascii="宋体" w:hAnsi="宋体"/>
                <w:color w:val="000000"/>
                <w:sz w:val="18"/>
              </w:rPr>
              <w:t>DRIFT 可用性</w:t>
            </w:r>
          </w:p>
        </w:tc>
        <w:tc>
          <w:tcPr>
            <w:tcW w:w="3100" w:type="dxa"/>
            <w:tcMar>
              <w:top w:w="70" w:type="dxa"/>
              <w:left w:w="110" w:type="dxa"/>
              <w:bottom w:w="70" w:type="dxa"/>
              <w:right w:w="110" w:type="dxa"/>
            </w:tcMar>
            <w:vAlign w:val="center"/>
          </w:tcPr>
          <w:p w14:paraId="2F47408A" w14:textId="77777777" w:rsidR="000B2A8F" w:rsidRPr="00967987" w:rsidRDefault="00000000">
            <w:pPr>
              <w:spacing w:after="0" w:line="240" w:lineRule="auto"/>
              <w:rPr>
                <w:rFonts w:ascii="宋体" w:hAnsi="宋体"/>
              </w:rPr>
            </w:pPr>
            <w:r w:rsidRPr="00967987">
              <w:rPr>
                <w:rFonts w:ascii="宋体" w:hAnsi="宋体"/>
                <w:color w:val="000000"/>
                <w:sz w:val="18"/>
              </w:rPr>
              <w:t>当前阶段可用</w:t>
            </w:r>
          </w:p>
        </w:tc>
        <w:tc>
          <w:tcPr>
            <w:tcW w:w="4888" w:type="dxa"/>
            <w:tcMar>
              <w:top w:w="70" w:type="dxa"/>
              <w:left w:w="110" w:type="dxa"/>
              <w:bottom w:w="70" w:type="dxa"/>
              <w:right w:w="110" w:type="dxa"/>
            </w:tcMar>
            <w:vAlign w:val="center"/>
          </w:tcPr>
          <w:p w14:paraId="5B83BCEB"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90 次运行能够稳定完成事件提取、局部基线和置换检验，并支持固定随机种子的闭环重跑；正式反事实干预仍需在下一步完成。</w:t>
            </w:r>
          </w:p>
        </w:tc>
      </w:tr>
      <w:tr w:rsidR="000B2A8F" w:rsidRPr="00967987" w14:paraId="0C2F9978" w14:textId="77777777">
        <w:trPr>
          <w:cantSplit/>
        </w:trPr>
        <w:tc>
          <w:tcPr>
            <w:tcW w:w="1650" w:type="dxa"/>
            <w:tcMar>
              <w:top w:w="70" w:type="dxa"/>
              <w:left w:w="110" w:type="dxa"/>
              <w:bottom w:w="70" w:type="dxa"/>
              <w:right w:w="110" w:type="dxa"/>
            </w:tcMar>
            <w:vAlign w:val="center"/>
          </w:tcPr>
          <w:p w14:paraId="0124618C" w14:textId="77777777" w:rsidR="000B2A8F" w:rsidRPr="00967987" w:rsidRDefault="00000000">
            <w:pPr>
              <w:spacing w:after="0" w:line="240" w:lineRule="auto"/>
              <w:rPr>
                <w:rFonts w:ascii="宋体" w:hAnsi="宋体"/>
              </w:rPr>
            </w:pPr>
            <w:r w:rsidRPr="00967987">
              <w:rPr>
                <w:rFonts w:ascii="宋体" w:hAnsi="宋体"/>
                <w:color w:val="000000"/>
                <w:sz w:val="18"/>
              </w:rPr>
              <w:t>数据规模</w:t>
            </w:r>
          </w:p>
        </w:tc>
        <w:tc>
          <w:tcPr>
            <w:tcW w:w="3100" w:type="dxa"/>
            <w:tcMar>
              <w:top w:w="70" w:type="dxa"/>
              <w:left w:w="110" w:type="dxa"/>
              <w:bottom w:w="70" w:type="dxa"/>
              <w:right w:w="110" w:type="dxa"/>
            </w:tcMar>
            <w:vAlign w:val="center"/>
          </w:tcPr>
          <w:p w14:paraId="6BBEE57D"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90 次运行；542,644 条状态记录；26.52 车辆小时</w:t>
            </w:r>
          </w:p>
        </w:tc>
        <w:tc>
          <w:tcPr>
            <w:tcW w:w="4888" w:type="dxa"/>
            <w:tcMar>
              <w:top w:w="70" w:type="dxa"/>
              <w:left w:w="110" w:type="dxa"/>
              <w:bottom w:w="70" w:type="dxa"/>
              <w:right w:w="110" w:type="dxa"/>
            </w:tcMar>
            <w:vAlign w:val="center"/>
          </w:tcPr>
          <w:p w14:paraId="1576DE01"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覆盖 3 个场景和 6 种自动驾驶渗透率。</w:t>
            </w:r>
          </w:p>
        </w:tc>
      </w:tr>
      <w:tr w:rsidR="000B2A8F" w:rsidRPr="00967987" w14:paraId="18CAE66D" w14:textId="77777777">
        <w:trPr>
          <w:cantSplit/>
        </w:trPr>
        <w:tc>
          <w:tcPr>
            <w:tcW w:w="1650" w:type="dxa"/>
            <w:tcMar>
              <w:top w:w="70" w:type="dxa"/>
              <w:left w:w="110" w:type="dxa"/>
              <w:bottom w:w="70" w:type="dxa"/>
              <w:right w:w="110" w:type="dxa"/>
            </w:tcMar>
            <w:vAlign w:val="center"/>
          </w:tcPr>
          <w:p w14:paraId="191F408D" w14:textId="77777777" w:rsidR="000B2A8F" w:rsidRPr="00967987" w:rsidRDefault="00000000">
            <w:pPr>
              <w:spacing w:after="0" w:line="240" w:lineRule="auto"/>
              <w:rPr>
                <w:rFonts w:ascii="宋体" w:hAnsi="宋体"/>
              </w:rPr>
            </w:pPr>
            <w:r w:rsidRPr="00967987">
              <w:rPr>
                <w:rFonts w:ascii="宋体" w:hAnsi="宋体"/>
                <w:color w:val="000000"/>
                <w:sz w:val="18"/>
              </w:rPr>
              <w:t>事件提取</w:t>
            </w:r>
          </w:p>
        </w:tc>
        <w:tc>
          <w:tcPr>
            <w:tcW w:w="3100" w:type="dxa"/>
            <w:tcMar>
              <w:top w:w="70" w:type="dxa"/>
              <w:left w:w="110" w:type="dxa"/>
              <w:bottom w:w="70" w:type="dxa"/>
              <w:right w:w="110" w:type="dxa"/>
            </w:tcMar>
            <w:vAlign w:val="center"/>
          </w:tcPr>
          <w:p w14:paraId="5EFC1E4A"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1,745 条逐帧检测 → 508 个事件片段 → 382 个最终事件</w:t>
            </w:r>
          </w:p>
        </w:tc>
        <w:tc>
          <w:tcPr>
            <w:tcW w:w="4888" w:type="dxa"/>
            <w:tcMar>
              <w:top w:w="70" w:type="dxa"/>
              <w:left w:w="110" w:type="dxa"/>
              <w:bottom w:w="70" w:type="dxa"/>
              <w:right w:w="110" w:type="dxa"/>
            </w:tcMar>
            <w:vAlign w:val="center"/>
          </w:tcPr>
          <w:p w14:paraId="0922D826"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去除 105 个 SUMO 安全速度覆盖候选和 21 个边界片段。</w:t>
            </w:r>
          </w:p>
        </w:tc>
      </w:tr>
      <w:tr w:rsidR="000B2A8F" w:rsidRPr="00967987" w14:paraId="32A1917F" w14:textId="77777777">
        <w:trPr>
          <w:cantSplit/>
        </w:trPr>
        <w:tc>
          <w:tcPr>
            <w:tcW w:w="1650" w:type="dxa"/>
            <w:tcMar>
              <w:top w:w="70" w:type="dxa"/>
              <w:left w:w="110" w:type="dxa"/>
              <w:bottom w:w="70" w:type="dxa"/>
              <w:right w:w="110" w:type="dxa"/>
            </w:tcMar>
            <w:vAlign w:val="center"/>
          </w:tcPr>
          <w:p w14:paraId="3AF6950D" w14:textId="77777777" w:rsidR="000B2A8F" w:rsidRPr="00967987" w:rsidRDefault="00000000">
            <w:pPr>
              <w:spacing w:after="0" w:line="240" w:lineRule="auto"/>
              <w:rPr>
                <w:rFonts w:ascii="宋体" w:hAnsi="宋体"/>
              </w:rPr>
            </w:pPr>
            <w:r w:rsidRPr="00967987">
              <w:rPr>
                <w:rFonts w:ascii="宋体" w:hAnsi="宋体"/>
                <w:color w:val="000000"/>
                <w:sz w:val="18"/>
              </w:rPr>
              <w:t>局部一跳关系</w:t>
            </w:r>
          </w:p>
        </w:tc>
        <w:tc>
          <w:tcPr>
            <w:tcW w:w="3100" w:type="dxa"/>
            <w:tcMar>
              <w:top w:w="70" w:type="dxa"/>
              <w:left w:w="110" w:type="dxa"/>
              <w:bottom w:w="70" w:type="dxa"/>
              <w:right w:w="110" w:type="dxa"/>
            </w:tcMar>
            <w:vAlign w:val="center"/>
          </w:tcPr>
          <w:p w14:paraId="20C0E911" w14:textId="77777777" w:rsidR="000B2A8F" w:rsidRPr="00967987" w:rsidRDefault="00000000">
            <w:pPr>
              <w:spacing w:after="0" w:line="240" w:lineRule="auto"/>
              <w:rPr>
                <w:rFonts w:ascii="宋体" w:hAnsi="宋体"/>
              </w:rPr>
            </w:pPr>
            <w:r w:rsidRPr="00967987">
              <w:rPr>
                <w:rFonts w:ascii="宋体" w:hAnsi="宋体"/>
                <w:color w:val="000000"/>
                <w:sz w:val="18"/>
              </w:rPr>
              <w:t>355 条候选边 → 196 条一跳边</w:t>
            </w:r>
          </w:p>
        </w:tc>
        <w:tc>
          <w:tcPr>
            <w:tcW w:w="4888" w:type="dxa"/>
            <w:tcMar>
              <w:top w:w="70" w:type="dxa"/>
              <w:left w:w="110" w:type="dxa"/>
              <w:bottom w:w="70" w:type="dxa"/>
              <w:right w:w="110" w:type="dxa"/>
            </w:tcMar>
            <w:vAlign w:val="center"/>
          </w:tcPr>
          <w:p w14:paraId="23BA06BF"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包括 100 条同车关系、90 条前车到后车关系和 6 条同区域关系；96 条连接不同车辆。</w:t>
            </w:r>
          </w:p>
        </w:tc>
      </w:tr>
      <w:tr w:rsidR="000B2A8F" w:rsidRPr="00967987" w14:paraId="72A511E9" w14:textId="77777777">
        <w:trPr>
          <w:cantSplit/>
        </w:trPr>
        <w:tc>
          <w:tcPr>
            <w:tcW w:w="1650" w:type="dxa"/>
            <w:tcMar>
              <w:top w:w="70" w:type="dxa"/>
              <w:left w:w="110" w:type="dxa"/>
              <w:bottom w:w="70" w:type="dxa"/>
              <w:right w:w="110" w:type="dxa"/>
            </w:tcMar>
            <w:vAlign w:val="center"/>
          </w:tcPr>
          <w:p w14:paraId="7B57933E" w14:textId="77777777" w:rsidR="000B2A8F" w:rsidRPr="00967987" w:rsidRDefault="00000000">
            <w:pPr>
              <w:spacing w:after="0" w:line="240" w:lineRule="auto"/>
              <w:rPr>
                <w:rFonts w:ascii="宋体" w:hAnsi="宋体"/>
              </w:rPr>
            </w:pPr>
            <w:r w:rsidRPr="00967987">
              <w:rPr>
                <w:rFonts w:ascii="宋体" w:hAnsi="宋体"/>
                <w:color w:val="000000"/>
                <w:sz w:val="18"/>
              </w:rPr>
              <w:t>传播链</w:t>
            </w:r>
          </w:p>
        </w:tc>
        <w:tc>
          <w:tcPr>
            <w:tcW w:w="3100" w:type="dxa"/>
            <w:tcMar>
              <w:top w:w="70" w:type="dxa"/>
              <w:left w:w="110" w:type="dxa"/>
              <w:bottom w:w="70" w:type="dxa"/>
              <w:right w:w="110" w:type="dxa"/>
            </w:tcMar>
            <w:vAlign w:val="center"/>
          </w:tcPr>
          <w:p w14:paraId="69B8B71E"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186 条链；33 条多跳链；最长 4 条边</w:t>
            </w:r>
          </w:p>
        </w:tc>
        <w:tc>
          <w:tcPr>
            <w:tcW w:w="4888" w:type="dxa"/>
            <w:tcMar>
              <w:top w:w="70" w:type="dxa"/>
              <w:left w:w="110" w:type="dxa"/>
              <w:bottom w:w="70" w:type="dxa"/>
              <w:right w:w="110" w:type="dxa"/>
            </w:tcMar>
            <w:vAlign w:val="center"/>
          </w:tcPr>
          <w:p w14:paraId="6E55F501"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说明 DRIFT 轨迹中存在可用于后续筛选的局部传播结构。</w:t>
            </w:r>
          </w:p>
        </w:tc>
      </w:tr>
      <w:tr w:rsidR="000B2A8F" w:rsidRPr="00967987" w14:paraId="7800DBBB" w14:textId="77777777">
        <w:trPr>
          <w:cantSplit/>
        </w:trPr>
        <w:tc>
          <w:tcPr>
            <w:tcW w:w="1650" w:type="dxa"/>
            <w:tcMar>
              <w:top w:w="70" w:type="dxa"/>
              <w:left w:w="110" w:type="dxa"/>
              <w:bottom w:w="70" w:type="dxa"/>
              <w:right w:w="110" w:type="dxa"/>
            </w:tcMar>
            <w:vAlign w:val="center"/>
          </w:tcPr>
          <w:p w14:paraId="41ACFCDF" w14:textId="77777777" w:rsidR="000B2A8F" w:rsidRPr="00967987" w:rsidRDefault="00000000">
            <w:pPr>
              <w:spacing w:after="0" w:line="240" w:lineRule="auto"/>
              <w:rPr>
                <w:rFonts w:ascii="宋体" w:hAnsi="宋体"/>
              </w:rPr>
            </w:pPr>
            <w:r w:rsidRPr="00967987">
              <w:rPr>
                <w:rFonts w:ascii="宋体" w:hAnsi="宋体"/>
                <w:color w:val="000000"/>
                <w:sz w:val="18"/>
              </w:rPr>
              <w:t>时间置换</w:t>
            </w:r>
          </w:p>
        </w:tc>
        <w:tc>
          <w:tcPr>
            <w:tcW w:w="3100" w:type="dxa"/>
            <w:tcMar>
              <w:top w:w="70" w:type="dxa"/>
              <w:left w:w="110" w:type="dxa"/>
              <w:bottom w:w="70" w:type="dxa"/>
              <w:right w:w="110" w:type="dxa"/>
            </w:tcMar>
            <w:vAlign w:val="center"/>
          </w:tcPr>
          <w:p w14:paraId="246DE023" w14:textId="77777777" w:rsidR="000B2A8F" w:rsidRPr="00967987" w:rsidRDefault="00000000">
            <w:pPr>
              <w:spacing w:after="0" w:line="240" w:lineRule="auto"/>
              <w:rPr>
                <w:rFonts w:ascii="宋体" w:hAnsi="宋体"/>
              </w:rPr>
            </w:pPr>
            <w:r w:rsidRPr="00967987">
              <w:rPr>
                <w:rFonts w:ascii="宋体" w:hAnsi="宋体"/>
                <w:color w:val="000000"/>
                <w:sz w:val="18"/>
              </w:rPr>
              <w:t>merge：5/30；figure-eight：0/30；ring：未检验</w:t>
            </w:r>
          </w:p>
        </w:tc>
        <w:tc>
          <w:tcPr>
            <w:tcW w:w="4888" w:type="dxa"/>
            <w:tcMar>
              <w:top w:w="70" w:type="dxa"/>
              <w:left w:w="110" w:type="dxa"/>
              <w:bottom w:w="70" w:type="dxa"/>
              <w:right w:w="110" w:type="dxa"/>
            </w:tcMar>
            <w:vAlign w:val="center"/>
          </w:tcPr>
          <w:p w14:paraId="263C727D" w14:textId="77777777" w:rsidR="000B2A8F" w:rsidRPr="00967987" w:rsidRDefault="00000000">
            <w:pPr>
              <w:spacing w:after="0" w:line="240" w:lineRule="auto"/>
              <w:rPr>
                <w:rFonts w:ascii="宋体" w:hAnsi="宋体"/>
                <w:lang w:eastAsia="zh-CN"/>
              </w:rPr>
            </w:pPr>
            <w:r w:rsidRPr="00967987">
              <w:rPr>
                <w:rFonts w:ascii="宋体" w:hAnsi="宋体"/>
                <w:color w:val="000000"/>
                <w:sz w:val="18"/>
                <w:lang w:eastAsia="zh-CN"/>
              </w:rPr>
              <w:t>5/30 表示 30 次合流运行中有 5 次达到 p≤0.05；ring 在当前阈值下没有有效风险事件。</w:t>
            </w:r>
          </w:p>
        </w:tc>
      </w:tr>
    </w:tbl>
    <w:p w14:paraId="6AF3B958" w14:textId="77777777" w:rsidR="00743279" w:rsidRDefault="00743279">
      <w:pPr>
        <w:ind w:firstLine="420"/>
        <w:jc w:val="both"/>
        <w:rPr>
          <w:rFonts w:ascii="宋体" w:hAnsi="宋体"/>
          <w:b/>
          <w:color w:val="000000"/>
          <w:lang w:eastAsia="zh-CN"/>
        </w:rPr>
      </w:pPr>
    </w:p>
    <w:p w14:paraId="53FA8939" w14:textId="6C71F5E8" w:rsidR="000B2A8F" w:rsidRPr="00967987" w:rsidRDefault="00000000">
      <w:pPr>
        <w:ind w:firstLine="420"/>
        <w:jc w:val="both"/>
        <w:rPr>
          <w:rFonts w:ascii="宋体" w:hAnsi="宋体"/>
          <w:lang w:eastAsia="zh-CN"/>
        </w:rPr>
      </w:pPr>
      <w:r w:rsidRPr="00967987">
        <w:rPr>
          <w:rFonts w:ascii="宋体" w:hAnsi="宋体"/>
          <w:b/>
          <w:color w:val="000000"/>
          <w:lang w:eastAsia="zh-CN"/>
        </w:rPr>
        <w:t>DRIFT 已满足当前数据分析和下一步闭环实验的基本要求。</w:t>
      </w:r>
      <w:r w:rsidRPr="00967987">
        <w:rPr>
          <w:rFonts w:ascii="宋体" w:hAnsi="宋体"/>
          <w:color w:val="000000"/>
          <w:lang w:eastAsia="zh-CN"/>
        </w:rPr>
        <w:t>时间置换结果只说明部分合流运行存在超过随机时间对齐的跨车辆联系，还不能证明远距离因果作用。下一步需要筛选局部基线解释不了的候选关系，并用负对照和闭环反事实实验验证。</w:t>
      </w:r>
    </w:p>
    <w:p w14:paraId="4D6F25F3" w14:textId="0C108FEE" w:rsidR="000B2A8F" w:rsidRPr="00967987" w:rsidRDefault="00743279">
      <w:pPr>
        <w:pStyle w:val="1"/>
        <w:rPr>
          <w:rFonts w:ascii="宋体" w:eastAsia="宋体" w:hAnsi="宋体"/>
        </w:rPr>
      </w:pPr>
      <w:r>
        <w:rPr>
          <w:rFonts w:ascii="宋体" w:eastAsia="宋体" w:hAnsi="宋体" w:hint="eastAsia"/>
          <w:lang w:eastAsia="zh-CN"/>
        </w:rPr>
        <w:t>三、</w:t>
      </w:r>
      <w:r w:rsidR="00000000" w:rsidRPr="00967987">
        <w:rPr>
          <w:rFonts w:ascii="宋体" w:eastAsia="宋体" w:hAnsi="宋体"/>
        </w:rPr>
        <w:t>下一周计划（7.22-7.28）</w:t>
      </w:r>
    </w:p>
    <w:p w14:paraId="3C0FB7BD" w14:textId="77777777" w:rsidR="000B2A8F" w:rsidRPr="00967987" w:rsidRDefault="00000000">
      <w:pPr>
        <w:pStyle w:val="a"/>
        <w:numPr>
          <w:ilvl w:val="0"/>
          <w:numId w:val="11"/>
        </w:numPr>
        <w:spacing w:after="40" w:line="264" w:lineRule="auto"/>
        <w:ind w:left="420" w:hanging="283"/>
        <w:rPr>
          <w:rFonts w:ascii="宋体" w:hAnsi="宋体"/>
          <w:lang w:eastAsia="zh-CN"/>
        </w:rPr>
      </w:pPr>
      <w:r w:rsidRPr="00967987">
        <w:rPr>
          <w:rFonts w:ascii="宋体" w:hAnsi="宋体"/>
          <w:b/>
          <w:color w:val="000000"/>
          <w:lang w:eastAsia="zh-CN"/>
        </w:rPr>
        <w:t>整理局部基线解释不了的事件。</w:t>
      </w:r>
      <w:r w:rsidRPr="00967987">
        <w:rPr>
          <w:rFonts w:ascii="宋体" w:hAnsi="宋体"/>
          <w:color w:val="000000"/>
          <w:lang w:eastAsia="zh-CN"/>
        </w:rPr>
        <w:t>按场景和渗透率统计解释率，检查密度、换道、前车变化等共同因素。</w:t>
      </w:r>
    </w:p>
    <w:p w14:paraId="4208AD0B" w14:textId="77777777" w:rsidR="000B2A8F" w:rsidRPr="00967987" w:rsidRDefault="00000000">
      <w:pPr>
        <w:pStyle w:val="a"/>
        <w:numPr>
          <w:ilvl w:val="0"/>
          <w:numId w:val="11"/>
        </w:numPr>
        <w:spacing w:after="40" w:line="264" w:lineRule="auto"/>
        <w:ind w:left="420" w:hanging="283"/>
        <w:rPr>
          <w:rFonts w:ascii="宋体" w:hAnsi="宋体"/>
          <w:lang w:eastAsia="zh-CN"/>
        </w:rPr>
      </w:pPr>
      <w:r w:rsidRPr="00967987">
        <w:rPr>
          <w:rFonts w:ascii="宋体" w:hAnsi="宋体"/>
          <w:b/>
          <w:color w:val="000000"/>
          <w:lang w:eastAsia="zh-CN"/>
        </w:rPr>
        <w:t>筛选远距离候选关系。</w:t>
      </w:r>
      <w:r w:rsidRPr="00967987">
        <w:rPr>
          <w:rFonts w:ascii="宋体" w:hAnsi="宋体"/>
          <w:color w:val="000000"/>
          <w:lang w:eastAsia="zh-CN"/>
        </w:rPr>
        <w:t>记录候选关系的方向、距离、时延和可能的信息或控制通道，并用负对照和时间置换排除巧合。</w:t>
      </w:r>
    </w:p>
    <w:p w14:paraId="61E3619A" w14:textId="77777777" w:rsidR="000B2A8F" w:rsidRPr="00967987" w:rsidRDefault="00000000">
      <w:pPr>
        <w:pStyle w:val="a"/>
        <w:numPr>
          <w:ilvl w:val="0"/>
          <w:numId w:val="11"/>
        </w:numPr>
        <w:spacing w:after="40" w:line="264" w:lineRule="auto"/>
        <w:ind w:left="420" w:hanging="283"/>
        <w:rPr>
          <w:rFonts w:ascii="宋体" w:hAnsi="宋体"/>
          <w:lang w:eastAsia="zh-CN"/>
        </w:rPr>
      </w:pPr>
      <w:r w:rsidRPr="00967987">
        <w:rPr>
          <w:rFonts w:ascii="宋体" w:hAnsi="宋体"/>
          <w:b/>
          <w:color w:val="000000"/>
          <w:lang w:eastAsia="zh-CN"/>
        </w:rPr>
        <w:lastRenderedPageBreak/>
        <w:t>开展闭环反事实实验并同步论文。</w:t>
      </w:r>
      <w:r w:rsidRPr="00967987">
        <w:rPr>
          <w:rFonts w:ascii="宋体" w:hAnsi="宋体"/>
          <w:color w:val="000000"/>
          <w:lang w:eastAsia="zh-CN"/>
        </w:rPr>
        <w:t>固定初始状态和随机种子，只改变车辆 A，比较车辆 B 的风险指标和事件是否稳定变化。</w:t>
      </w:r>
    </w:p>
    <w:p w14:paraId="6B242C48" w14:textId="77777777" w:rsidR="000B2A8F" w:rsidRPr="00967987" w:rsidRDefault="00000000">
      <w:pPr>
        <w:spacing w:before="160" w:after="80"/>
        <w:rPr>
          <w:rFonts w:ascii="宋体" w:hAnsi="宋体"/>
        </w:rPr>
      </w:pPr>
      <w:r w:rsidRPr="00967987">
        <w:rPr>
          <w:rFonts w:ascii="宋体" w:hAnsi="宋体"/>
          <w:b/>
          <w:color w:val="000000"/>
          <w:sz w:val="23"/>
        </w:rPr>
        <w:t>参考文献</w:t>
      </w:r>
    </w:p>
    <w:p w14:paraId="65C3B01A" w14:textId="77777777" w:rsidR="000B2A8F" w:rsidRPr="00967987" w:rsidRDefault="00000000">
      <w:pPr>
        <w:spacing w:after="30" w:line="240" w:lineRule="auto"/>
        <w:ind w:left="312" w:hanging="312"/>
        <w:rPr>
          <w:rFonts w:ascii="宋体" w:hAnsi="宋体"/>
        </w:rPr>
      </w:pPr>
      <w:r w:rsidRPr="00967987">
        <w:rPr>
          <w:rFonts w:ascii="宋体" w:hAnsi="宋体"/>
          <w:color w:val="000000"/>
          <w:sz w:val="17"/>
        </w:rPr>
        <w:t>[1] T. Wang et al., “A conflict risk graph approach to modeling spatio-temporal dynamics of intersection safety,” Transportation Research Part C, 2024. doi: 10.1016/j.trc.2024.104874.</w:t>
      </w:r>
    </w:p>
    <w:p w14:paraId="1F47CFA8" w14:textId="77777777" w:rsidR="000B2A8F" w:rsidRPr="00967987" w:rsidRDefault="00000000">
      <w:pPr>
        <w:spacing w:after="30" w:line="240" w:lineRule="auto"/>
        <w:ind w:left="312" w:hanging="312"/>
        <w:rPr>
          <w:rFonts w:ascii="宋体" w:hAnsi="宋体"/>
        </w:rPr>
      </w:pPr>
      <w:r w:rsidRPr="00967987">
        <w:rPr>
          <w:rFonts w:ascii="宋体" w:hAnsi="宋体"/>
          <w:color w:val="000000"/>
          <w:sz w:val="17"/>
        </w:rPr>
        <w:t>[2] N. Lyu et al., “A real-time conflict risk prediction modeling based on causal inference and graph-model,” Transportation Research Part C, 2025. doi: 10.1016/j.trc.2025.105219.</w:t>
      </w:r>
    </w:p>
    <w:p w14:paraId="20F61D53" w14:textId="77777777" w:rsidR="000B2A8F" w:rsidRPr="00967987" w:rsidRDefault="00000000">
      <w:pPr>
        <w:spacing w:after="30" w:line="240" w:lineRule="auto"/>
        <w:ind w:left="312" w:hanging="312"/>
        <w:rPr>
          <w:rFonts w:ascii="宋体" w:hAnsi="宋体"/>
        </w:rPr>
      </w:pPr>
      <w:r w:rsidRPr="00967987">
        <w:rPr>
          <w:rFonts w:ascii="宋体" w:hAnsi="宋体"/>
          <w:color w:val="000000"/>
          <w:sz w:val="17"/>
        </w:rPr>
        <w:t>[3] Y. Luo et al., “Enhancing vehicle platoon safety assessment: A novel cascading risk measure,” Accident Analysis &amp; Prevention, 2026. doi: 10.1016/j.aap.2025.108360.</w:t>
      </w:r>
    </w:p>
    <w:p w14:paraId="1CCFC2F6" w14:textId="77777777" w:rsidR="000B2A8F" w:rsidRPr="00967987" w:rsidRDefault="00000000">
      <w:pPr>
        <w:spacing w:after="30" w:line="240" w:lineRule="auto"/>
        <w:ind w:left="312" w:hanging="312"/>
        <w:rPr>
          <w:rFonts w:ascii="宋体" w:hAnsi="宋体"/>
        </w:rPr>
      </w:pPr>
      <w:r w:rsidRPr="00967987">
        <w:rPr>
          <w:rFonts w:ascii="宋体" w:hAnsi="宋体"/>
          <w:color w:val="000000"/>
          <w:sz w:val="17"/>
        </w:rPr>
        <w:t>[4] H. Guan et al., “Jam propagation in mixed traffic of autonomous and human-driven vehicles,” Transportation Research Part C, 2025. doi: 10.1016/j.trc.2025.105310.</w:t>
      </w:r>
    </w:p>
    <w:p w14:paraId="6977079E" w14:textId="77777777" w:rsidR="000B2A8F" w:rsidRPr="00967987" w:rsidRDefault="00000000">
      <w:pPr>
        <w:spacing w:after="30" w:line="240" w:lineRule="auto"/>
        <w:ind w:left="312" w:hanging="312"/>
        <w:rPr>
          <w:rFonts w:ascii="宋体" w:hAnsi="宋体"/>
        </w:rPr>
      </w:pPr>
      <w:r w:rsidRPr="00967987">
        <w:rPr>
          <w:rFonts w:ascii="宋体" w:hAnsi="宋体"/>
          <w:color w:val="000000"/>
          <w:sz w:val="17"/>
        </w:rPr>
        <w:t>[5] K. Huang and Q. Du, “Stability of a nonlocal traffic flow model for connected vehicles,” SIAM Journal on Applied Mathematics, 2022. doi: 10.1137/20M1355732.</w:t>
      </w:r>
    </w:p>
    <w:p w14:paraId="166C37B4" w14:textId="77777777" w:rsidR="000B2A8F" w:rsidRPr="00967987" w:rsidRDefault="00000000">
      <w:pPr>
        <w:spacing w:after="30" w:line="240" w:lineRule="auto"/>
        <w:ind w:left="312" w:hanging="312"/>
        <w:rPr>
          <w:rFonts w:ascii="宋体" w:hAnsi="宋体"/>
        </w:rPr>
      </w:pPr>
      <w:r w:rsidRPr="00967987">
        <w:rPr>
          <w:rFonts w:ascii="宋体" w:hAnsi="宋体"/>
          <w:color w:val="000000"/>
          <w:sz w:val="17"/>
        </w:rPr>
        <w:t>[6] Y. Sun and C. Tan, “On a class of new nonlocal traffic flow models with look-ahead rules,” Physica D, 2020. doi: 10.1016/j.physd.2020.132663.</w:t>
      </w:r>
    </w:p>
    <w:p w14:paraId="50A1BF2B" w14:textId="77777777" w:rsidR="000B2A8F" w:rsidRPr="00967987" w:rsidRDefault="00000000">
      <w:pPr>
        <w:spacing w:after="30" w:line="240" w:lineRule="auto"/>
        <w:ind w:left="312" w:hanging="312"/>
        <w:rPr>
          <w:rFonts w:ascii="宋体" w:hAnsi="宋体"/>
        </w:rPr>
      </w:pPr>
      <w:r w:rsidRPr="00967987">
        <w:rPr>
          <w:rFonts w:ascii="宋体" w:hAnsi="宋体"/>
          <w:color w:val="000000"/>
          <w:sz w:val="17"/>
        </w:rPr>
        <w:t>[7] J. Friedrich et al., “Network models for nonlocal traffic flow,” ESAIM: M2AN, 2022. doi: 10.1051/m2an/2022002.</w:t>
      </w:r>
    </w:p>
    <w:p w14:paraId="682FB919" w14:textId="77777777" w:rsidR="000B2A8F" w:rsidRPr="00967987" w:rsidRDefault="00000000">
      <w:pPr>
        <w:spacing w:after="30" w:line="240" w:lineRule="auto"/>
        <w:ind w:left="312" w:hanging="312"/>
        <w:rPr>
          <w:rFonts w:ascii="宋体" w:hAnsi="宋体"/>
        </w:rPr>
      </w:pPr>
      <w:r w:rsidRPr="00967987">
        <w:rPr>
          <w:rFonts w:ascii="宋体" w:hAnsi="宋体"/>
          <w:color w:val="000000"/>
          <w:sz w:val="17"/>
        </w:rPr>
        <w:t>[8] J. Runge et al., “Detecting and quantifying causal associations in large nonlinear time series datasets,” Science Advances, 2019. doi: 10.1126/sciadv.aau4996.</w:t>
      </w:r>
    </w:p>
    <w:p w14:paraId="09DCE42E" w14:textId="77777777" w:rsidR="000B2A8F" w:rsidRPr="00967987" w:rsidRDefault="00000000">
      <w:pPr>
        <w:spacing w:after="30" w:line="240" w:lineRule="auto"/>
        <w:ind w:left="312" w:hanging="312"/>
        <w:rPr>
          <w:rFonts w:ascii="宋体" w:hAnsi="宋体"/>
        </w:rPr>
      </w:pPr>
      <w:r w:rsidRPr="00967987">
        <w:rPr>
          <w:rFonts w:ascii="宋体" w:hAnsi="宋体"/>
          <w:color w:val="000000"/>
          <w:sz w:val="17"/>
        </w:rPr>
        <w:t>[9] N. Brunner, D. Cavalcanti, S. Pironio, V. Scarani, and S. Wehner, “Bell nonlocality,” Reviews of Modern Physics, vol. 86, no. 2, pp. 419-478, 2014. doi: 10.1103/RevModPhys.86.419.</w:t>
      </w:r>
    </w:p>
    <w:p w14:paraId="7A2A61FE" w14:textId="77777777" w:rsidR="000B2A8F" w:rsidRPr="00967987" w:rsidRDefault="00000000">
      <w:pPr>
        <w:spacing w:after="30" w:line="240" w:lineRule="auto"/>
        <w:ind w:left="312" w:hanging="312"/>
        <w:rPr>
          <w:rFonts w:ascii="宋体" w:hAnsi="宋体"/>
        </w:rPr>
      </w:pPr>
      <w:r w:rsidRPr="00967987">
        <w:rPr>
          <w:rFonts w:ascii="宋体" w:hAnsi="宋体"/>
          <w:color w:val="000000"/>
          <w:sz w:val="17"/>
        </w:rPr>
        <w:t>[10] Q. Song, W. Fu, W. Wang, Y. Sun, D. Wang, and J. Zhou, “Quantum decision making in automatic driving,” Scientific Reports, vol. 12, p. 11042, 2022. doi: 10.1038/s41598-022-14737-2.</w:t>
      </w:r>
    </w:p>
    <w:sectPr w:rsidR="000B2A8F" w:rsidRPr="00967987" w:rsidSect="00034616">
      <w:footerReference w:type="default" r:id="rId8"/>
      <w:pgSz w:w="11906" w:h="16838"/>
      <w:pgMar w:top="1020" w:right="1134" w:bottom="102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F8009" w14:textId="77777777" w:rsidR="004D7843" w:rsidRDefault="004D7843">
      <w:pPr>
        <w:spacing w:after="0" w:line="240" w:lineRule="auto"/>
      </w:pPr>
      <w:r>
        <w:separator/>
      </w:r>
    </w:p>
  </w:endnote>
  <w:endnote w:type="continuationSeparator" w:id="0">
    <w:p w14:paraId="700797C6" w14:textId="77777777" w:rsidR="004D7843" w:rsidRDefault="004D7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09D3B" w14:textId="77777777" w:rsidR="000B2A8F" w:rsidRDefault="00000000">
    <w:pPr>
      <w:pStyle w:val="a7"/>
      <w:jc w:val="center"/>
    </w:pPr>
    <w:r>
      <w:rPr>
        <w:color w:val="666666"/>
        <w:sz w:val="18"/>
      </w:rPr>
      <w:fldChar w:fldCharType="begin"/>
    </w:r>
    <w:r>
      <w:rPr>
        <w:color w:val="666666"/>
        <w:sz w:val="18"/>
      </w:rPr>
      <w:instrText xml:space="preserve"> PAGE </w:instrText>
    </w:r>
    <w:r w:rsidR="00967987">
      <w:rPr>
        <w:color w:val="666666"/>
        <w:sz w:val="18"/>
      </w:rPr>
      <w:fldChar w:fldCharType="separate"/>
    </w:r>
    <w:r w:rsidR="00967987">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70013" w14:textId="77777777" w:rsidR="004D7843" w:rsidRDefault="004D7843">
      <w:pPr>
        <w:spacing w:after="0" w:line="240" w:lineRule="auto"/>
      </w:pPr>
      <w:r>
        <w:separator/>
      </w:r>
    </w:p>
  </w:footnote>
  <w:footnote w:type="continuationSeparator" w:id="0">
    <w:p w14:paraId="778CAF73" w14:textId="77777777" w:rsidR="004D7843" w:rsidRDefault="004D7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31705192">
    <w:abstractNumId w:val="8"/>
  </w:num>
  <w:num w:numId="2" w16cid:durableId="218825984">
    <w:abstractNumId w:val="6"/>
  </w:num>
  <w:num w:numId="3" w16cid:durableId="1090201025">
    <w:abstractNumId w:val="5"/>
  </w:num>
  <w:num w:numId="4" w16cid:durableId="928467176">
    <w:abstractNumId w:val="4"/>
  </w:num>
  <w:num w:numId="5" w16cid:durableId="904680116">
    <w:abstractNumId w:val="7"/>
  </w:num>
  <w:num w:numId="6" w16cid:durableId="532381151">
    <w:abstractNumId w:val="3"/>
  </w:num>
  <w:num w:numId="7" w16cid:durableId="186674207">
    <w:abstractNumId w:val="2"/>
  </w:num>
  <w:num w:numId="8" w16cid:durableId="2060090174">
    <w:abstractNumId w:val="1"/>
  </w:num>
  <w:num w:numId="9" w16cid:durableId="456607498">
    <w:abstractNumId w:val="0"/>
  </w:num>
  <w:num w:numId="10" w16cid:durableId="1066686918">
    <w:abstractNumId w:val="0"/>
    <w:lvlOverride w:ilvl="0">
      <w:startOverride w:val="1"/>
    </w:lvlOverride>
  </w:num>
  <w:num w:numId="11" w16cid:durableId="1871993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F12"/>
    <w:rsid w:val="000B2A8F"/>
    <w:rsid w:val="0015074B"/>
    <w:rsid w:val="0029639D"/>
    <w:rsid w:val="00304994"/>
    <w:rsid w:val="00326F90"/>
    <w:rsid w:val="004D7843"/>
    <w:rsid w:val="005259E3"/>
    <w:rsid w:val="005C765A"/>
    <w:rsid w:val="00743279"/>
    <w:rsid w:val="00967987"/>
    <w:rsid w:val="00A604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F1301"/>
  <w14:defaultImageDpi w14:val="300"/>
  <w15:docId w15:val="{F26F148F-0359-404C-B69F-25566618C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160" w:after="8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1</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混合自动驾驶碰撞冲突风险传播研究：本周进展</dc:title>
  <dc:subject>7.15-7.21 周进展</dc:subject>
  <dc:creator>禹尧珅</dc:creator>
  <cp:keywords/>
  <dc:description>generated by python-docx</dc:description>
  <cp:lastModifiedBy>尧珅 禹</cp:lastModifiedBy>
  <cp:revision>6</cp:revision>
  <dcterms:created xsi:type="dcterms:W3CDTF">2013-12-23T23:15:00Z</dcterms:created>
  <dcterms:modified xsi:type="dcterms:W3CDTF">2026-07-21T02:07:00Z</dcterms:modified>
  <cp:category/>
</cp:coreProperties>
</file>