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7AD04">
      <w:pPr>
        <w:jc w:val="center"/>
        <w:rPr>
          <w:rFonts w:hint="eastAsia" w:ascii="华文中宋" w:hAnsi="华文中宋" w:eastAsia="华文中宋"/>
          <w:b/>
          <w:sz w:val="30"/>
          <w:szCs w:val="30"/>
        </w:rPr>
      </w:pPr>
    </w:p>
    <w:p w14:paraId="60B9D678">
      <w:pPr>
        <w:jc w:val="center"/>
        <w:rPr>
          <w:rFonts w:hint="eastAsia" w:ascii="华文中宋" w:hAnsi="华文中宋" w:eastAsia="华文中宋"/>
          <w:b/>
          <w:sz w:val="30"/>
          <w:szCs w:val="30"/>
        </w:rPr>
      </w:pPr>
    </w:p>
    <w:p w14:paraId="03D6ED3F">
      <w:pPr>
        <w:jc w:val="center"/>
        <w:rPr>
          <w:rFonts w:hint="eastAsia" w:ascii="华文中宋" w:hAnsi="华文中宋" w:eastAsia="华文中宋"/>
          <w:b/>
          <w:sz w:val="48"/>
          <w:szCs w:val="48"/>
        </w:rPr>
      </w:pPr>
      <w:r>
        <w:rPr>
          <w:rFonts w:hint="eastAsia" w:ascii="华文中宋" w:hAnsi="华文中宋" w:eastAsia="华文中宋"/>
          <w:b/>
          <w:sz w:val="48"/>
          <w:szCs w:val="48"/>
        </w:rPr>
        <w:t>北京工业大学学术学位研究生</w:t>
      </w:r>
    </w:p>
    <w:p w14:paraId="76CF3215">
      <w:pPr>
        <w:jc w:val="center"/>
        <w:rPr>
          <w:rFonts w:hint="eastAsia" w:ascii="华文中宋" w:hAnsi="华文中宋" w:eastAsia="华文中宋"/>
          <w:b/>
          <w:sz w:val="48"/>
          <w:szCs w:val="48"/>
        </w:rPr>
      </w:pPr>
      <w:r>
        <w:rPr>
          <w:rFonts w:hint="eastAsia" w:ascii="华文中宋" w:hAnsi="华文中宋" w:eastAsia="华文中宋"/>
          <w:b/>
          <w:sz w:val="48"/>
          <w:szCs w:val="48"/>
        </w:rPr>
        <w:t>开题报告</w:t>
      </w:r>
    </w:p>
    <w:p w14:paraId="0A5705DE">
      <w:pPr>
        <w:jc w:val="center"/>
        <w:rPr>
          <w:rFonts w:hint="eastAsia" w:ascii="华文中宋" w:hAnsi="华文中宋" w:eastAsia="华文中宋"/>
          <w:b/>
          <w:sz w:val="30"/>
          <w:szCs w:val="30"/>
        </w:rPr>
      </w:pPr>
    </w:p>
    <w:p w14:paraId="67D6FD86">
      <w:pPr>
        <w:jc w:val="center"/>
        <w:rPr>
          <w:rFonts w:hint="eastAsia" w:ascii="华文中宋" w:hAnsi="华文中宋" w:eastAsia="华文中宋"/>
          <w:b/>
          <w:sz w:val="30"/>
          <w:szCs w:val="30"/>
        </w:rPr>
      </w:pPr>
    </w:p>
    <w:p w14:paraId="7B5E66BC">
      <w:pPr>
        <w:jc w:val="center"/>
        <w:rPr>
          <w:rFonts w:hint="eastAsia" w:ascii="华文中宋" w:hAnsi="华文中宋" w:eastAsia="华文中宋"/>
          <w:b/>
          <w:sz w:val="30"/>
          <w:szCs w:val="30"/>
        </w:rPr>
      </w:pPr>
    </w:p>
    <w:p w14:paraId="5EBF1575">
      <w:pPr>
        <w:jc w:val="center"/>
        <w:rPr>
          <w:rFonts w:hint="eastAsia" w:ascii="华文中宋" w:hAnsi="华文中宋" w:eastAsia="华文中宋"/>
          <w:b/>
          <w:sz w:val="30"/>
          <w:szCs w:val="30"/>
        </w:rPr>
      </w:pPr>
    </w:p>
    <w:p w14:paraId="085AA9B9">
      <w:pPr>
        <w:jc w:val="center"/>
        <w:rPr>
          <w:rFonts w:hint="eastAsia" w:ascii="华文中宋" w:hAnsi="华文中宋" w:eastAsia="华文中宋"/>
          <w:b/>
          <w:sz w:val="30"/>
          <w:szCs w:val="30"/>
        </w:rPr>
      </w:pPr>
    </w:p>
    <w:p w14:paraId="78EA320E">
      <w:pPr>
        <w:ind w:firstLine="1502"/>
        <w:rPr>
          <w:rFonts w:hint="eastAsia" w:ascii="华文中宋" w:hAnsi="华文中宋" w:eastAsia="华文中宋"/>
          <w:b/>
          <w:sz w:val="30"/>
          <w:szCs w:val="30"/>
        </w:rPr>
      </w:pPr>
      <w:r>
        <w:rPr>
          <w:rFonts w:hint="eastAsia" w:ascii="华文中宋" w:hAnsi="华文中宋" w:eastAsia="华文中宋"/>
          <w:b/>
          <w:sz w:val="30"/>
          <w:szCs w:val="30"/>
        </w:rPr>
        <w:t xml:space="preserve">学位级别：  博士   </w:t>
      </w:r>
      <w:r>
        <w:rPr>
          <w:rFonts w:hint="eastAsia" w:ascii="华文中宋" w:hAnsi="华文中宋" w:eastAsia="华文中宋"/>
          <w:sz w:val="28"/>
          <w:szCs w:val="28"/>
          <w:u w:val="single"/>
        </w:rPr>
        <w:t>√</w:t>
      </w:r>
      <w:r>
        <w:rPr>
          <w:rFonts w:hint="eastAsia" w:ascii="华文中宋" w:hAnsi="华文中宋" w:eastAsia="华文中宋"/>
          <w:b/>
          <w:sz w:val="30"/>
          <w:szCs w:val="30"/>
        </w:rPr>
        <w:t xml:space="preserve">硕士  </w:t>
      </w:r>
    </w:p>
    <w:p w14:paraId="7C1D8B5E">
      <w:pPr>
        <w:spacing w:line="800" w:lineRule="exact"/>
        <w:ind w:firstLine="1502"/>
        <w:rPr>
          <w:rFonts w:hint="eastAsia" w:ascii="华文中宋" w:hAnsi="华文中宋" w:eastAsia="华文中宋"/>
          <w:b/>
          <w:sz w:val="30"/>
          <w:szCs w:val="30"/>
          <w:u w:val="single"/>
        </w:rPr>
      </w:pPr>
      <w:r>
        <w:rPr>
          <w:rFonts w:hint="eastAsia" w:ascii="华文中宋" w:hAnsi="华文中宋" w:eastAsia="华文中宋"/>
          <w:b/>
          <w:sz w:val="30"/>
          <w:szCs w:val="30"/>
        </w:rPr>
        <w:t xml:space="preserve">学      号：  </w:t>
      </w:r>
      <w:r>
        <w:rPr>
          <w:rFonts w:hint="eastAsia" w:ascii="华文中宋" w:hAnsi="华文中宋" w:eastAsia="华文中宋"/>
          <w:b/>
          <w:sz w:val="30"/>
          <w:szCs w:val="30"/>
          <w:u w:val="single"/>
        </w:rPr>
        <w:t xml:space="preserve">       S202</w:t>
      </w:r>
      <w:r>
        <w:rPr>
          <w:rFonts w:hint="default" w:ascii="华文中宋" w:hAnsi="华文中宋" w:eastAsia="华文中宋"/>
          <w:b/>
          <w:sz w:val="30"/>
          <w:szCs w:val="30"/>
          <w:u w:val="single"/>
          <w:lang w:val="en-US"/>
        </w:rPr>
        <w:t>487336</w:t>
      </w:r>
      <w:r>
        <w:rPr>
          <w:rFonts w:hint="eastAsia" w:ascii="华文中宋" w:hAnsi="华文中宋" w:eastAsia="华文中宋"/>
          <w:b/>
          <w:sz w:val="30"/>
          <w:szCs w:val="30"/>
          <w:u w:val="single"/>
        </w:rPr>
        <w:t xml:space="preserve">      </w:t>
      </w:r>
    </w:p>
    <w:p w14:paraId="22A50A53">
      <w:pPr>
        <w:spacing w:line="800" w:lineRule="exact"/>
        <w:ind w:firstLine="1502"/>
        <w:rPr>
          <w:rFonts w:hint="eastAsia" w:ascii="华文中宋" w:hAnsi="华文中宋" w:eastAsia="华文中宋"/>
          <w:b/>
          <w:sz w:val="30"/>
          <w:szCs w:val="30"/>
          <w:u w:val="single"/>
        </w:rPr>
      </w:pPr>
      <w:r>
        <w:rPr>
          <w:rFonts w:hint="eastAsia" w:ascii="华文中宋" w:hAnsi="华文中宋" w:eastAsia="华文中宋"/>
          <w:b/>
          <w:sz w:val="30"/>
          <w:szCs w:val="30"/>
        </w:rPr>
        <w:t xml:space="preserve">研究生姓名：  </w:t>
      </w:r>
      <w:r>
        <w:rPr>
          <w:rFonts w:hint="eastAsia" w:ascii="华文中宋" w:hAnsi="华文中宋" w:eastAsia="华文中宋"/>
          <w:b/>
          <w:sz w:val="30"/>
          <w:szCs w:val="30"/>
          <w:u w:val="single"/>
        </w:rPr>
        <w:t xml:space="preserve">         </w:t>
      </w:r>
      <w:r>
        <w:rPr>
          <w:rFonts w:hint="eastAsia" w:ascii="华文中宋" w:hAnsi="华文中宋" w:eastAsia="华文中宋"/>
          <w:b/>
          <w:sz w:val="30"/>
          <w:szCs w:val="30"/>
          <w:u w:val="single"/>
          <w:lang w:val="en-US" w:eastAsia="zh-CN"/>
        </w:rPr>
        <w:t>杨淑仪</w:t>
      </w:r>
      <w:r>
        <w:rPr>
          <w:rFonts w:hint="eastAsia" w:ascii="华文中宋" w:hAnsi="华文中宋" w:eastAsia="华文中宋"/>
          <w:b/>
          <w:sz w:val="30"/>
          <w:szCs w:val="30"/>
          <w:u w:val="single"/>
        </w:rPr>
        <w:t xml:space="preserve">        </w:t>
      </w:r>
    </w:p>
    <w:p w14:paraId="6F83D9BF">
      <w:pPr>
        <w:spacing w:line="800" w:lineRule="exact"/>
        <w:ind w:firstLine="1502"/>
        <w:rPr>
          <w:rFonts w:hint="eastAsia" w:ascii="华文中宋" w:hAnsi="华文中宋" w:eastAsia="华文中宋"/>
          <w:b/>
          <w:sz w:val="30"/>
          <w:szCs w:val="30"/>
          <w:u w:val="single"/>
        </w:rPr>
      </w:pPr>
      <w:r>
        <w:rPr>
          <w:rFonts w:hint="eastAsia" w:ascii="华文中宋" w:hAnsi="华文中宋" w:eastAsia="华文中宋"/>
          <w:b/>
          <w:sz w:val="30"/>
          <w:szCs w:val="30"/>
        </w:rPr>
        <w:t>指导教师姓名：</w:t>
      </w:r>
      <w:r>
        <w:rPr>
          <w:rFonts w:hint="eastAsia" w:ascii="华文中宋" w:hAnsi="华文中宋" w:eastAsia="华文中宋"/>
          <w:b/>
          <w:sz w:val="30"/>
          <w:szCs w:val="30"/>
          <w:u w:val="single"/>
        </w:rPr>
        <w:t xml:space="preserve">         </w:t>
      </w:r>
      <w:r>
        <w:rPr>
          <w:rFonts w:hint="eastAsia" w:ascii="华文中宋" w:hAnsi="华文中宋" w:eastAsia="华文中宋"/>
          <w:b/>
          <w:sz w:val="30"/>
          <w:szCs w:val="30"/>
          <w:u w:val="single"/>
          <w:lang w:val="en-US" w:eastAsia="zh-CN"/>
        </w:rPr>
        <w:t xml:space="preserve"> 栗觅 </w:t>
      </w:r>
      <w:r>
        <w:rPr>
          <w:rFonts w:hint="eastAsia" w:ascii="华文中宋" w:hAnsi="华文中宋" w:eastAsia="华文中宋"/>
          <w:b/>
          <w:sz w:val="30"/>
          <w:szCs w:val="30"/>
          <w:u w:val="single"/>
        </w:rPr>
        <w:t xml:space="preserve">       </w:t>
      </w:r>
    </w:p>
    <w:p w14:paraId="71A7934E">
      <w:pPr>
        <w:spacing w:line="800" w:lineRule="exact"/>
        <w:ind w:firstLine="1502"/>
        <w:rPr>
          <w:rFonts w:hint="eastAsia" w:ascii="华文中宋" w:hAnsi="华文中宋" w:eastAsia="华文中宋"/>
          <w:b/>
          <w:sz w:val="30"/>
          <w:szCs w:val="30"/>
          <w:u w:val="single"/>
        </w:rPr>
      </w:pPr>
      <w:r>
        <w:rPr>
          <w:rFonts w:hint="eastAsia" w:ascii="华文中宋" w:hAnsi="华文中宋" w:eastAsia="华文中宋"/>
          <w:b/>
          <w:sz w:val="30"/>
          <w:szCs w:val="30"/>
        </w:rPr>
        <w:t xml:space="preserve">专业名称：    </w:t>
      </w:r>
      <w:r>
        <w:rPr>
          <w:rFonts w:hint="eastAsia" w:ascii="华文中宋" w:hAnsi="华文中宋" w:eastAsia="华文中宋"/>
          <w:b/>
          <w:sz w:val="30"/>
          <w:szCs w:val="30"/>
          <w:u w:val="single"/>
        </w:rPr>
        <w:t xml:space="preserve">     控制科学与工程      </w:t>
      </w:r>
    </w:p>
    <w:p w14:paraId="42381DA8">
      <w:pPr>
        <w:spacing w:line="800" w:lineRule="exact"/>
        <w:ind w:firstLine="1502"/>
        <w:rPr>
          <w:rFonts w:hint="eastAsia" w:ascii="华文中宋" w:hAnsi="华文中宋" w:eastAsia="华文中宋"/>
          <w:b/>
          <w:sz w:val="30"/>
          <w:szCs w:val="30"/>
        </w:rPr>
      </w:pPr>
      <w:r>
        <w:rPr>
          <w:rFonts w:hint="eastAsia" w:ascii="华文中宋" w:hAnsi="华文中宋" w:eastAsia="华文中宋"/>
          <w:b/>
          <w:sz w:val="30"/>
          <w:szCs w:val="30"/>
        </w:rPr>
        <w:t xml:space="preserve">所在学院：    </w:t>
      </w:r>
      <w:r>
        <w:rPr>
          <w:rFonts w:hint="eastAsia" w:ascii="华文中宋" w:hAnsi="华文中宋" w:eastAsia="华文中宋"/>
          <w:b/>
          <w:sz w:val="30"/>
          <w:szCs w:val="30"/>
          <w:u w:val="single"/>
        </w:rPr>
        <w:t xml:space="preserve">       </w:t>
      </w:r>
      <w:r>
        <w:rPr>
          <w:rFonts w:ascii="华文中宋" w:hAnsi="华文中宋" w:eastAsia="华文中宋"/>
          <w:b/>
          <w:sz w:val="30"/>
          <w:szCs w:val="30"/>
          <w:u w:val="single"/>
        </w:rPr>
        <w:t xml:space="preserve"> </w:t>
      </w:r>
      <w:r>
        <w:rPr>
          <w:rFonts w:hint="eastAsia" w:ascii="华文中宋" w:hAnsi="华文中宋" w:eastAsia="华文中宋"/>
          <w:b/>
          <w:sz w:val="30"/>
          <w:szCs w:val="30"/>
          <w:u w:val="single"/>
        </w:rPr>
        <w:t xml:space="preserve">信息学部        </w:t>
      </w:r>
      <w:r>
        <w:rPr>
          <w:rFonts w:hint="eastAsia" w:ascii="华文中宋" w:hAnsi="华文中宋" w:eastAsia="华文中宋"/>
          <w:b/>
          <w:sz w:val="30"/>
          <w:szCs w:val="30"/>
        </w:rPr>
        <w:t xml:space="preserve">                     </w:t>
      </w:r>
    </w:p>
    <w:p w14:paraId="3D6E2B65">
      <w:pPr>
        <w:spacing w:line="800" w:lineRule="exact"/>
        <w:ind w:firstLine="1502"/>
        <w:rPr>
          <w:rFonts w:hint="eastAsia" w:ascii="华文中宋" w:hAnsi="华文中宋" w:eastAsia="华文中宋"/>
          <w:b/>
          <w:sz w:val="30"/>
          <w:szCs w:val="30"/>
        </w:rPr>
      </w:pPr>
      <w:r>
        <w:rPr>
          <w:rFonts w:hint="eastAsia" w:ascii="华文中宋" w:hAnsi="华文中宋" w:eastAsia="华文中宋"/>
          <w:b/>
          <w:sz w:val="30"/>
          <w:szCs w:val="30"/>
        </w:rPr>
        <w:t>开题报告时间：</w:t>
      </w:r>
      <w:r>
        <w:rPr>
          <w:rFonts w:hint="eastAsia" w:ascii="华文中宋" w:hAnsi="华文中宋" w:eastAsia="华文中宋"/>
          <w:b/>
          <w:sz w:val="30"/>
          <w:szCs w:val="30"/>
          <w:u w:val="single"/>
        </w:rPr>
        <w:t xml:space="preserve">   </w:t>
      </w:r>
      <w:r>
        <w:rPr>
          <w:rFonts w:ascii="华文中宋" w:hAnsi="华文中宋" w:eastAsia="华文中宋"/>
          <w:b/>
          <w:sz w:val="30"/>
          <w:szCs w:val="30"/>
          <w:u w:val="single"/>
        </w:rPr>
        <w:t>202</w:t>
      </w:r>
      <w:r>
        <w:rPr>
          <w:rFonts w:hint="eastAsia" w:ascii="华文中宋" w:hAnsi="华文中宋" w:eastAsia="华文中宋"/>
          <w:b/>
          <w:sz w:val="30"/>
          <w:szCs w:val="30"/>
          <w:u w:val="single"/>
          <w:lang w:val="en-US" w:eastAsia="zh-CN"/>
        </w:rPr>
        <w:t>5</w:t>
      </w:r>
      <w:r>
        <w:rPr>
          <w:rFonts w:hint="eastAsia" w:ascii="华文中宋" w:hAnsi="华文中宋" w:eastAsia="华文中宋"/>
          <w:b/>
          <w:sz w:val="30"/>
          <w:szCs w:val="30"/>
          <w:u w:val="single"/>
        </w:rPr>
        <w:t>年</w:t>
      </w:r>
      <w:r>
        <w:rPr>
          <w:rFonts w:ascii="华文中宋" w:hAnsi="华文中宋" w:eastAsia="华文中宋"/>
          <w:b/>
          <w:sz w:val="30"/>
          <w:szCs w:val="30"/>
          <w:u w:val="single"/>
        </w:rPr>
        <w:t>1</w:t>
      </w:r>
      <w:r>
        <w:rPr>
          <w:rFonts w:hint="eastAsia" w:ascii="华文中宋" w:hAnsi="华文中宋" w:eastAsia="华文中宋"/>
          <w:b/>
          <w:sz w:val="30"/>
          <w:szCs w:val="30"/>
          <w:u w:val="single"/>
          <w:lang w:val="en-US" w:eastAsia="zh-CN"/>
        </w:rPr>
        <w:t>2</w:t>
      </w:r>
      <w:r>
        <w:rPr>
          <w:rFonts w:hint="eastAsia" w:ascii="华文中宋" w:hAnsi="华文中宋" w:eastAsia="华文中宋"/>
          <w:b/>
          <w:sz w:val="30"/>
          <w:szCs w:val="30"/>
          <w:u w:val="single"/>
        </w:rPr>
        <w:t>月</w:t>
      </w:r>
      <w:r>
        <w:rPr>
          <w:rFonts w:hint="eastAsia" w:ascii="华文中宋" w:hAnsi="华文中宋" w:eastAsia="华文中宋"/>
          <w:b/>
          <w:sz w:val="30"/>
          <w:szCs w:val="30"/>
          <w:u w:val="single"/>
          <w:lang w:val="en-US" w:eastAsia="zh-CN"/>
        </w:rPr>
        <w:t>20</w:t>
      </w:r>
      <w:r>
        <w:rPr>
          <w:rFonts w:hint="eastAsia" w:ascii="华文中宋" w:hAnsi="华文中宋" w:eastAsia="华文中宋"/>
          <w:b/>
          <w:sz w:val="30"/>
          <w:szCs w:val="30"/>
          <w:u w:val="single"/>
        </w:rPr>
        <w:t xml:space="preserve">日       </w:t>
      </w:r>
      <w:r>
        <w:rPr>
          <w:rFonts w:hint="eastAsia" w:ascii="华文中宋" w:hAnsi="华文中宋" w:eastAsia="华文中宋"/>
          <w:b/>
          <w:sz w:val="30"/>
          <w:szCs w:val="30"/>
        </w:rPr>
        <w:t xml:space="preserve">                   </w:t>
      </w:r>
    </w:p>
    <w:p w14:paraId="178E8436">
      <w:pPr>
        <w:jc w:val="center"/>
        <w:rPr>
          <w:rFonts w:hint="eastAsia" w:ascii="华文中宋" w:hAnsi="华文中宋" w:eastAsia="华文中宋"/>
          <w:b/>
          <w:sz w:val="30"/>
          <w:szCs w:val="30"/>
        </w:rPr>
      </w:pPr>
    </w:p>
    <w:p w14:paraId="50D17654">
      <w:pPr>
        <w:jc w:val="center"/>
        <w:rPr>
          <w:rFonts w:hint="eastAsia" w:ascii="华文中宋" w:hAnsi="华文中宋" w:eastAsia="华文中宋"/>
          <w:b/>
          <w:sz w:val="30"/>
          <w:szCs w:val="30"/>
        </w:rPr>
      </w:pPr>
    </w:p>
    <w:p w14:paraId="5CDAB099">
      <w:pPr>
        <w:jc w:val="center"/>
        <w:rPr>
          <w:rFonts w:hint="eastAsia" w:ascii="华文中宋" w:hAnsi="华文中宋" w:eastAsia="华文中宋"/>
          <w:b/>
          <w:sz w:val="30"/>
          <w:szCs w:val="30"/>
        </w:rPr>
      </w:pPr>
      <w:r>
        <w:rPr>
          <w:rFonts w:hint="eastAsia" w:ascii="华文中宋" w:hAnsi="华文中宋" w:eastAsia="华文中宋"/>
          <w:b/>
          <w:sz w:val="30"/>
          <w:szCs w:val="30"/>
        </w:rPr>
        <w:t>北京工业大学研究生院制表</w:t>
      </w:r>
    </w:p>
    <w:p w14:paraId="22EACA40">
      <w:pPr>
        <w:ind w:left="631" w:hanging="631"/>
        <w:rPr>
          <w:rFonts w:hint="eastAsia" w:ascii="华文中宋" w:hAnsi="华文中宋" w:eastAsia="华文中宋"/>
          <w:b/>
          <w:szCs w:val="21"/>
        </w:rPr>
      </w:pPr>
    </w:p>
    <w:p w14:paraId="09A69CC6">
      <w:pPr>
        <w:ind w:left="631" w:hanging="631"/>
        <w:rPr>
          <w:rFonts w:hint="eastAsia" w:ascii="华文中宋" w:hAnsi="华文中宋" w:eastAsia="华文中宋"/>
          <w:szCs w:val="21"/>
        </w:rPr>
      </w:pPr>
      <w:r>
        <w:rPr>
          <w:rFonts w:hint="eastAsia" w:ascii="华文中宋" w:hAnsi="华文中宋" w:eastAsia="华文中宋"/>
          <w:b/>
          <w:szCs w:val="21"/>
        </w:rPr>
        <w:t>注意</w:t>
      </w:r>
      <w:r>
        <w:rPr>
          <w:rFonts w:hint="eastAsia" w:ascii="华文中宋" w:hAnsi="华文中宋" w:eastAsia="华文中宋"/>
          <w:szCs w:val="21"/>
        </w:rPr>
        <w:t>：本表基本情况及报告正文由研究生本人填写，硕士不少于3000字，博士不少于5000字。格式要求：正文文字部分为5号宋体、单倍行间距排版，A4纸双面打印装订。</w:t>
      </w:r>
    </w:p>
    <w:p w14:paraId="2B1FCF90">
      <w:pPr>
        <w:ind w:left="630"/>
        <w:rPr>
          <w:rFonts w:hint="eastAsia" w:ascii="华文中宋" w:hAnsi="华文中宋" w:eastAsia="华文中宋"/>
          <w:b/>
          <w:szCs w:val="21"/>
        </w:rPr>
      </w:pPr>
      <w:r>
        <w:rPr>
          <w:rFonts w:hint="eastAsia" w:ascii="华文中宋" w:hAnsi="华文中宋" w:eastAsia="华文中宋"/>
          <w:szCs w:val="21"/>
        </w:rPr>
        <w:t>开题报告评价部分分别由指导教师及专家组书写。开题报告会结束后一周之内将报告原件交院（所）研究生教学秘书处。</w:t>
      </w:r>
    </w:p>
    <w:p w14:paraId="0AC4488F">
      <w:pPr>
        <w:rPr>
          <w:rFonts w:hint="eastAsia" w:ascii="华文中宋" w:hAnsi="华文中宋" w:eastAsia="华文中宋"/>
          <w:b/>
          <w:szCs w:val="21"/>
        </w:rPr>
      </w:pPr>
      <w:r>
        <w:rPr>
          <w:rFonts w:hint="eastAsia" w:ascii="华文中宋" w:hAnsi="华文中宋" w:eastAsia="华文中宋"/>
          <w:b/>
          <w:sz w:val="28"/>
          <w:szCs w:val="28"/>
        </w:rPr>
        <w:t>一、基本情况</w:t>
      </w:r>
    </w:p>
    <w:tbl>
      <w:tblPr>
        <w:tblStyle w:val="5"/>
        <w:tblW w:w="972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260"/>
        <w:gridCol w:w="1080"/>
        <w:gridCol w:w="1800"/>
        <w:gridCol w:w="2340"/>
        <w:gridCol w:w="2700"/>
      </w:tblGrid>
      <w:tr w14:paraId="561C2296">
        <w:trPr>
          <w:trHeight w:val="540" w:hRule="atLeast"/>
        </w:trPr>
        <w:tc>
          <w:tcPr>
            <w:tcW w:w="1800" w:type="dxa"/>
            <w:gridSpan w:val="2"/>
            <w:tcBorders>
              <w:top w:val="single" w:color="auto" w:sz="12" w:space="0"/>
              <w:left w:val="single" w:color="auto" w:sz="12" w:space="0"/>
            </w:tcBorders>
            <w:noWrap w:val="0"/>
            <w:vAlign w:val="center"/>
          </w:tcPr>
          <w:p w14:paraId="56827F8C">
            <w:pPr>
              <w:jc w:val="center"/>
              <w:rPr>
                <w:rFonts w:hint="eastAsia"/>
                <w:b/>
                <w:szCs w:val="21"/>
              </w:rPr>
            </w:pPr>
            <w:r>
              <w:rPr>
                <w:rFonts w:hint="eastAsia"/>
                <w:b/>
                <w:szCs w:val="21"/>
              </w:rPr>
              <w:t>研究生姓名</w:t>
            </w:r>
          </w:p>
        </w:tc>
        <w:tc>
          <w:tcPr>
            <w:tcW w:w="2880" w:type="dxa"/>
            <w:gridSpan w:val="2"/>
            <w:tcBorders>
              <w:top w:val="single" w:color="auto" w:sz="12" w:space="0"/>
            </w:tcBorders>
            <w:noWrap w:val="0"/>
            <w:vAlign w:val="center"/>
          </w:tcPr>
          <w:p w14:paraId="29BE5B7D">
            <w:pPr>
              <w:rPr>
                <w:rFonts w:hint="default" w:eastAsia="宋体"/>
                <w:szCs w:val="21"/>
                <w:lang w:val="en-US" w:eastAsia="zh-CN"/>
              </w:rPr>
            </w:pPr>
            <w:r>
              <w:rPr>
                <w:rFonts w:hint="eastAsia"/>
                <w:szCs w:val="21"/>
                <w:lang w:val="en-US" w:eastAsia="zh-CN"/>
              </w:rPr>
              <w:t>杨淑仪</w:t>
            </w:r>
          </w:p>
        </w:tc>
        <w:tc>
          <w:tcPr>
            <w:tcW w:w="2340" w:type="dxa"/>
            <w:tcBorders>
              <w:top w:val="single" w:color="auto" w:sz="12" w:space="0"/>
            </w:tcBorders>
            <w:noWrap w:val="0"/>
            <w:vAlign w:val="center"/>
          </w:tcPr>
          <w:p w14:paraId="4304CECD">
            <w:pPr>
              <w:jc w:val="center"/>
              <w:rPr>
                <w:rFonts w:hint="eastAsia"/>
                <w:b/>
                <w:szCs w:val="21"/>
              </w:rPr>
            </w:pPr>
            <w:r>
              <w:rPr>
                <w:rFonts w:hint="eastAsia"/>
                <w:b/>
                <w:szCs w:val="21"/>
              </w:rPr>
              <w:t>学    号</w:t>
            </w:r>
          </w:p>
        </w:tc>
        <w:tc>
          <w:tcPr>
            <w:tcW w:w="2700" w:type="dxa"/>
            <w:tcBorders>
              <w:top w:val="single" w:color="auto" w:sz="12" w:space="0"/>
              <w:right w:val="single" w:color="auto" w:sz="12" w:space="0"/>
            </w:tcBorders>
            <w:noWrap w:val="0"/>
            <w:vAlign w:val="center"/>
          </w:tcPr>
          <w:p w14:paraId="488E5B11">
            <w:pPr>
              <w:rPr>
                <w:rFonts w:hint="default" w:eastAsia="宋体"/>
                <w:szCs w:val="21"/>
                <w:lang w:val="en-US" w:eastAsia="zh-CN"/>
              </w:rPr>
            </w:pPr>
            <w:r>
              <w:rPr>
                <w:rFonts w:hint="eastAsia"/>
                <w:szCs w:val="21"/>
              </w:rPr>
              <w:t>S202</w:t>
            </w:r>
            <w:r>
              <w:rPr>
                <w:rFonts w:hint="eastAsia"/>
                <w:szCs w:val="21"/>
                <w:lang w:val="en-US" w:eastAsia="zh-CN"/>
              </w:rPr>
              <w:t>48336</w:t>
            </w:r>
          </w:p>
        </w:tc>
      </w:tr>
      <w:tr w14:paraId="7FEB3E8E">
        <w:trPr>
          <w:trHeight w:val="564" w:hRule="atLeast"/>
        </w:trPr>
        <w:tc>
          <w:tcPr>
            <w:tcW w:w="1800" w:type="dxa"/>
            <w:gridSpan w:val="2"/>
            <w:tcBorders>
              <w:left w:val="single" w:color="auto" w:sz="12" w:space="0"/>
            </w:tcBorders>
            <w:noWrap w:val="0"/>
            <w:vAlign w:val="center"/>
          </w:tcPr>
          <w:p w14:paraId="17DA6BB3">
            <w:pPr>
              <w:jc w:val="center"/>
              <w:rPr>
                <w:rFonts w:hint="eastAsia"/>
                <w:b/>
                <w:szCs w:val="21"/>
              </w:rPr>
            </w:pPr>
            <w:r>
              <w:rPr>
                <w:rFonts w:hint="eastAsia"/>
                <w:b/>
                <w:szCs w:val="21"/>
              </w:rPr>
              <w:t>院、系</w:t>
            </w:r>
          </w:p>
        </w:tc>
        <w:tc>
          <w:tcPr>
            <w:tcW w:w="2880" w:type="dxa"/>
            <w:gridSpan w:val="2"/>
            <w:noWrap w:val="0"/>
            <w:vAlign w:val="center"/>
          </w:tcPr>
          <w:p w14:paraId="41FFFC5F">
            <w:pPr>
              <w:rPr>
                <w:rFonts w:hint="eastAsia"/>
                <w:szCs w:val="21"/>
              </w:rPr>
            </w:pPr>
            <w:r>
              <w:rPr>
                <w:rFonts w:hint="eastAsia"/>
                <w:szCs w:val="21"/>
              </w:rPr>
              <w:t>信息学部</w:t>
            </w:r>
          </w:p>
        </w:tc>
        <w:tc>
          <w:tcPr>
            <w:tcW w:w="2340" w:type="dxa"/>
            <w:noWrap w:val="0"/>
            <w:vAlign w:val="center"/>
          </w:tcPr>
          <w:p w14:paraId="617740A7">
            <w:pPr>
              <w:jc w:val="center"/>
              <w:rPr>
                <w:rFonts w:hint="eastAsia"/>
                <w:b/>
                <w:szCs w:val="21"/>
              </w:rPr>
            </w:pPr>
            <w:r>
              <w:rPr>
                <w:rFonts w:hint="eastAsia"/>
                <w:b/>
                <w:szCs w:val="21"/>
              </w:rPr>
              <w:t>指导教师姓名及职称</w:t>
            </w:r>
          </w:p>
        </w:tc>
        <w:tc>
          <w:tcPr>
            <w:tcW w:w="2700" w:type="dxa"/>
            <w:tcBorders>
              <w:right w:val="single" w:color="auto" w:sz="12" w:space="0"/>
            </w:tcBorders>
            <w:noWrap w:val="0"/>
            <w:vAlign w:val="center"/>
          </w:tcPr>
          <w:p w14:paraId="3C76F5BF">
            <w:pPr>
              <w:rPr>
                <w:rFonts w:hint="default" w:eastAsia="宋体"/>
                <w:szCs w:val="21"/>
                <w:lang w:val="en-US" w:eastAsia="zh-CN"/>
              </w:rPr>
            </w:pPr>
            <w:r>
              <w:rPr>
                <w:rFonts w:hint="eastAsia"/>
                <w:szCs w:val="21"/>
                <w:lang w:val="en-US" w:eastAsia="zh-CN"/>
              </w:rPr>
              <w:t>栗觅教授</w:t>
            </w:r>
          </w:p>
        </w:tc>
      </w:tr>
      <w:tr w14:paraId="41D91339">
        <w:trPr>
          <w:trHeight w:val="564" w:hRule="atLeast"/>
        </w:trPr>
        <w:tc>
          <w:tcPr>
            <w:tcW w:w="1800" w:type="dxa"/>
            <w:gridSpan w:val="2"/>
            <w:tcBorders>
              <w:left w:val="single" w:color="auto" w:sz="12" w:space="0"/>
            </w:tcBorders>
            <w:noWrap w:val="0"/>
            <w:vAlign w:val="center"/>
          </w:tcPr>
          <w:p w14:paraId="3965AB88">
            <w:pPr>
              <w:jc w:val="center"/>
              <w:rPr>
                <w:rFonts w:hint="eastAsia"/>
                <w:b/>
                <w:szCs w:val="21"/>
              </w:rPr>
            </w:pPr>
            <w:r>
              <w:rPr>
                <w:rFonts w:hint="eastAsia"/>
                <w:b/>
                <w:szCs w:val="21"/>
              </w:rPr>
              <w:t>学科、专业</w:t>
            </w:r>
          </w:p>
        </w:tc>
        <w:tc>
          <w:tcPr>
            <w:tcW w:w="2880" w:type="dxa"/>
            <w:gridSpan w:val="2"/>
            <w:noWrap w:val="0"/>
            <w:vAlign w:val="center"/>
          </w:tcPr>
          <w:p w14:paraId="6422F6C1">
            <w:pPr>
              <w:rPr>
                <w:rFonts w:hint="eastAsia"/>
                <w:szCs w:val="21"/>
              </w:rPr>
            </w:pPr>
            <w:r>
              <w:rPr>
                <w:rFonts w:hint="eastAsia"/>
                <w:szCs w:val="21"/>
              </w:rPr>
              <w:t>控制科学与工程</w:t>
            </w:r>
          </w:p>
        </w:tc>
        <w:tc>
          <w:tcPr>
            <w:tcW w:w="2340" w:type="dxa"/>
            <w:noWrap w:val="0"/>
            <w:vAlign w:val="center"/>
          </w:tcPr>
          <w:p w14:paraId="201339C7">
            <w:pPr>
              <w:jc w:val="center"/>
              <w:rPr>
                <w:rFonts w:hint="eastAsia"/>
                <w:b/>
                <w:szCs w:val="21"/>
              </w:rPr>
            </w:pPr>
            <w:r>
              <w:rPr>
                <w:rFonts w:hint="eastAsia"/>
                <w:b/>
                <w:szCs w:val="21"/>
              </w:rPr>
              <w:t>入学年月</w:t>
            </w:r>
          </w:p>
        </w:tc>
        <w:tc>
          <w:tcPr>
            <w:tcW w:w="2700" w:type="dxa"/>
            <w:tcBorders>
              <w:right w:val="single" w:color="auto" w:sz="12" w:space="0"/>
            </w:tcBorders>
            <w:noWrap w:val="0"/>
            <w:vAlign w:val="center"/>
          </w:tcPr>
          <w:p w14:paraId="15A97535">
            <w:pPr>
              <w:rPr>
                <w:rFonts w:hint="eastAsia"/>
                <w:szCs w:val="21"/>
              </w:rPr>
            </w:pPr>
            <w:r>
              <w:rPr>
                <w:rFonts w:hint="eastAsia"/>
                <w:szCs w:val="21"/>
              </w:rPr>
              <w:t>202</w:t>
            </w:r>
            <w:r>
              <w:rPr>
                <w:rFonts w:hint="eastAsia"/>
                <w:szCs w:val="21"/>
                <w:lang w:val="en-US" w:eastAsia="zh-CN"/>
              </w:rPr>
              <w:t>4</w:t>
            </w:r>
            <w:r>
              <w:rPr>
                <w:rFonts w:hint="eastAsia"/>
                <w:szCs w:val="21"/>
              </w:rPr>
              <w:t>-09-01</w:t>
            </w:r>
          </w:p>
        </w:tc>
      </w:tr>
      <w:tr w14:paraId="65117FE7">
        <w:trPr>
          <w:trHeight w:val="564" w:hRule="atLeast"/>
        </w:trPr>
        <w:tc>
          <w:tcPr>
            <w:tcW w:w="1800" w:type="dxa"/>
            <w:gridSpan w:val="2"/>
            <w:tcBorders>
              <w:left w:val="single" w:color="auto" w:sz="12" w:space="0"/>
            </w:tcBorders>
            <w:noWrap w:val="0"/>
            <w:vAlign w:val="center"/>
          </w:tcPr>
          <w:p w14:paraId="1DB57F48">
            <w:pPr>
              <w:jc w:val="center"/>
              <w:rPr>
                <w:rFonts w:hint="eastAsia"/>
                <w:b/>
                <w:szCs w:val="21"/>
              </w:rPr>
            </w:pPr>
            <w:r>
              <w:rPr>
                <w:rFonts w:hint="eastAsia"/>
                <w:b/>
                <w:szCs w:val="21"/>
              </w:rPr>
              <w:t>填表日期</w:t>
            </w:r>
          </w:p>
        </w:tc>
        <w:tc>
          <w:tcPr>
            <w:tcW w:w="2880" w:type="dxa"/>
            <w:gridSpan w:val="2"/>
            <w:noWrap w:val="0"/>
            <w:vAlign w:val="center"/>
          </w:tcPr>
          <w:p w14:paraId="35EAB058">
            <w:pPr>
              <w:rPr>
                <w:rFonts w:hint="eastAsia" w:eastAsia="宋体"/>
                <w:szCs w:val="21"/>
                <w:lang w:val="en-US" w:eastAsia="zh-CN"/>
              </w:rPr>
            </w:pPr>
            <w:r>
              <w:rPr>
                <w:rFonts w:hint="eastAsia"/>
                <w:szCs w:val="21"/>
              </w:rPr>
              <w:t>202</w:t>
            </w:r>
            <w:r>
              <w:rPr>
                <w:rFonts w:hint="eastAsia"/>
                <w:szCs w:val="21"/>
                <w:lang w:val="en-US" w:eastAsia="zh-CN"/>
              </w:rPr>
              <w:t>5</w:t>
            </w:r>
            <w:r>
              <w:rPr>
                <w:rFonts w:hint="eastAsia"/>
                <w:szCs w:val="21"/>
              </w:rPr>
              <w:t>-12-2</w:t>
            </w:r>
            <w:r>
              <w:rPr>
                <w:rFonts w:hint="eastAsia"/>
                <w:szCs w:val="21"/>
                <w:lang w:val="en-US" w:eastAsia="zh-CN"/>
              </w:rPr>
              <w:t>0</w:t>
            </w:r>
          </w:p>
        </w:tc>
        <w:tc>
          <w:tcPr>
            <w:tcW w:w="2340" w:type="dxa"/>
            <w:noWrap w:val="0"/>
            <w:vAlign w:val="center"/>
          </w:tcPr>
          <w:p w14:paraId="20AD8B56">
            <w:pPr>
              <w:jc w:val="center"/>
              <w:rPr>
                <w:rFonts w:hint="eastAsia"/>
                <w:b/>
                <w:szCs w:val="21"/>
              </w:rPr>
            </w:pPr>
          </w:p>
        </w:tc>
        <w:tc>
          <w:tcPr>
            <w:tcW w:w="2700" w:type="dxa"/>
            <w:tcBorders>
              <w:right w:val="single" w:color="auto" w:sz="12" w:space="0"/>
            </w:tcBorders>
            <w:noWrap w:val="0"/>
            <w:vAlign w:val="center"/>
          </w:tcPr>
          <w:p w14:paraId="4E56BCB1">
            <w:pPr>
              <w:rPr>
                <w:rFonts w:hint="eastAsia"/>
                <w:szCs w:val="21"/>
              </w:rPr>
            </w:pPr>
          </w:p>
        </w:tc>
      </w:tr>
      <w:tr w14:paraId="5B578581">
        <w:trPr>
          <w:trHeight w:val="3264" w:hRule="atLeast"/>
        </w:trPr>
        <w:tc>
          <w:tcPr>
            <w:tcW w:w="9720" w:type="dxa"/>
            <w:gridSpan w:val="6"/>
            <w:tcBorders>
              <w:left w:val="single" w:color="auto" w:sz="12" w:space="0"/>
              <w:bottom w:val="single" w:color="auto" w:sz="12" w:space="0"/>
              <w:right w:val="single" w:color="auto" w:sz="12" w:space="0"/>
            </w:tcBorders>
            <w:noWrap w:val="0"/>
            <w:vAlign w:val="top"/>
          </w:tcPr>
          <w:p w14:paraId="5F149C2F">
            <w:pPr>
              <w:numPr>
                <w:ilvl w:val="0"/>
                <w:numId w:val="1"/>
              </w:numPr>
              <w:rPr>
                <w:rFonts w:hint="eastAsia"/>
                <w:b/>
                <w:sz w:val="18"/>
              </w:rPr>
            </w:pPr>
            <w:r>
              <w:rPr>
                <w:rFonts w:hint="eastAsia"/>
                <w:b/>
                <w:sz w:val="18"/>
              </w:rPr>
              <w:t>研究方向、论文选题范围：</w:t>
            </w:r>
          </w:p>
          <w:p w14:paraId="7EE0184F">
            <w:pPr>
              <w:rPr>
                <w:rFonts w:hint="eastAsia" w:ascii="宋体" w:hAnsi="宋体" w:eastAsia="宋体"/>
                <w:lang w:val="en-US" w:eastAsia="zh-CN"/>
              </w:rPr>
            </w:pPr>
            <w:r>
              <w:rPr>
                <w:rFonts w:hint="eastAsia" w:ascii="宋体" w:hAnsi="宋体"/>
              </w:rPr>
              <w:t>研究方向：</w:t>
            </w:r>
            <w:r>
              <w:rPr>
                <w:rFonts w:hint="eastAsia" w:ascii="宋体" w:hAnsi="宋体"/>
                <w:lang w:val="en-US" w:eastAsia="zh-CN"/>
              </w:rPr>
              <w:t>机器感知与模式识别</w:t>
            </w:r>
          </w:p>
          <w:p w14:paraId="2838E4C9">
            <w:pPr>
              <w:rPr>
                <w:rFonts w:hint="eastAsia" w:ascii="宋体" w:hAnsi="宋体" w:eastAsia="宋体"/>
                <w:lang w:val="en-US" w:eastAsia="zh-CN"/>
              </w:rPr>
            </w:pPr>
            <w:r>
              <w:rPr>
                <w:rFonts w:hint="eastAsia" w:ascii="宋体" w:hAnsi="宋体"/>
              </w:rPr>
              <w:t>论文选题范围：</w:t>
            </w:r>
            <w:r>
              <w:rPr>
                <w:rFonts w:hint="eastAsia" w:ascii="宋体" w:hAnsi="宋体"/>
                <w:lang w:val="en-US" w:eastAsia="zh-CN"/>
              </w:rPr>
              <w:t>xxx</w:t>
            </w:r>
          </w:p>
          <w:p w14:paraId="1C9512A7">
            <w:pPr>
              <w:rPr>
                <w:rFonts w:hint="eastAsia"/>
                <w:szCs w:val="21"/>
              </w:rPr>
            </w:pPr>
          </w:p>
          <w:p w14:paraId="6ABEADE7">
            <w:pPr>
              <w:numPr>
                <w:ilvl w:val="0"/>
                <w:numId w:val="1"/>
              </w:numPr>
              <w:rPr>
                <w:rFonts w:hint="eastAsia"/>
                <w:b/>
                <w:sz w:val="18"/>
              </w:rPr>
            </w:pPr>
            <w:r>
              <w:rPr>
                <w:rFonts w:hint="eastAsia"/>
                <w:b/>
                <w:sz w:val="18"/>
              </w:rPr>
              <w:t>拟定论文题目：</w:t>
            </w:r>
          </w:p>
          <w:p w14:paraId="73B23E23">
            <w:pPr>
              <w:rPr>
                <w:rFonts w:hint="eastAsia" w:ascii="宋体" w:hAnsi="宋体"/>
                <w:b/>
                <w:sz w:val="18"/>
              </w:rPr>
            </w:pPr>
            <w:r>
              <w:rPr>
                <w:rFonts w:hint="eastAsia" w:ascii="宋体" w:hAnsi="宋体"/>
              </w:rPr>
              <w:t>融合多尺度时频Transformer与双流协同网络的多任务心理压力预测方法研究</w:t>
            </w:r>
          </w:p>
          <w:p w14:paraId="0048D66A">
            <w:pPr>
              <w:rPr>
                <w:rFonts w:hint="eastAsia"/>
                <w:b/>
                <w:sz w:val="18"/>
              </w:rPr>
            </w:pPr>
          </w:p>
          <w:p w14:paraId="7936F68E">
            <w:pPr>
              <w:numPr>
                <w:ilvl w:val="0"/>
                <w:numId w:val="1"/>
              </w:numPr>
              <w:rPr>
                <w:rFonts w:hint="eastAsia" w:ascii="宋体" w:hAnsi="宋体"/>
                <w:b/>
                <w:sz w:val="18"/>
              </w:rPr>
            </w:pPr>
            <w:r>
              <w:rPr>
                <w:rFonts w:hint="eastAsia"/>
                <w:b/>
                <w:sz w:val="18"/>
              </w:rPr>
              <w:t>论文科研课题属于哪一级科研项目，经费来源及金额</w:t>
            </w:r>
            <w:r>
              <w:rPr>
                <w:rFonts w:hint="eastAsia" w:ascii="宋体" w:hAnsi="宋体"/>
                <w:b/>
                <w:sz w:val="18"/>
              </w:rPr>
              <w:t>（</w:t>
            </w:r>
            <w:r>
              <w:rPr>
                <w:rFonts w:hint="eastAsia" w:ascii="宋体" w:hAnsi="宋体"/>
                <w:sz w:val="18"/>
              </w:rPr>
              <w:t>课题来源选项分为国家计委、科委项目、国家经贸委项目、国家自然科学基金项目、国务院其他部门项目、主管部门（部委级）项目、省、市、自治区项目、国际合作项目、学校级项目、自选项目、其它）</w:t>
            </w:r>
            <w:r>
              <w:rPr>
                <w:rFonts w:hint="eastAsia" w:ascii="宋体" w:hAnsi="宋体"/>
                <w:b/>
                <w:sz w:val="18"/>
              </w:rPr>
              <w:t>：</w:t>
            </w:r>
          </w:p>
          <w:p w14:paraId="6E2CE5B8">
            <w:pPr>
              <w:rPr>
                <w:rFonts w:hint="eastAsia" w:ascii="宋体" w:hAnsi="宋体"/>
                <w:b/>
                <w:sz w:val="18"/>
              </w:rPr>
            </w:pPr>
            <w:r>
              <w:rPr>
                <w:rFonts w:hint="eastAsia" w:ascii="宋体" w:hAnsi="宋体"/>
              </w:rPr>
              <w:t>自选项目</w:t>
            </w:r>
          </w:p>
          <w:p w14:paraId="432A2231">
            <w:pPr>
              <w:rPr>
                <w:rFonts w:hint="eastAsia"/>
                <w:b/>
                <w:sz w:val="18"/>
              </w:rPr>
            </w:pPr>
          </w:p>
          <w:p w14:paraId="5D58105F">
            <w:pPr>
              <w:numPr>
                <w:ilvl w:val="0"/>
                <w:numId w:val="1"/>
              </w:numPr>
              <w:rPr>
                <w:rFonts w:hint="eastAsia"/>
                <w:b/>
                <w:sz w:val="18"/>
              </w:rPr>
            </w:pPr>
            <w:r>
              <w:rPr>
                <w:rFonts w:hint="eastAsia"/>
                <w:b/>
                <w:sz w:val="18"/>
              </w:rPr>
              <w:t>论文类型（基础研究、应用研究、开发研究、其它）</w:t>
            </w:r>
          </w:p>
          <w:p w14:paraId="319245F4">
            <w:pPr>
              <w:rPr>
                <w:rFonts w:hint="eastAsia" w:ascii="宋体" w:hAnsi="宋体"/>
                <w:b/>
                <w:sz w:val="18"/>
              </w:rPr>
            </w:pPr>
            <w:r>
              <w:rPr>
                <w:rFonts w:hint="eastAsia" w:ascii="宋体" w:hAnsi="宋体"/>
              </w:rPr>
              <w:t>应用研究</w:t>
            </w:r>
          </w:p>
          <w:p w14:paraId="513C97CE">
            <w:pPr>
              <w:rPr>
                <w:rFonts w:hint="eastAsia"/>
                <w:szCs w:val="21"/>
              </w:rPr>
            </w:pPr>
          </w:p>
        </w:tc>
      </w:tr>
      <w:tr w14:paraId="1C77929E">
        <w:trPr>
          <w:trHeight w:val="3246" w:hRule="atLeast"/>
        </w:trPr>
        <w:tc>
          <w:tcPr>
            <w:tcW w:w="540" w:type="dxa"/>
            <w:tcBorders>
              <w:top w:val="single" w:color="auto" w:sz="12" w:space="0"/>
              <w:left w:val="single" w:color="auto" w:sz="12" w:space="0"/>
              <w:bottom w:val="single" w:color="auto" w:sz="4" w:space="0"/>
              <w:right w:val="single" w:color="auto" w:sz="4" w:space="0"/>
            </w:tcBorders>
            <w:noWrap w:val="0"/>
            <w:vAlign w:val="center"/>
          </w:tcPr>
          <w:p w14:paraId="50FDA103">
            <w:pPr>
              <w:jc w:val="center"/>
              <w:rPr>
                <w:rFonts w:hint="eastAsia"/>
                <w:b/>
                <w:sz w:val="18"/>
              </w:rPr>
            </w:pPr>
            <w:r>
              <w:rPr>
                <w:rFonts w:hint="eastAsia"/>
                <w:b/>
                <w:sz w:val="18"/>
              </w:rPr>
              <w:t>摘</w:t>
            </w:r>
          </w:p>
          <w:p w14:paraId="32BE2550">
            <w:pPr>
              <w:jc w:val="center"/>
              <w:rPr>
                <w:rFonts w:hint="eastAsia"/>
                <w:b/>
                <w:sz w:val="18"/>
              </w:rPr>
            </w:pPr>
          </w:p>
          <w:p w14:paraId="77DAFA39">
            <w:pPr>
              <w:jc w:val="center"/>
              <w:rPr>
                <w:rFonts w:hint="eastAsia"/>
                <w:b/>
                <w:sz w:val="18"/>
              </w:rPr>
            </w:pPr>
          </w:p>
          <w:p w14:paraId="32FB43D7">
            <w:pPr>
              <w:jc w:val="center"/>
              <w:rPr>
                <w:rFonts w:hint="eastAsia"/>
                <w:b/>
                <w:sz w:val="18"/>
              </w:rPr>
            </w:pPr>
          </w:p>
          <w:p w14:paraId="40CA7BC1">
            <w:pPr>
              <w:jc w:val="center"/>
              <w:rPr>
                <w:rFonts w:hint="eastAsia"/>
                <w:b/>
                <w:sz w:val="18"/>
              </w:rPr>
            </w:pPr>
          </w:p>
          <w:p w14:paraId="335365DD">
            <w:pPr>
              <w:jc w:val="center"/>
              <w:rPr>
                <w:rFonts w:hint="eastAsia"/>
                <w:b/>
                <w:sz w:val="18"/>
              </w:rPr>
            </w:pPr>
          </w:p>
          <w:p w14:paraId="06128463">
            <w:pPr>
              <w:jc w:val="center"/>
              <w:rPr>
                <w:rFonts w:hint="eastAsia"/>
                <w:b/>
                <w:sz w:val="18"/>
              </w:rPr>
            </w:pPr>
            <w:r>
              <w:rPr>
                <w:rFonts w:hint="eastAsia"/>
                <w:b/>
                <w:sz w:val="18"/>
              </w:rPr>
              <w:t>要</w:t>
            </w:r>
          </w:p>
        </w:tc>
        <w:tc>
          <w:tcPr>
            <w:tcW w:w="9180" w:type="dxa"/>
            <w:gridSpan w:val="5"/>
            <w:tcBorders>
              <w:top w:val="single" w:color="auto" w:sz="12" w:space="0"/>
              <w:left w:val="single" w:color="auto" w:sz="4" w:space="0"/>
              <w:bottom w:val="single" w:color="auto" w:sz="4" w:space="0"/>
              <w:right w:val="single" w:color="auto" w:sz="12" w:space="0"/>
            </w:tcBorders>
            <w:noWrap w:val="0"/>
            <w:vAlign w:val="top"/>
          </w:tcPr>
          <w:p w14:paraId="6ECD93C0">
            <w:pPr>
              <w:rPr>
                <w:rFonts w:hint="eastAsia"/>
                <w:b/>
                <w:szCs w:val="21"/>
              </w:rPr>
            </w:pPr>
            <w:r>
              <w:rPr>
                <w:rFonts w:hint="eastAsia"/>
                <w:b/>
                <w:sz w:val="18"/>
              </w:rPr>
              <w:t>5.选题研究内容和意义简介（限400字）：</w:t>
            </w:r>
          </w:p>
          <w:p w14:paraId="14C07EC7">
            <w:pPr>
              <w:rPr>
                <w:rFonts w:hint="eastAsia" w:ascii="宋体" w:hAnsi="宋体"/>
              </w:rPr>
            </w:pPr>
            <w:r>
              <w:rPr>
                <w:rFonts w:hint="eastAsia" w:ascii="宋体" w:hAnsi="宋体"/>
              </w:rPr>
              <w:t>心理压力监测对现代人身心健康至关重要，而现有基于光电容积脉搏波（PPG）的深度学习方法未能充分利用生理信号特性。本研究提出PPG-Former-DualStream模型，创新性地融合多尺度时频Transformer与双流协同网络，实现多任务心理压力预测。该模型设计生理周期感知位置编码，将心跳周期先验知识（60-100bpm）融入Transformer架构；开发多尺度时频融合注意力机制，通过时域、频域和多尺度卷积分支全面捕获压力相关特征；构建PPG-PRV双流协同网络，利用跨模态交互注意力实现模态间信息互补；引入不确定性加权的多任务学习框架，联合优化压力回归与情绪分类任务。在90名受试者的PPG/PRV数据集上进行验证，支持Anxiety、Happy、Peace、Sad、Stress五种情绪状态识别</w:t>
            </w:r>
            <w:r>
              <w:rPr>
                <w:rFonts w:hint="eastAsia" w:ascii="宋体" w:hAnsi="宋体"/>
                <w:lang w:val="en-US" w:eastAsia="zh-CN"/>
              </w:rPr>
              <w:t>与心理压力检测</w:t>
            </w:r>
            <w:r>
              <w:rPr>
                <w:rFonts w:hint="eastAsia" w:ascii="宋体" w:hAnsi="宋体"/>
              </w:rPr>
              <w:t>。实验表明，该方法相比Informer、LSTM、TCN等基准模型具有显著优势，可为智能可穿戴设备提供高精度、实时的压力监测技术，具有重要的理论价值和应用前景。</w:t>
            </w:r>
          </w:p>
          <w:p w14:paraId="6181803C">
            <w:pPr>
              <w:rPr>
                <w:rFonts w:hint="eastAsia"/>
                <w:b/>
                <w:sz w:val="18"/>
              </w:rPr>
            </w:pPr>
          </w:p>
        </w:tc>
      </w:tr>
      <w:tr w14:paraId="0055CF14">
        <w:trPr>
          <w:trHeight w:val="441" w:hRule="atLeast"/>
        </w:trPr>
        <w:tc>
          <w:tcPr>
            <w:tcW w:w="2880" w:type="dxa"/>
            <w:gridSpan w:val="3"/>
            <w:tcBorders>
              <w:top w:val="single" w:color="auto" w:sz="4" w:space="0"/>
              <w:left w:val="single" w:color="auto" w:sz="12" w:space="0"/>
              <w:bottom w:val="single" w:color="auto" w:sz="12" w:space="0"/>
              <w:right w:val="single" w:color="auto" w:sz="4" w:space="0"/>
            </w:tcBorders>
            <w:noWrap w:val="0"/>
            <w:vAlign w:val="center"/>
          </w:tcPr>
          <w:p w14:paraId="2CCDD3E5">
            <w:pPr>
              <w:rPr>
                <w:rFonts w:hint="eastAsia"/>
                <w:b/>
                <w:sz w:val="18"/>
              </w:rPr>
            </w:pPr>
            <w:r>
              <w:rPr>
                <w:rFonts w:hint="eastAsia"/>
                <w:b/>
                <w:sz w:val="18"/>
              </w:rPr>
              <w:t>关键词（用分号隔开、最多5个）</w:t>
            </w:r>
          </w:p>
        </w:tc>
        <w:tc>
          <w:tcPr>
            <w:tcW w:w="6840" w:type="dxa"/>
            <w:gridSpan w:val="3"/>
            <w:tcBorders>
              <w:top w:val="single" w:color="auto" w:sz="4" w:space="0"/>
              <w:left w:val="single" w:color="auto" w:sz="4" w:space="0"/>
              <w:bottom w:val="single" w:color="auto" w:sz="12" w:space="0"/>
              <w:right w:val="single" w:color="auto" w:sz="12" w:space="0"/>
            </w:tcBorders>
            <w:noWrap w:val="0"/>
            <w:vAlign w:val="center"/>
          </w:tcPr>
          <w:p w14:paraId="543D0ACC">
            <w:pPr>
              <w:rPr>
                <w:rFonts w:hint="eastAsia" w:ascii="宋体" w:hAnsi="宋体"/>
                <w:b/>
                <w:sz w:val="18"/>
              </w:rPr>
            </w:pPr>
            <w:r>
              <w:rPr>
                <w:rFonts w:hint="eastAsia" w:ascii="宋体" w:hAnsi="宋体"/>
              </w:rPr>
              <w:t>光电容积脉搏波；心理压力预测；多模态融合；Transformer</w:t>
            </w:r>
          </w:p>
        </w:tc>
      </w:tr>
    </w:tbl>
    <w:p w14:paraId="237CBAC9">
      <w:pPr>
        <w:jc w:val="center"/>
        <w:rPr>
          <w:rFonts w:hint="eastAsia" w:ascii="华文仿宋" w:hAnsi="华文仿宋" w:eastAsia="华文仿宋"/>
          <w:b/>
          <w:sz w:val="28"/>
          <w:szCs w:val="28"/>
        </w:rPr>
      </w:pPr>
      <w:r>
        <w:br w:type="page"/>
      </w:r>
      <w:r>
        <w:rPr>
          <w:rFonts w:hint="eastAsia" w:ascii="华文仿宋" w:hAnsi="华文仿宋" w:eastAsia="华文仿宋"/>
          <w:b/>
          <w:sz w:val="28"/>
          <w:szCs w:val="28"/>
        </w:rPr>
        <w:t>报 告 正 文</w:t>
      </w:r>
    </w:p>
    <w:p w14:paraId="5781EEFF">
      <w:pPr>
        <w:rPr>
          <w:rFonts w:hint="eastAsia" w:ascii="华文仿宋" w:hAnsi="华文仿宋" w:eastAsia="华文仿宋"/>
          <w:b/>
          <w:sz w:val="24"/>
          <w:szCs w:val="24"/>
        </w:rPr>
      </w:pPr>
      <w:r>
        <w:rPr>
          <w:rFonts w:hint="eastAsia" w:ascii="华文仿宋" w:hAnsi="华文仿宋" w:eastAsia="华文仿宋"/>
          <w:b/>
          <w:sz w:val="24"/>
          <w:szCs w:val="24"/>
        </w:rPr>
        <w:t>（一）选题依据与研究内容</w:t>
      </w:r>
    </w:p>
    <w:p w14:paraId="00CDCF93">
      <w:pPr>
        <w:rPr>
          <w:rFonts w:hint="eastAsia" w:ascii="华文仿宋" w:hAnsi="华文仿宋" w:eastAsia="华文仿宋"/>
          <w:b/>
          <w:sz w:val="24"/>
          <w:szCs w:val="24"/>
        </w:rPr>
      </w:pPr>
      <w:r>
        <w:rPr>
          <w:rFonts w:hint="eastAsia" w:ascii="华文仿宋" w:hAnsi="华文仿宋" w:eastAsia="华文仿宋"/>
          <w:b/>
          <w:sz w:val="24"/>
          <w:szCs w:val="24"/>
        </w:rPr>
        <w:t>1、选题依据（研究意义、国内外研究现状等）</w:t>
      </w:r>
    </w:p>
    <w:p w14:paraId="555B5700">
      <w:pPr>
        <w:spacing w:after="100" w:afterAutospacing="1"/>
        <w:rPr>
          <w:rFonts w:hint="eastAsia" w:ascii="宋体" w:hAnsi="宋体"/>
          <w:szCs w:val="21"/>
        </w:rPr>
      </w:pPr>
      <w:r>
        <w:rPr>
          <w:b/>
        </w:rPr>
        <w:t>1.1</w:t>
      </w:r>
      <w:r>
        <w:rPr>
          <w:rFonts w:ascii="宋体" w:hAnsi="宋体" w:cs="宋体"/>
          <w:b/>
        </w:rPr>
        <w:t>研究意义</w:t>
      </w:r>
    </w:p>
    <w:p w14:paraId="2733457A">
      <w:pPr>
        <w:spacing w:after="100" w:afterAutospacing="1"/>
        <w:ind w:firstLine="420"/>
        <w:rPr>
          <w:rFonts w:hint="eastAsia" w:ascii="宋体" w:hAnsi="宋体" w:cs="宋体"/>
        </w:rPr>
      </w:pPr>
      <w:r>
        <w:rPr>
          <w:rFonts w:hint="eastAsia" w:ascii="宋体" w:hAnsi="宋体" w:cs="宋体"/>
        </w:rPr>
        <w:t>心理压力是现代社会中影响人类身心健康的重要因素之一，随着2025年全球数字化进程的深化，心理压力已不再仅仅是一个单纯的心理学概念，而是演变为一个具有深远社会经济影响的公共卫生危机。世界卫生组织及多国卫生部门的最新联合统计数据显示，全球约有35%的劳动适龄人口长期处于中度至重度压力状态，这一比例在部分高科技行业和城市中心甚至超过50%。长期且未被管理的慢性压力不仅仅导致个体的心理倦怠，更是诱发心血管疾病、代谢综合征、自身免疫系统紊乱以及重度抑郁症、焦虑障碍等身心疾病的核心诱因[1-3]。</w:t>
      </w:r>
    </w:p>
    <w:p w14:paraId="6C2F2DAF">
      <w:pPr>
        <w:spacing w:after="100" w:afterAutospacing="1"/>
        <w:ind w:firstLine="420"/>
        <w:rPr>
          <w:rFonts w:hint="eastAsia" w:ascii="宋体" w:hAnsi="宋体" w:cs="宋体"/>
        </w:rPr>
      </w:pPr>
      <w:r>
        <w:rPr>
          <w:rFonts w:hint="eastAsia" w:ascii="宋体" w:hAnsi="宋体" w:cs="宋体"/>
        </w:rPr>
        <w:t>传统的心理压力评估主要依赖于心理量表（如PSS感知压力量表）或临床访谈。这些方法虽然在心理学诊断上具有权威性，但存在着滞后性、主观性强、无法连续监测以及受试者依从性差等天然缺陷。</w:t>
      </w:r>
      <w:r>
        <w:rPr>
          <w:rFonts w:hint="eastAsia" w:ascii="宋体" w:hAnsi="宋体" w:cs="宋体"/>
          <w:lang w:val="en-US" w:eastAsia="zh-CN"/>
        </w:rPr>
        <w:t>因此，</w:t>
      </w:r>
      <w:r>
        <w:rPr>
          <w:rFonts w:hint="eastAsia" w:ascii="宋体" w:hAnsi="宋体" w:cs="宋体"/>
        </w:rPr>
        <w:t>如何通过技术手段实现对心理压力的客观、实时、无创且精准的量化评估，成为了生物医学工程、情感计算以及人工智能领域的交叉研究热点。</w:t>
      </w:r>
    </w:p>
    <w:p w14:paraId="617321FE">
      <w:pPr>
        <w:spacing w:after="100" w:afterAutospacing="1"/>
        <w:ind w:firstLine="420"/>
        <w:rPr>
          <w:rFonts w:hint="eastAsia" w:ascii="宋体" w:hAnsi="宋体" w:cs="宋体"/>
        </w:rPr>
      </w:pPr>
      <w:r>
        <w:rPr>
          <w:rFonts w:hint="eastAsia" w:ascii="宋体" w:hAnsi="宋体" w:cs="宋体"/>
        </w:rPr>
        <w:t>光电容积脉搏波（Photoplethysmography, PPG）是一种通过光学方法采集的生理信号，能够反映心血管系统的动态变化[4]。随着智能可穿戴设备的普及，基于PPG信号的压力监测逐渐成为研究热点，特别是腕戴式设备因其非侵入性和舒适性而受到广泛关注[5-6]。PPG传感器在压力研究中得到广泛应用，因其能够通过低成本、易于佩戴的解决方案实现连续监测，为日常压力管理提供了便利条件[15]。脉率变异性（Pulse Rate Variability, PRV）是从PPG信号中提取的重要生理指标，作为PPG信号的高阶特征，与心率变异性（HRV）高度相关，被广泛用于评估自主神经系统活动[7-8]。研究表明，PPG和PRV信号中蕴含丰富的与心理压力相关的信息，为非侵入式压力检测提供了可能[26-27]。然而，尽管硬件采集技术已十分成熟，但基于PPG信号的心理压力精准解译仍面临巨大挑战。</w:t>
      </w:r>
    </w:p>
    <w:p w14:paraId="13F7EB8A">
      <w:pPr>
        <w:spacing w:after="100" w:afterAutospacing="1"/>
        <w:ind w:firstLine="420"/>
        <w:rPr>
          <w:rFonts w:hint="eastAsia" w:ascii="宋体" w:hAnsi="宋体" w:cs="宋体"/>
          <w:lang w:eastAsia="zh-CN"/>
        </w:rPr>
      </w:pPr>
      <w:r>
        <w:rPr>
          <w:rFonts w:hint="eastAsia" w:ascii="宋体" w:hAnsi="宋体" w:cs="宋体"/>
        </w:rPr>
        <w:t>传统方法依赖手工特征和SVM分类器，泛化能力有限；现有深度学习模型直接套用通用架构，忽视PPG信号的周期性与时频特性。本研究突破性地将生理先验知识融入深度学习框架：创新设计生理周期感知位置编码，将心跳周期先验嵌入Transformer底层</w:t>
      </w:r>
      <w:r>
        <w:rPr>
          <w:rFonts w:hint="eastAsia" w:ascii="宋体" w:hAnsi="宋体" w:cs="宋体"/>
          <w:lang w:eastAsia="zh-CN"/>
        </w:rPr>
        <w:t>，开发多尺度时频融合注意力机制，全面捕获压力相关特征</w:t>
      </w:r>
      <w:r>
        <w:rPr>
          <w:rFonts w:hint="eastAsia" w:ascii="宋体" w:hAnsi="宋体" w:cs="宋体"/>
        </w:rPr>
        <w:t>；构建PPG-PRV双流协同网络，通过跨模态注意力实现原始波形与衍生特征的深度交互；采用不确定性加权多任务学习，自动平衡压力回归与情绪分类任务。在理论层面，为时序生理信号处理提供了领域知识驱动的新范式；在应用层面，为可穿戴设备提供高精度、强鲁棒的心理压力实时监测技术，支撑个性化健康干预系统，在数字医疗、运动健康等领域具有重大应用价值。</w:t>
      </w:r>
    </w:p>
    <w:p w14:paraId="7E46CC31">
      <w:pPr>
        <w:spacing w:before="120" w:after="120"/>
        <w:jc w:val="left"/>
      </w:pPr>
      <w:r>
        <w:rPr>
          <w:b/>
          <w:sz w:val="24"/>
        </w:rPr>
        <w:t>1.2</w:t>
      </w:r>
      <w:r>
        <w:rPr>
          <w:rFonts w:ascii="宋体" w:hAnsi="宋体" w:cs="宋体"/>
          <w:b/>
          <w:sz w:val="24"/>
        </w:rPr>
        <w:t>国内外研究现状</w:t>
      </w:r>
    </w:p>
    <w:p w14:paraId="02245525">
      <w:pPr>
        <w:spacing w:after="100" w:afterAutospacing="1"/>
        <w:jc w:val="left"/>
      </w:pPr>
      <w:r>
        <w:rPr>
          <w:b/>
        </w:rPr>
        <w:t>1.2.1</w:t>
      </w:r>
      <w:r>
        <w:rPr>
          <w:rFonts w:hint="eastAsia" w:ascii="等线" w:hAnsi="等线" w:eastAsia="等线" w:cs="等线"/>
          <w:b/>
        </w:rPr>
        <w:t>基于生理信号的压力识别研究现状</w:t>
      </w:r>
    </w:p>
    <w:p w14:paraId="3734467C">
      <w:pPr>
        <w:spacing w:after="100" w:afterAutospacing="1"/>
        <w:ind w:firstLine="420"/>
        <w:rPr>
          <w:rFonts w:hint="eastAsia" w:ascii="宋体" w:hAnsi="宋体" w:cs="宋体"/>
        </w:rPr>
      </w:pPr>
      <w:r>
        <w:rPr>
          <w:rFonts w:hint="eastAsia" w:ascii="宋体" w:hAnsi="宋体" w:cs="宋体"/>
        </w:rPr>
        <w:t>传统的心理压力识别主要依赖多种生理信号作为生物标志物。心电图（ECG）通过检测心脏电活动变化反映自主神经系统对压力的响应；皮肤电导（GSR）测量皮肤导电性变化，对情绪唤醒高度敏感；肌电图（EMG）记录肌肉紧张度，是压力状态的直接指标；呼吸频率和血压等参数也被广泛用于压力评估[31]。然而，这些信号采集通常需要专业设备和复杂设置，限制了其在日常生活场景中的应用。光电容积脉搏波（PPG）作为一种光学测量技术，通过检测血液容积变化反映心血管功能状态，因其采集便捷、成本低廉、适合可穿戴设备集成等优势，近年来在压力监测领域受到广泛关注[32]。系统性综述指出，可穿戴设备在压力检测和监测方面展现出巨大潜力，为实时压力管理提供了技术基础[2]。PPG信号不仅包含心率信息，其波形形态、幅度变化和时频特性也蕴含丰富的自主神经调节信息。研究表明，心理压力状态下，交感神经活动增强导致PPG波形幅度降低、上升时间缩短、重搏波特征改变[4]。</w:t>
      </w:r>
    </w:p>
    <w:p w14:paraId="4F66E92D">
      <w:pPr>
        <w:spacing w:after="100" w:afterAutospacing="1"/>
        <w:ind w:firstLine="420"/>
        <w:rPr>
          <w:rFonts w:hint="eastAsia" w:ascii="宋体" w:hAnsi="宋体" w:cs="宋体"/>
        </w:rPr>
      </w:pPr>
      <w:r>
        <w:rPr>
          <w:rFonts w:hint="eastAsia" w:ascii="宋体" w:hAnsi="宋体" w:cs="宋体"/>
        </w:rPr>
        <w:t>早期基于生理信号的压力识别研究主要采用手工特征提取结合传统机器学习分类器的方法。Healey等人[13]在真实驾驶场景下采集多模态生理信号（包括ECG、EMG、GSR等），提取时域、频域和非线性特征，采用支持向量机（SVM）进行压力状态分类，准确率达到97.3%。Schmidt等人[14]发布了WESAD（Wearable Stress and Affect Detection）多模态数据集，包含生理信号（ECG、EDA、EMG、RESP、BVP等）和自我报告的压力/情绪标签，成为压力识别研究的重要基准。基于该数据集，研究者们探索了多种特征工程方法，如时频分析、非线性动力学特征、统计矩特征等，结合SVM、随机森林、k近邻等分类器进行压力识别。</w:t>
      </w:r>
    </w:p>
    <w:p w14:paraId="6139A1E2">
      <w:pPr>
        <w:spacing w:after="100" w:afterAutospacing="1"/>
        <w:ind w:firstLine="420"/>
        <w:rPr>
          <w:rFonts w:hint="eastAsia" w:ascii="宋体" w:hAnsi="宋体" w:cs="宋体"/>
        </w:rPr>
      </w:pPr>
      <w:r>
        <w:rPr>
          <w:rFonts w:hint="eastAsia" w:ascii="宋体" w:hAnsi="宋体" w:cs="宋体"/>
        </w:rPr>
        <w:t>随着深度学习技术的发展，研究者开始探索端到端的压力识别方法。Rostami等人开发了一种先进的AI算法，在使用PPG传感器进行实时压力检测方面实现了89.32%的准确率和89.55%的F1分数，证明了深度学习在PPG信号实时分析中的有效性[17]。Can等人[15]利用CNN和LSTM的混合架构对PPG信号进行压力分类，在编程竞赛场景下实现了83.2%的准确率，证明了深度学习在PPG信号分析中的潜力。Bobade等人[16]提出了基于多模态融合的实时压力检测系统，结合PPG、GSR和皮肤温度信号，采用深度学习模型实现压力状态监测，系统延迟低于100ms，适合实时应用。脉率变异性（PRV）作为PPG的高阶特征，与心率变异性（HRV）高度相关，被广泛用于评估自主神经系统活动[7,8]。Kim等人[26]通过元分析证实，压力状态下PRV的时域指标（如SDNN、RMSSD）和频域指标（如LF/HF比值）呈现显著变化。Taelman等人[27]的研究进一步验证了心理压力对心率变异性的影响机制。</w:t>
      </w:r>
    </w:p>
    <w:p w14:paraId="6B5C3FF5">
      <w:pPr>
        <w:spacing w:after="100" w:afterAutospacing="1"/>
        <w:ind w:firstLine="420"/>
        <w:rPr>
          <w:rFonts w:ascii="宋体" w:hAnsi="宋体" w:cs="宋体"/>
        </w:rPr>
      </w:pPr>
      <w:r>
        <w:rPr>
          <w:rFonts w:hint="eastAsia" w:ascii="宋体" w:hAnsi="宋体" w:cs="宋体"/>
        </w:rPr>
        <w:t>Modi等人提出了一种混合深度学习模型，结合卷积神经网络（CNN）与多层感知机（MLP），基于生理信号对精神压力水平进行分类，为压力检测提供了新的技术方案[36]。Hosseini等人提出了一个包含可穿戴设备压力数据和面部情绪数据的多模态压力-情绪数据集，为多模态压力识别研究提供了重要资源[10]。</w:t>
      </w:r>
    </w:p>
    <w:p w14:paraId="406B93C5">
      <w:pPr>
        <w:spacing w:after="100" w:afterAutospacing="1"/>
        <w:jc w:val="left"/>
        <w:rPr>
          <w:rFonts w:hint="eastAsia" w:eastAsia="等线"/>
          <w:lang w:val="en-US" w:eastAsia="zh-CN"/>
        </w:rPr>
      </w:pPr>
      <w:r>
        <w:rPr>
          <w:b/>
        </w:rPr>
        <w:t xml:space="preserve">1.2.2 </w:t>
      </w:r>
      <w:r>
        <w:rPr>
          <w:rFonts w:hint="eastAsia" w:ascii="等线" w:hAnsi="等线" w:eastAsia="等线" w:cs="等线"/>
          <w:b/>
        </w:rPr>
        <w:t>时序深度学习模型研究</w:t>
      </w:r>
      <w:r>
        <w:rPr>
          <w:rFonts w:hint="eastAsia" w:ascii="等线" w:hAnsi="等线" w:eastAsia="等线" w:cs="等线"/>
          <w:b/>
          <w:lang w:val="en-US" w:eastAsia="zh-CN"/>
        </w:rPr>
        <w:t>现状</w:t>
      </w:r>
    </w:p>
    <w:p w14:paraId="6C4CF86B">
      <w:pPr>
        <w:spacing w:after="100" w:afterAutospacing="1"/>
        <w:ind w:firstLine="420"/>
        <w:rPr>
          <w:rFonts w:hint="eastAsia" w:ascii="宋体" w:hAnsi="宋体" w:cs="宋体"/>
        </w:rPr>
      </w:pPr>
      <w:r>
        <w:rPr>
          <w:rFonts w:hint="eastAsia" w:ascii="宋体" w:hAnsi="宋体" w:cs="宋体"/>
        </w:rPr>
        <w:t>时序深度学习模型的发展经历了从循环神经网络到Transformer架构的演进过程。循环神经网络（RNN）作为早期的时序建模方法，受限于梯度消失问题，难以捕获长序列依赖关系。LSTM[17]通过引入输入门、遗忘门和输出门机制，有效解决了这一问题，在生理信号分析领域得到广泛应用。GRU[18]进一步简化了门控结构，在保持性能的同时提高了计算效率，在资源受限的可穿戴设备上具有优势。然而，RNN类模型存在固有的序列计算瓶颈，无法充分利用现代硬件的并行计算能力。</w:t>
      </w:r>
    </w:p>
    <w:p w14:paraId="6190B74F">
      <w:pPr>
        <w:spacing w:after="100" w:afterAutospacing="1"/>
        <w:ind w:firstLine="420"/>
        <w:rPr>
          <w:rFonts w:hint="eastAsia" w:ascii="宋体" w:hAnsi="宋体" w:cs="宋体"/>
        </w:rPr>
      </w:pPr>
      <w:r>
        <w:rPr>
          <w:rFonts w:hint="eastAsia" w:ascii="宋体" w:hAnsi="宋体" w:cs="宋体"/>
        </w:rPr>
        <w:t>为了解决并行计算问题，时间卷积网络（TCN）和一维ResNet被引入该领域。TCN[19]采用因果卷积和残差连接，在长序列建模中表现出色，</w:t>
      </w:r>
      <w:r>
        <w:rPr>
          <w:rFonts w:hint="eastAsia" w:ascii="宋体" w:hAnsi="宋体" w:cs="宋体"/>
          <w:lang w:val="en-US" w:eastAsia="zh-CN"/>
        </w:rPr>
        <w:t>其</w:t>
      </w:r>
      <w:r>
        <w:rPr>
          <w:rFonts w:hint="eastAsia" w:ascii="宋体" w:hAnsi="宋体" w:cs="宋体"/>
        </w:rPr>
        <w:t>利用因果卷积和空洞卷积实现了指数级的感受野扩张。WaveNet[20]通过堆叠扩张卷积层，实现了对音频信号的有效建模，其设计理念被迁移到生理信号处理领域。这些卷积模型的并行计算特性使其在训练效率上优于RNN，但在捕获全局依赖关系方面仍存在局限。</w:t>
      </w:r>
    </w:p>
    <w:p w14:paraId="244C6403">
      <w:pPr>
        <w:spacing w:after="100" w:afterAutospacing="1"/>
        <w:ind w:firstLine="420"/>
        <w:rPr>
          <w:rFonts w:hint="eastAsia" w:ascii="宋体" w:hAnsi="宋体" w:cs="宋体"/>
        </w:rPr>
      </w:pPr>
      <w:r>
        <w:rPr>
          <w:rFonts w:hint="eastAsia" w:ascii="宋体" w:hAnsi="宋体" w:cs="宋体"/>
        </w:rPr>
        <w:t>Transformer架构[11]的出现标志着时序建模进入新阶段。通过自注意力机制，Transformer能够直接计算序列中任意两个位置的依赖关系，突破了RNN的序列计算限制。Kasnesis等人提出了TranSenseFusers，一种时序CNN-Transformer神经网络，能够自动过滤PPG信号中的运动伪影，通过融合PPG、EDA和温度信号实现了更高的压力检测准确性[14]。然而，标准Transformer的计算复杂度为O(n²)，在处理长序列生理信号时面临效率挑战。Informer[12]通过引入ProbSparse自注意力机制，将计算复杂度降低到O(n log n)，有效解决了长序列预测问题。Autoformer[21]进一步提出自相关机制，通过时移操作增强序列分解能力，在长时序预测中取得了显著效果。FEDformer[22]结合频域增强技术，通过傅里叶变换在频域进行特征提取，提升了模型对周期性模式的捕获能力。</w:t>
      </w:r>
    </w:p>
    <w:p w14:paraId="5B872AB4">
      <w:pPr>
        <w:spacing w:after="100" w:afterAutospacing="1"/>
        <w:ind w:firstLine="420"/>
        <w:rPr>
          <w:rFonts w:hint="eastAsia" w:ascii="宋体" w:hAnsi="宋体" w:cs="宋体"/>
        </w:rPr>
      </w:pPr>
      <w:r>
        <w:rPr>
          <w:rFonts w:hint="eastAsia" w:ascii="宋体" w:hAnsi="宋体" w:cs="宋体"/>
        </w:rPr>
        <w:t>在生理信号处理领域，这些先进技术的应用仍处于起步阶段。Biswas等人[30]综述了基于PPG的心率估计方法，指出传统方法在复杂场景下性能受限。Giannakakis等人[31]系统回顾了基于生物信号的压力检测研究，强调了深度学习方法的潜力。Wen等人[29]全面调研了Transformer在时间序列分析中的应用，为生理信号处理提供了重要参考。Kyrou等人对压力检测的深度学习方法进行了全面综述，涵盖了来自所有可能来源（生理、语音、面部等）的数据，为该领域提供了最新的研究进展[19]。然而，现有研究多直接将通用时序模型应用于生理信号，未充分考虑PPG信号的周期性、时频特性等生理学特点。PPG信号具有明显的周期性（心跳周期）和多尺度特性（单个心跳、呼吸调制、自主神经调节等不同时间尺度的模式），需要专门设计的网络结构[4,32]。此外，Transformer在小样本生理数据上的泛化能力也是一个重要挑战，需要结合领域知识进行优化[9]。</w:t>
      </w:r>
    </w:p>
    <w:p w14:paraId="747E11CD">
      <w:pPr>
        <w:spacing w:after="100" w:afterAutospacing="1"/>
        <w:jc w:val="left"/>
        <w:rPr>
          <w:rFonts w:hint="eastAsia" w:ascii="Times New Roman" w:hAnsi="Times New Roman" w:eastAsia="宋体" w:cs="Times New Roman"/>
          <w:b/>
        </w:rPr>
      </w:pPr>
      <w:r>
        <w:rPr>
          <w:rFonts w:hint="eastAsia" w:ascii="Times New Roman" w:hAnsi="Times New Roman" w:eastAsia="宋体" w:cs="Times New Roman"/>
          <w:b/>
        </w:rPr>
        <w:t>1.2.</w:t>
      </w:r>
      <w:r>
        <w:rPr>
          <w:rFonts w:hint="eastAsia" w:ascii="Times New Roman" w:hAnsi="Times New Roman" w:eastAsia="宋体" w:cs="Times New Roman"/>
          <w:b/>
          <w:lang w:val="en-US" w:eastAsia="zh-CN"/>
        </w:rPr>
        <w:t>3</w:t>
      </w:r>
      <w:r>
        <w:rPr>
          <w:rFonts w:hint="eastAsia" w:ascii="Times New Roman" w:hAnsi="Times New Roman" w:eastAsia="宋体" w:cs="Times New Roman"/>
          <w:b/>
        </w:rPr>
        <w:t xml:space="preserve"> 多模态融合研究现状</w:t>
      </w:r>
    </w:p>
    <w:p w14:paraId="12E6C546">
      <w:pPr>
        <w:spacing w:after="100" w:afterAutospacing="1"/>
        <w:ind w:firstLine="420"/>
        <w:rPr>
          <w:rFonts w:hint="eastAsia" w:ascii="宋体" w:hAnsi="宋体" w:eastAsia="宋体" w:cs="宋体"/>
          <w:shd w:val="solid" w:color="FFFFFF" w:fill="auto"/>
        </w:rPr>
      </w:pPr>
      <w:r>
        <w:rPr>
          <w:rFonts w:hint="eastAsia" w:ascii="宋体" w:hAnsi="宋体" w:eastAsia="宋体" w:cs="宋体"/>
          <w:shd w:val="solid" w:color="FFFFFF" w:fill="auto"/>
        </w:rPr>
        <w:t>多模态融合在情感计算和压力识别领域受到广泛关注。早期的融合方法主要分为早期融合（特征级融合）和晚期融合（决策级融合）。早期融合将不同模态的特征拼接在一起输入分类器，而晚期融合则对每个模态单独建模，最后融合决策结果。Zadeh等人[23]提出的张量融合网络（Tensor Fusion Network）通过外积操作构建多模态特征的联合表示空间，能够捕获模态间的高阶交互信息，在情感分析任务中取得显著效果。Han等人[24]进一步提出层次化互信息最大化方法，通过最大化模态间的互信息增强融合效果，提高了多模态情感分析的性能。</w:t>
      </w:r>
    </w:p>
    <w:p w14:paraId="4B584612">
      <w:pPr>
        <w:spacing w:after="100" w:afterAutospacing="1"/>
        <w:ind w:firstLine="420"/>
        <w:rPr>
          <w:rFonts w:hint="eastAsia" w:ascii="宋体" w:hAnsi="宋体" w:eastAsia="宋体" w:cs="宋体"/>
          <w:shd w:val="solid" w:color="FFFFFF" w:fill="auto"/>
        </w:rPr>
      </w:pPr>
      <w:r>
        <w:rPr>
          <w:rFonts w:hint="eastAsia" w:ascii="宋体" w:hAnsi="宋体" w:eastAsia="宋体" w:cs="宋体"/>
          <w:shd w:val="solid" w:color="FFFFFF" w:fill="auto"/>
        </w:rPr>
        <w:t>在</w:t>
      </w:r>
      <w:r>
        <w:rPr>
          <w:rFonts w:hint="eastAsia" w:ascii="宋体" w:hAnsi="宋体" w:eastAsia="宋体" w:cs="宋体"/>
          <w:shd w:val="solid" w:color="FFFFFF" w:fill="auto"/>
          <w:lang w:val="en-US" w:eastAsia="zh-CN"/>
        </w:rPr>
        <w:t>基于</w:t>
      </w:r>
      <w:r>
        <w:rPr>
          <w:rFonts w:hint="eastAsia" w:ascii="宋体" w:hAnsi="宋体" w:eastAsia="宋体" w:cs="宋体"/>
          <w:shd w:val="solid" w:color="FFFFFF" w:fill="auto"/>
        </w:rPr>
        <w:t>生理信号多模态融合</w:t>
      </w:r>
      <w:r>
        <w:rPr>
          <w:rFonts w:hint="eastAsia" w:ascii="宋体" w:hAnsi="宋体" w:eastAsia="宋体" w:cs="宋体"/>
          <w:shd w:val="solid" w:color="FFFFFF" w:fill="auto"/>
          <w:lang w:val="en-US" w:eastAsia="zh-CN"/>
        </w:rPr>
        <w:t>的心理压力识别任务</w:t>
      </w:r>
      <w:r>
        <w:rPr>
          <w:rFonts w:hint="eastAsia" w:ascii="宋体" w:hAnsi="宋体" w:eastAsia="宋体" w:cs="宋体"/>
          <w:shd w:val="solid" w:color="FFFFFF" w:fill="auto"/>
        </w:rPr>
        <w:t>上</w:t>
      </w:r>
      <w:r>
        <w:rPr>
          <w:rFonts w:hint="eastAsia" w:ascii="宋体" w:hAnsi="宋体" w:eastAsia="宋体" w:cs="宋体"/>
          <w:shd w:val="solid" w:color="FFFFFF" w:fill="auto"/>
          <w:lang w:eastAsia="zh-CN"/>
        </w:rPr>
        <w:t>，</w:t>
      </w:r>
      <w:r>
        <w:rPr>
          <w:rFonts w:hint="eastAsia" w:ascii="宋体" w:hAnsi="宋体" w:eastAsia="宋体" w:cs="宋体"/>
          <w:shd w:val="solid" w:color="FFFFFF" w:fill="auto"/>
        </w:rPr>
        <w:t>Koldijk等人[25]构建了SWELL知识工作数据集，包含生理信号和自我报告的压力评估，探索了多源数据融合的压力识别方法。Schmidt等人[14]的WESAD数据集整合了ECG、EDA、EMG、RESP和BVP等多种生理信号，为多模态压力识别提供了重要基准。Zhang等人提出了一种基于双向交叉和自模态注意力（BCSA）机制的端到端多模态压力检测模型，实现了模态间的动态对齐和融合[28]。Xiang等人提出了一种多模态深度学习方法（MMFD-SD算法），用于基于多模态生理信号的压力检测，展示了多模态融合在压力识别中的优势[35]。然而，现有研究多采用简单的特征拼接或加权平均策略，未能实现模态间深层次的信息交互。PPG和PRV作为一对密切相关的生理信号，</w:t>
      </w:r>
      <w:r>
        <w:rPr>
          <w:rFonts w:hint="eastAsia" w:ascii="宋体" w:hAnsi="宋体" w:eastAsia="宋体" w:cs="宋体"/>
          <w:shd w:val="solid" w:color="FFFFFF" w:fill="auto"/>
          <w:lang w:val="en-US" w:eastAsia="zh-CN"/>
        </w:rPr>
        <w:t>前者</w:t>
      </w:r>
      <w:r>
        <w:rPr>
          <w:rFonts w:hint="eastAsia" w:ascii="宋体" w:hAnsi="宋体" w:eastAsia="宋体" w:cs="宋体"/>
          <w:shd w:val="solid" w:color="FFFFFF" w:fill="auto"/>
        </w:rPr>
        <w:t>作为原始生理信号提供了丰富的波形形态和时频特性信息基础，而</w:t>
      </w:r>
      <w:r>
        <w:rPr>
          <w:rFonts w:hint="eastAsia" w:ascii="宋体" w:hAnsi="宋体" w:eastAsia="宋体" w:cs="宋体"/>
          <w:shd w:val="solid" w:color="FFFFFF" w:fill="auto"/>
          <w:lang w:val="en-US" w:eastAsia="zh-CN"/>
        </w:rPr>
        <w:t>后者</w:t>
      </w:r>
      <w:r>
        <w:rPr>
          <w:rFonts w:hint="eastAsia" w:ascii="宋体" w:hAnsi="宋体" w:eastAsia="宋体" w:cs="宋体"/>
          <w:shd w:val="solid" w:color="FFFFFF" w:fill="auto"/>
        </w:rPr>
        <w:t>作为从PPG中提取的高阶特征专门表征心率变异性，两者形成了从原始信号到高级特征的层次化信息表示，但现有研究缺乏对这种层次化特征结构的深度建模，未能有效利用原始PPG信号与衍生PRV特征之间的内在关联[7,8]。</w:t>
      </w:r>
    </w:p>
    <w:p w14:paraId="34503469">
      <w:pPr>
        <w:spacing w:after="100" w:afterAutospacing="1"/>
        <w:ind w:firstLine="420"/>
        <w:rPr>
          <w:rFonts w:hint="eastAsia" w:ascii="宋体" w:hAnsi="宋体" w:eastAsia="宋体" w:cs="宋体"/>
          <w:shd w:val="solid" w:color="FFFFFF" w:fill="auto"/>
        </w:rPr>
      </w:pPr>
      <w:r>
        <w:rPr>
          <w:rFonts w:hint="eastAsia" w:ascii="宋体" w:hAnsi="宋体" w:eastAsia="宋体" w:cs="宋体"/>
          <w:shd w:val="solid" w:color="FFFFFF" w:fill="auto"/>
        </w:rPr>
        <w:t>注意力机制为多模态融合提供了新思路。自注意力机制可以动态分配不同模态特征的权重，实现自适应融合。交叉注意力则允许一个模态的特征作为查询，另一个模态的特征作为键和值，实现定向信息流动。Alam等人介绍了TMNet，一种创新的多模态情绪识别框架，利用语音和脑电图（EEG）信号，通过Transformer融合实现了更准确的情绪识别[23]。在情感计算领域，这些技术已被广泛应用于文本、音频和视觉模态的融合[23,24]。然而，在生理信号领域，特别是PPG和PRV的融合研究相对较少。现有的融合方法通常忽略模态间的时序对齐问题和特征尺度差异，导致融合效果不佳[9]。</w:t>
      </w:r>
    </w:p>
    <w:p w14:paraId="5A5EAAD4">
      <w:pPr>
        <w:spacing w:after="100" w:afterAutospacing="1"/>
        <w:jc w:val="left"/>
      </w:pPr>
      <w:r>
        <w:rPr>
          <w:b/>
        </w:rPr>
        <w:t xml:space="preserve">1.2.4 </w:t>
      </w:r>
      <w:r>
        <w:rPr>
          <w:rFonts w:hint="eastAsia" w:ascii="宋体" w:hAnsi="宋体" w:cs="宋体"/>
          <w:b/>
        </w:rPr>
        <w:t>多</w:t>
      </w:r>
      <w:r>
        <w:rPr>
          <w:rFonts w:hint="eastAsia" w:ascii="宋体" w:hAnsi="宋体" w:cs="宋体"/>
          <w:b/>
          <w:lang w:val="en-US" w:eastAsia="zh-CN"/>
        </w:rPr>
        <w:t>任务学习</w:t>
      </w:r>
      <w:r>
        <w:rPr>
          <w:rFonts w:ascii="宋体" w:hAnsi="宋体" w:cs="宋体"/>
          <w:b/>
        </w:rPr>
        <w:t>研究现状</w:t>
      </w:r>
    </w:p>
    <w:p w14:paraId="34C2D6A1">
      <w:pPr>
        <w:spacing w:after="100" w:afterAutospacing="1"/>
        <w:ind w:firstLine="420"/>
        <w:rPr>
          <w:rFonts w:hint="eastAsia" w:ascii="宋体" w:hAnsi="宋体" w:cs="宋体"/>
          <w:shd w:val="solid" w:color="FFFFFF" w:fill="auto"/>
        </w:rPr>
      </w:pPr>
      <w:r>
        <w:rPr>
          <w:rFonts w:hint="eastAsia" w:ascii="宋体" w:hAnsi="宋体" w:cs="宋体"/>
          <w:shd w:val="solid" w:color="FFFFFF" w:fill="auto"/>
        </w:rPr>
        <w:t>多任务学习（Multi-Task Learning, MTL）通过同时学习多个相关任务，共享表示和知识，提高模型泛化能力和数据效率。Caruana[33]最早系统阐述了多任务学习的理论框架，证明共享表示可以作为归纳偏置，提高模型在小样本任务上的性能。在生理信号分析领域，多任务学习能够有效利用不同任务间的相关性，提升模型对噪声和个体差异的鲁棒性。</w:t>
      </w:r>
    </w:p>
    <w:p w14:paraId="56C882C4">
      <w:pPr>
        <w:spacing w:after="100" w:afterAutospacing="1"/>
        <w:ind w:firstLine="420"/>
        <w:rPr>
          <w:rFonts w:hint="eastAsia" w:ascii="宋体" w:hAnsi="宋体" w:cs="宋体"/>
          <w:shd w:val="solid" w:color="FFFFFF" w:fill="auto"/>
        </w:rPr>
      </w:pPr>
      <w:r>
        <w:rPr>
          <w:rFonts w:hint="eastAsia" w:ascii="宋体" w:hAnsi="宋体" w:cs="宋体"/>
          <w:shd w:val="solid" w:color="FFFFFF" w:fill="auto"/>
        </w:rPr>
        <w:t>在心理健康监测领域，压力状态与情绪、认知负荷等心理指标高度相关。Jaques等人[34]首次将多任务学习应用于移动设备上的情绪预测，同时优化压力、情绪和社交状态三个任务，结果显示多任务模型比单任务模型平均提升8.3%的准确率。Ilias等人提出了两种多任务学习框架，用于同时识别压力和抑郁状态，这是首个利用两个不同条件下收集的数据集进行多任务学习的研究[37]。在时序信号处理方面，多任务学习面临序列对齐和特征共享的挑战。Yuan等人[38]提出层次化多任务RNN架构，用于同时预测多种生理指标，在MIMIC-III临床数据集上取得了显著效果。Chen等人[39]设计了基于Transformer的多任务框架，通过任务特定的位置编码和共享的自注意力层，实现了多种时序预测任务的联合优化。在压力识别领域，Li等人[40]探索了压力强度预测与压力类型分类的多任务学习，发现辅助分类任务能有效提升回归任务的精度，但未解决任务权重平衡问题。Liu Y等人提出了一种面向情绪压力分布外检测的多任务跨模态学习方法，通过多任务跨模态学习有效缓解了分布外（OOD）问题，显著提升了模型在未见个体上的泛化性能[39]。</w:t>
      </w:r>
    </w:p>
    <w:p w14:paraId="60FA55EA">
      <w:pPr>
        <w:spacing w:after="100" w:afterAutospacing="1"/>
        <w:ind w:firstLine="420"/>
        <w:rPr>
          <w:rFonts w:hint="eastAsia"/>
        </w:rPr>
      </w:pPr>
      <w:r>
        <w:rPr>
          <w:rFonts w:hint="eastAsia" w:ascii="宋体" w:hAnsi="宋体" w:cs="宋体"/>
          <w:shd w:val="solid" w:color="FFFFFF" w:fill="auto"/>
        </w:rPr>
        <w:t>然而，这些研究多采用等权重或手动调权策略，未考虑不同任务的学习难度差异</w:t>
      </w:r>
      <w:r>
        <w:rPr>
          <w:rFonts w:hint="eastAsia" w:ascii="宋体" w:hAnsi="宋体" w:cs="宋体"/>
          <w:shd w:val="solid" w:color="FFFFFF" w:fill="auto"/>
          <w:lang w:eastAsia="zh-CN"/>
        </w:rPr>
        <w:t>。</w:t>
      </w:r>
      <w:r>
        <w:rPr>
          <w:rFonts w:hint="eastAsia" w:ascii="宋体" w:hAnsi="宋体" w:cs="宋体"/>
          <w:shd w:val="solid" w:color="FFFFFF" w:fill="auto"/>
        </w:rPr>
        <w:t>Kendall等人[28]提出的基于同方差不确定性的多任务学习</w:t>
      </w:r>
      <w:r>
        <w:rPr>
          <w:rFonts w:hint="eastAsia" w:ascii="宋体" w:hAnsi="宋体" w:cs="宋体"/>
          <w:shd w:val="solid" w:color="FFFFFF" w:fill="auto"/>
          <w:lang w:val="en-US" w:eastAsia="zh-CN"/>
        </w:rPr>
        <w:t>方法</w:t>
      </w:r>
      <w:r>
        <w:rPr>
          <w:rFonts w:hint="eastAsia" w:ascii="宋体" w:hAnsi="宋体" w:cs="宋体"/>
          <w:shd w:val="solid" w:color="FFFFFF" w:fill="auto"/>
        </w:rPr>
        <w:t>，该方法认为，每个任务的预测包含固有的噪声（不确定性），模型应该在训练过程中自动学习这些参数，从而动态降低高噪声任务的权重。通过学习任务权重自动平衡不同任务的损失贡献，避免了手动调参的繁琐过程。在医学影像分析领域，Liu等人[36]将该方法应用于同时预测多种疾病指标，证明了不确定性加权能有效提升模型性能。Wang等人[37]在EEG情绪识别任务中结合不确定性加权与注意力机制，实现了情绪效价、唤醒度和偏好度的联合预测，准确率提升5.7%。然而，这些方法在PPG信号压力预测中的应用研究较少。</w:t>
      </w:r>
    </w:p>
    <w:p w14:paraId="36B08983">
      <w:pPr>
        <w:rPr>
          <w:rFonts w:hint="eastAsia" w:ascii="华文仿宋" w:hAnsi="华文仿宋" w:eastAsia="华文仿宋"/>
          <w:b/>
          <w:sz w:val="24"/>
          <w:szCs w:val="24"/>
        </w:rPr>
      </w:pPr>
      <w:r>
        <w:rPr>
          <w:rFonts w:hint="eastAsia" w:ascii="华文仿宋" w:hAnsi="华文仿宋" w:eastAsia="华文仿宋"/>
          <w:b/>
          <w:sz w:val="24"/>
          <w:szCs w:val="24"/>
        </w:rPr>
        <w:t>2、选题的研究内容、研究目标以及拟解决的关键问题等</w:t>
      </w:r>
    </w:p>
    <w:p w14:paraId="52A79DA6">
      <w:pPr>
        <w:spacing w:after="100" w:afterAutospacing="1"/>
        <w:rPr>
          <w:rFonts w:hint="eastAsia" w:ascii="宋体" w:hAnsi="宋体" w:cs="宋体"/>
        </w:rPr>
      </w:pPr>
      <w:r>
        <w:rPr>
          <w:b/>
        </w:rPr>
        <w:t>2.1</w:t>
      </w:r>
      <w:r>
        <w:rPr>
          <w:rFonts w:ascii="宋体" w:hAnsi="宋体" w:cs="宋体"/>
          <w:b/>
        </w:rPr>
        <w:t>研究内容</w:t>
      </w:r>
    </w:p>
    <w:p w14:paraId="655DEBD3">
      <w:pPr>
        <w:spacing w:after="100" w:afterAutospacing="1"/>
        <w:ind w:firstLine="420"/>
        <w:rPr>
          <w:rFonts w:hint="eastAsia" w:ascii="宋体" w:hAnsi="宋体" w:cs="宋体"/>
        </w:rPr>
      </w:pPr>
      <w:r>
        <w:rPr>
          <w:rFonts w:hint="eastAsia" w:ascii="宋体" w:hAnsi="宋体" w:cs="宋体"/>
        </w:rPr>
        <w:t>本研究围绕心理压力的精准预测问题，提出PPG-Former-DualStream模型，包含三个相互关联的核心研究内容，形成从信号处理到心理状态预测的完整技术链条：</w:t>
      </w:r>
    </w:p>
    <w:p w14:paraId="4CCC718E">
      <w:pPr>
        <w:spacing w:after="100" w:afterAutospacing="1"/>
        <w:ind w:firstLine="420"/>
        <w:rPr>
          <w:rFonts w:hint="eastAsia" w:ascii="宋体" w:hAnsi="宋体" w:cs="宋体"/>
        </w:rPr>
      </w:pPr>
      <w:r>
        <w:rPr>
          <w:rFonts w:hint="eastAsia" w:ascii="宋体" w:hAnsi="宋体" w:cs="宋体"/>
        </w:rPr>
        <w:t>1. PPG-Former多尺度时频融合Transformer：针对PPG信号的生理特性定制化设计。引入生理周期感知位置编码，将60-100bpm的心跳周期先验知识嵌入Transformer底层架构；设计多尺度时频融合注意力机制，通过时域、频域和卷积三个并行分支，同步捕获波形形态、节律特征和频谱变化；集成压力感知门控机制，动态抑制运动伪影等干扰噪声。</w:t>
      </w:r>
    </w:p>
    <w:p w14:paraId="2DD9BA15">
      <w:pPr>
        <w:spacing w:after="100" w:afterAutospacing="1"/>
        <w:ind w:firstLine="420"/>
        <w:rPr>
          <w:rFonts w:hint="eastAsia" w:ascii="宋体" w:hAnsi="宋体" w:cs="宋体"/>
        </w:rPr>
      </w:pPr>
      <w:r>
        <w:rPr>
          <w:rFonts w:hint="eastAsia" w:ascii="宋体" w:hAnsi="宋体" w:cs="宋体"/>
        </w:rPr>
        <w:t>2. Dual-Stream双流协同网络：构建非对称双流架构，PPG流处理原始波形形态信息，PRV流提取心率变异性特征</w:t>
      </w:r>
      <w:r>
        <w:rPr>
          <w:rFonts w:hint="eastAsia" w:ascii="宋体" w:hAnsi="宋体" w:cs="宋体"/>
          <w:lang w:eastAsia="zh-CN"/>
        </w:rPr>
        <w:t>，</w:t>
      </w:r>
      <w:r>
        <w:rPr>
          <w:rFonts w:hint="eastAsia" w:ascii="宋体" w:hAnsi="宋体" w:cs="宋体"/>
          <w:lang w:val="en-US" w:eastAsia="zh-CN"/>
        </w:rPr>
        <w:t>利用</w:t>
      </w:r>
      <w:r>
        <w:rPr>
          <w:rFonts w:hint="eastAsia" w:ascii="宋体" w:hAnsi="宋体" w:cs="宋体"/>
        </w:rPr>
        <w:t>跨模态交互注意力机制，实现双向信息流动：PPG查询流利用PRV节律信息解释波形变化，PRV查询流借助PPG形态信息验证特征可靠性。通过自适应权重融合策略，模型能根据信号质量动态调整双流置信度，提升</w:t>
      </w:r>
      <w:r>
        <w:rPr>
          <w:rFonts w:hint="eastAsia" w:ascii="宋体" w:hAnsi="宋体" w:cs="宋体"/>
          <w:lang w:val="en-US" w:eastAsia="zh-CN"/>
        </w:rPr>
        <w:t>压力回归与情绪分类精度</w:t>
      </w:r>
      <w:r>
        <w:rPr>
          <w:rFonts w:hint="eastAsia" w:ascii="宋体" w:hAnsi="宋体" w:cs="宋体"/>
        </w:rPr>
        <w:t>。</w:t>
      </w:r>
    </w:p>
    <w:p w14:paraId="098F2BED">
      <w:pPr>
        <w:spacing w:after="100" w:afterAutospacing="1"/>
        <w:ind w:firstLine="420"/>
        <w:rPr>
          <w:rFonts w:hint="eastAsia" w:ascii="宋体" w:hAnsi="宋体" w:cs="宋体"/>
        </w:rPr>
      </w:pPr>
      <w:r>
        <w:rPr>
          <w:rFonts w:hint="eastAsia" w:ascii="宋体" w:hAnsi="宋体" w:cs="宋体"/>
        </w:rPr>
        <w:t>3. 不确定性加权多任务学习框架：联合优化压力回归与五类情绪分类任务。基于心理学中压力与情绪的内在关联，重点探索压力回归与情绪分类任务间的知识迁移机制</w:t>
      </w:r>
      <w:r>
        <w:rPr>
          <w:rFonts w:hint="eastAsia" w:ascii="宋体" w:hAnsi="宋体" w:cs="宋体"/>
          <w:lang w:eastAsia="zh-CN"/>
        </w:rPr>
        <w:t>，</w:t>
      </w:r>
      <w:r>
        <w:rPr>
          <w:rFonts w:hint="eastAsia" w:ascii="宋体" w:hAnsi="宋体" w:cs="宋体"/>
        </w:rPr>
        <w:t>引入同方差不确定性加权损失函数，自动学习任务权重：当某任务数据噪声较大时，模型自动降低其梯度权重，避免噪声主导训练过程。这种自适应机制免去了人工调参，提升了模型泛化能力。</w:t>
      </w:r>
    </w:p>
    <w:p w14:paraId="7D8B76D6">
      <w:pPr>
        <w:spacing w:after="100" w:afterAutospacing="1"/>
        <w:ind w:firstLine="420"/>
      </w:pPr>
      <w:r>
        <w:rPr>
          <w:rFonts w:hint="eastAsia" w:ascii="宋体" w:hAnsi="宋体" w:cs="宋体"/>
        </w:rPr>
        <w:t>三个研究内容层层递进：</w:t>
      </w:r>
      <w:r>
        <w:rPr>
          <w:rFonts w:hint="eastAsia" w:ascii="宋体" w:hAnsi="宋体" w:cs="宋体"/>
          <w:lang w:val="en-US" w:eastAsia="zh-CN"/>
        </w:rPr>
        <w:t>首先</w:t>
      </w:r>
      <w:r>
        <w:rPr>
          <w:rFonts w:hint="eastAsia" w:ascii="宋体" w:hAnsi="宋体" w:cs="宋体"/>
        </w:rPr>
        <w:t>解决单模态特征提取问题，</w:t>
      </w:r>
      <w:r>
        <w:rPr>
          <w:rFonts w:hint="eastAsia" w:ascii="宋体" w:hAnsi="宋体" w:cs="宋体"/>
          <w:lang w:val="en-US" w:eastAsia="zh-CN"/>
        </w:rPr>
        <w:t>其次</w:t>
      </w:r>
      <w:r>
        <w:rPr>
          <w:rFonts w:hint="eastAsia" w:ascii="宋体" w:hAnsi="宋体" w:cs="宋体"/>
        </w:rPr>
        <w:t>解决多模态信息融合问题，</w:t>
      </w:r>
      <w:r>
        <w:rPr>
          <w:rFonts w:hint="eastAsia" w:ascii="宋体" w:hAnsi="宋体" w:cs="宋体"/>
          <w:lang w:val="en-US" w:eastAsia="zh-CN"/>
        </w:rPr>
        <w:t>最后</w:t>
      </w:r>
      <w:r>
        <w:rPr>
          <w:rFonts w:hint="eastAsia" w:ascii="宋体" w:hAnsi="宋体" w:cs="宋体"/>
        </w:rPr>
        <w:t>解决心理状态综合评估问题</w:t>
      </w:r>
      <w:r>
        <w:rPr>
          <w:rFonts w:hint="eastAsia" w:ascii="宋体" w:hAnsi="宋体" w:cs="宋体"/>
          <w:lang w:eastAsia="zh-CN"/>
        </w:rPr>
        <w:t>，</w:t>
      </w:r>
      <w:r>
        <w:rPr>
          <w:rFonts w:hint="eastAsia" w:ascii="宋体" w:hAnsi="宋体" w:cs="宋体"/>
        </w:rPr>
        <w:t>整体实现了从原始PPG信号到心理状态预测的端到端学习</w:t>
      </w:r>
      <w:r>
        <w:rPr>
          <w:rFonts w:hint="eastAsia" w:ascii="宋体" w:hAnsi="宋体" w:cs="宋体"/>
          <w:lang w:eastAsia="zh-CN"/>
        </w:rPr>
        <w:t>，研究内容之间的联系</w:t>
      </w:r>
      <w:r>
        <w:rPr>
          <w:rFonts w:ascii="宋体" w:hAnsi="宋体" w:cs="宋体"/>
        </w:rPr>
        <w:t>如图</w:t>
      </w:r>
      <w:r>
        <w:t>1</w:t>
      </w:r>
      <w:r>
        <w:rPr>
          <w:rFonts w:ascii="宋体" w:hAnsi="宋体" w:cs="宋体"/>
        </w:rPr>
        <w:t>所示。</w:t>
      </w:r>
    </w:p>
    <w:p w14:paraId="5922A6B9">
      <w:pPr>
        <w:jc w:val="center"/>
        <w:rPr>
          <w:rFonts w:hint="eastAsia" w:eastAsia="宋体"/>
          <w:lang w:eastAsia="zh-CN"/>
        </w:rPr>
      </w:pPr>
    </w:p>
    <w:p w14:paraId="6CCC2026">
      <w:pPr>
        <w:spacing w:after="100" w:afterAutospacing="1"/>
        <w:jc w:val="center"/>
        <w:rPr>
          <w:rFonts w:hint="eastAsia" w:eastAsia="宋体"/>
          <w:lang w:val="en-US" w:eastAsia="zh-CN"/>
        </w:rPr>
      </w:pPr>
      <w:r>
        <w:rPr>
          <w:rFonts w:ascii="宋体" w:hAnsi="宋体" w:cs="宋体"/>
        </w:rPr>
        <w:t>图</w:t>
      </w:r>
      <w:r>
        <w:t xml:space="preserve">1 </w:t>
      </w:r>
      <w:r>
        <w:rPr>
          <w:rFonts w:hint="eastAsia"/>
        </w:rPr>
        <w:t>PPG-Former-DualStream</w:t>
      </w:r>
      <w:r>
        <w:rPr>
          <w:rFonts w:hint="eastAsia"/>
          <w:lang w:val="en-US" w:eastAsia="zh-CN"/>
        </w:rPr>
        <w:t>研究内容</w:t>
      </w:r>
    </w:p>
    <w:p w14:paraId="0A871AEF">
      <w:pPr>
        <w:spacing w:after="100" w:afterAutospacing="1"/>
        <w:jc w:val="left"/>
        <w:rPr>
          <w:rFonts w:ascii="Times New Roman" w:hAnsi="Times New Roman" w:eastAsia="宋体" w:cs="Times New Roman"/>
          <w:b/>
        </w:rPr>
      </w:pPr>
      <w:r>
        <w:rPr>
          <w:b/>
        </w:rPr>
        <w:t xml:space="preserve">2.1.1 </w:t>
      </w:r>
      <w:r>
        <w:rPr>
          <w:rFonts w:hint="eastAsia" w:ascii="Times New Roman" w:hAnsi="Times New Roman" w:eastAsia="宋体" w:cs="Times New Roman"/>
          <w:b/>
        </w:rPr>
        <w:t>PPG-Former多尺度时频融合Transformer</w:t>
      </w:r>
    </w:p>
    <w:p w14:paraId="697E4461">
      <w:pPr>
        <w:spacing w:after="100" w:afterAutospacing="1"/>
        <w:ind w:firstLine="420"/>
        <w:rPr>
          <w:rFonts w:hint="eastAsia"/>
        </w:rPr>
      </w:pPr>
      <w:r>
        <w:rPr>
          <w:rFonts w:hint="eastAsia"/>
        </w:rPr>
        <w:t>传统方法如LSTM、标准CNN或普通Transformer在处理PPG信号时存在明显不足：LSTM难以捕获长距离依赖关系且计算效率低；标准CNN在感受野有限，无法有效建模PPG的周期性特征；普通Transformer虽能建模长序列依赖，但未考虑PPG信号的生理特性，且计算复杂度高</w:t>
      </w:r>
      <w:r>
        <w:rPr>
          <w:rFonts w:hint="eastAsia"/>
          <w:lang w:eastAsia="zh-CN"/>
        </w:rPr>
        <w:t>。</w:t>
      </w:r>
      <w:r>
        <w:rPr>
          <w:rFonts w:hint="eastAsia"/>
          <w:lang w:val="en-US" w:eastAsia="zh-CN"/>
        </w:rPr>
        <w:t>本研究提出的</w:t>
      </w:r>
      <w:r>
        <w:rPr>
          <w:rFonts w:hint="eastAsia"/>
        </w:rPr>
        <w:t>PPG-Former多尺度时频融合Transformer</w:t>
      </w:r>
      <w:r>
        <w:rPr>
          <w:rFonts w:hint="eastAsia"/>
          <w:lang w:val="en-US" w:eastAsia="zh-CN"/>
        </w:rPr>
        <w:t>模块</w:t>
      </w:r>
      <w:r>
        <w:rPr>
          <w:rFonts w:hint="eastAsia"/>
        </w:rPr>
        <w:t>，旨在解决传统深度学习模型在PPG信号处理中的局限性。</w:t>
      </w:r>
    </w:p>
    <w:p w14:paraId="4909132B">
      <w:pPr>
        <w:spacing w:after="100" w:afterAutospacing="1"/>
        <w:ind w:firstLine="420"/>
        <w:rPr>
          <w:rFonts w:hint="eastAsia"/>
        </w:rPr>
      </w:pPr>
      <w:r>
        <w:rPr>
          <w:rFonts w:hint="eastAsia"/>
        </w:rPr>
        <w:t>PPG信号具有独特的生理特性：强周期性（心跳周期60-100bpm）、多尺度特性（单个心跳形态、呼吸调制、自主神经调节等不同时间尺度）以及压力状态在时频域均有特征表现。针对这些特点，PPG-Former设计了三大核心组件：</w:t>
      </w:r>
    </w:p>
    <w:p w14:paraId="6E80E0CF">
      <w:pPr>
        <w:spacing w:after="100" w:afterAutospacing="1"/>
        <w:ind w:firstLine="420"/>
        <w:rPr>
          <w:rFonts w:hint="default"/>
          <w:lang w:val="en-US" w:eastAsia="zh-CN"/>
        </w:rPr>
      </w:pPr>
      <w:r>
        <w:rPr>
          <w:rFonts w:hint="eastAsia"/>
        </w:rPr>
        <w:t>首先，标准Transformer使用的正弦位置编码是基于纯数学频率设计的，与数据的实际物理周期无关。对于PPG信号，心跳周期是其最本质的结构特征。如果模型无法感知这一周期，就需要消耗大量的注意力机制去“寻找”波峰之间的规律。本研究提出一种结合生理先验的编码策略。生理周期感知位置编码突破了标准正弦位置编码的限制，将心跳周期的先验知识（如60-100bpm的生理范围）融入编码设计中。通过引入可学习的调节机制，使模型在训练初期即具备对PPG波形周期性结构的感知能力，从而加速收敛并增强对心率变异的敏感度</w:t>
      </w:r>
      <w:r>
        <w:rPr>
          <w:rFonts w:hint="default"/>
          <w:lang w:val="en-US" w:eastAsia="zh-CN"/>
        </w:rPr>
        <w:t>。</w:t>
      </w:r>
    </w:p>
    <w:p w14:paraId="68BDE5BF">
      <w:pPr>
        <w:spacing w:after="100" w:afterAutospacing="1"/>
        <w:ind w:firstLine="420"/>
        <w:rPr>
          <w:rFonts w:hint="eastAsia"/>
        </w:rPr>
      </w:pPr>
      <w:r>
        <w:rPr>
          <w:rFonts w:hint="eastAsia"/>
        </w:rPr>
        <w:t>其次，PPG信号的信息分布在时域（波形细节）和频域（节律特征）两个维度。单一的注意力机制难以兼顾。本研究设计了包含多尺度卷积、时域注意力和频域注意力三个并行分支的融合机制。多尺度卷积分支负责捕捉从高频噪声到整体波形形态的不同时间跨度的局部模式；时域注意力分支用于捕捉跨越多个心跳周期的长程依赖趋势（如呼吸性窦性心律不齐）；频域注意力分支则通过变换域处理，专门增强与自主神经活动高度相关的特定频率成分（如Mayer波）。最后通过自适应机制动态调整各分支权重，实现最优特征组合。</w:t>
      </w:r>
    </w:p>
    <w:p w14:paraId="2D6273FC">
      <w:pPr>
        <w:spacing w:after="100" w:afterAutospacing="1"/>
        <w:ind w:firstLine="420"/>
        <w:rPr>
          <w:rFonts w:hint="eastAsia"/>
        </w:rPr>
      </w:pPr>
      <w:r>
        <w:rPr>
          <w:rFonts w:hint="eastAsia"/>
          <w:lang w:val="en-US" w:eastAsia="zh-CN"/>
        </w:rPr>
        <w:t>最后</w:t>
      </w:r>
      <w:r>
        <w:rPr>
          <w:rFonts w:hint="eastAsia"/>
        </w:rPr>
        <w:t>，为了进一步滤除无关噪声（如运动伪影）并突出压力相关的特征，在注意力层之后引入了压力感知门控机制</w:t>
      </w:r>
      <w:r>
        <w:rPr>
          <w:rFonts w:hint="eastAsia"/>
          <w:lang w:eastAsia="zh-CN"/>
        </w:rPr>
        <w:t>。</w:t>
      </w:r>
      <w:r>
        <w:rPr>
          <w:rFonts w:hint="eastAsia"/>
          <w:lang w:val="en-US" w:eastAsia="zh-CN"/>
        </w:rPr>
        <w:t>该</w:t>
      </w:r>
      <w:r>
        <w:rPr>
          <w:rFonts w:hint="eastAsia"/>
        </w:rPr>
        <w:t>机制采用通道-</w:t>
      </w:r>
      <w:r>
        <w:rPr>
          <w:rFonts w:hint="eastAsia"/>
          <w:lang w:val="en-US" w:eastAsia="zh-CN"/>
        </w:rPr>
        <w:t>时</w:t>
      </w:r>
      <w:r>
        <w:rPr>
          <w:rFonts w:hint="eastAsia"/>
        </w:rPr>
        <w:t>间双重</w:t>
      </w:r>
      <w:r>
        <w:rPr>
          <w:rFonts w:hint="eastAsia"/>
          <w:lang w:val="en-US" w:eastAsia="zh-CN"/>
        </w:rPr>
        <w:t>门控</w:t>
      </w:r>
      <w:r>
        <w:rPr>
          <w:rFonts w:hint="eastAsia"/>
        </w:rPr>
        <w:t>，自适应地增强与压力状态高度相关的关键信号成分，同时“屏蔽”含噪的时间片段或对压力不敏感的特征通道</w:t>
      </w:r>
      <w:r>
        <w:rPr>
          <w:rFonts w:hint="eastAsia"/>
          <w:lang w:eastAsia="zh-CN"/>
        </w:rPr>
        <w:t>。</w:t>
      </w:r>
      <w:r>
        <w:rPr>
          <w:rFonts w:hint="eastAsia"/>
        </w:rPr>
        <w:t>这种双重门控机制有效抑制了无关特征，增强了与压力相关的信号成分。</w:t>
      </w:r>
    </w:p>
    <w:p w14:paraId="5E4526F1">
      <w:pPr>
        <w:spacing w:after="100" w:afterAutospacing="1"/>
        <w:jc w:val="left"/>
        <w:rPr>
          <w:rFonts w:hint="eastAsia" w:ascii="Times New Roman" w:hAnsi="Times New Roman" w:eastAsia="宋体" w:cs="Times New Roman"/>
          <w:b/>
        </w:rPr>
      </w:pPr>
      <w:r>
        <w:rPr>
          <w:b/>
        </w:rPr>
        <w:t xml:space="preserve">2.1.2 </w:t>
      </w:r>
      <w:r>
        <w:rPr>
          <w:rFonts w:hint="eastAsia" w:ascii="Times New Roman" w:hAnsi="Times New Roman" w:eastAsia="宋体" w:cs="Times New Roman"/>
          <w:b/>
        </w:rPr>
        <w:t>Dual-Stream</w:t>
      </w:r>
      <w:r>
        <w:rPr>
          <w:rFonts w:hint="eastAsia" w:ascii="Times New Roman" w:hAnsi="Times New Roman" w:eastAsia="宋体" w:cs="Times New Roman"/>
          <w:b/>
          <w:lang w:val="en-US" w:eastAsia="zh-CN"/>
        </w:rPr>
        <w:t>融合</w:t>
      </w:r>
      <w:r>
        <w:rPr>
          <w:rFonts w:hint="eastAsia" w:ascii="Times New Roman" w:hAnsi="Times New Roman" w:eastAsia="宋体" w:cs="Times New Roman"/>
          <w:b/>
        </w:rPr>
        <w:t>协同网络</w:t>
      </w:r>
    </w:p>
    <w:p w14:paraId="1EDD8045">
      <w:pPr>
        <w:spacing w:after="100" w:afterAutospacing="1"/>
        <w:ind w:firstLine="420"/>
        <w:rPr>
          <w:rFonts w:hint="eastAsia" w:ascii="宋体" w:hAnsi="宋体" w:cs="宋体"/>
        </w:rPr>
      </w:pPr>
      <w:r>
        <w:rPr>
          <w:rFonts w:hint="eastAsia" w:ascii="宋体" w:hAnsi="宋体" w:cs="宋体"/>
          <w:lang w:val="en-US" w:eastAsia="zh-CN"/>
        </w:rPr>
        <w:t>在多模态融合方面，</w:t>
      </w:r>
      <w:r>
        <w:rPr>
          <w:rFonts w:hint="eastAsia" w:ascii="宋体" w:hAnsi="宋体" w:cs="宋体"/>
        </w:rPr>
        <w:t>传统方法通常采用简单的特征拼接、加权平均或早期/晚期融合策略，无法有效利用原始PPG信号与衍生PRV特征之间的内在关联。这些方法忽略了模态间的深度交互，导致信息利用不充分，且对个体差异适应性差。特别是在压力监测场景下，单一模态容易受噪声干扰，鲁棒性不足。</w:t>
      </w:r>
      <w:r>
        <w:rPr>
          <w:rFonts w:hint="eastAsia" w:ascii="宋体" w:hAnsi="宋体" w:cs="宋体"/>
          <w:lang w:val="en-US" w:eastAsia="zh-CN"/>
        </w:rPr>
        <w:t>本研究提出</w:t>
      </w:r>
      <w:r>
        <w:rPr>
          <w:rFonts w:hint="eastAsia" w:ascii="宋体" w:hAnsi="宋体" w:cs="宋体"/>
        </w:rPr>
        <w:t>Dual-Stream</w:t>
      </w:r>
      <w:r>
        <w:rPr>
          <w:rFonts w:hint="eastAsia" w:ascii="宋体" w:hAnsi="宋体" w:cs="宋体"/>
          <w:lang w:val="en-US" w:eastAsia="zh-CN"/>
        </w:rPr>
        <w:t>融合</w:t>
      </w:r>
      <w:r>
        <w:rPr>
          <w:rFonts w:hint="eastAsia" w:ascii="宋体" w:hAnsi="宋体" w:cs="宋体"/>
        </w:rPr>
        <w:t>协同网络，旨在解决传统多模态融合方法在PPG-PRV信号处理中的局限性。</w:t>
      </w:r>
    </w:p>
    <w:p w14:paraId="7C58CA0C">
      <w:pPr>
        <w:spacing w:after="100" w:afterAutospacing="1"/>
        <w:ind w:firstLine="420"/>
        <w:rPr>
          <w:rFonts w:hint="eastAsia" w:ascii="宋体" w:hAnsi="宋体" w:cs="宋体"/>
          <w:lang w:eastAsia="zh-CN"/>
        </w:rPr>
      </w:pPr>
      <w:r>
        <w:rPr>
          <w:rFonts w:hint="eastAsia" w:ascii="宋体" w:hAnsi="宋体" w:cs="宋体"/>
        </w:rPr>
        <w:t>双流</w:t>
      </w:r>
      <w:r>
        <w:rPr>
          <w:rFonts w:hint="eastAsia" w:ascii="宋体" w:hAnsi="宋体" w:cs="宋体"/>
          <w:lang w:val="en-US" w:eastAsia="zh-CN"/>
        </w:rPr>
        <w:t>融合</w:t>
      </w:r>
      <w:r>
        <w:rPr>
          <w:rFonts w:hint="eastAsia" w:ascii="宋体" w:hAnsi="宋体" w:cs="宋体"/>
        </w:rPr>
        <w:t>协同网络构建了双向信息交互机制，通过两个协同工作的特征流（PPG流和PRV流）实现深度信息融合。该结构的核心优势在于：首先，PPG信号包含丰富的原始波形信息，能够捕获脉搏形态变化；而PRV作为高阶特征，直接反映自主神经系统活动，两者形成了从原始信号到高级特征的层次化信息表示。其次，双流结构保持了各模态的独立性，避免了简单融合导致的特征污染。第三，通过跨模态交互，两个模态能够相互“查询”并提取对自身有益的信息</w:t>
      </w:r>
      <w:r>
        <w:rPr>
          <w:rFonts w:hint="eastAsia" w:ascii="宋体" w:hAnsi="宋体" w:cs="宋体"/>
          <w:lang w:eastAsia="zh-CN"/>
        </w:rPr>
        <w:t>，实现了深度的信息交互，确保了信息流动的平衡性。</w:t>
      </w:r>
    </w:p>
    <w:p w14:paraId="4DFE8C19">
      <w:pPr>
        <w:spacing w:after="100" w:afterAutospacing="1"/>
        <w:ind w:firstLine="420"/>
        <w:rPr>
          <w:rFonts w:hint="eastAsia" w:ascii="宋体" w:hAnsi="宋体" w:eastAsia="宋体" w:cs="宋体"/>
          <w:lang w:eastAsia="zh-CN"/>
        </w:rPr>
      </w:pPr>
      <w:r>
        <w:rPr>
          <w:rFonts w:hint="eastAsia" w:ascii="宋体" w:hAnsi="宋体" w:cs="宋体"/>
          <w:lang w:val="en-US" w:eastAsia="zh-CN"/>
        </w:rPr>
        <w:t>在最终融合阶段，考虑到不同个体生理信号的差异性以及信号质量的波动，采用了一种数据驱动的自适应权重融合策略。模型能够根据当前的信号状态，动态预测两个模态的置信度权重。例如，当原始PPG信号受到严重干扰时，系统能够自动降低其权重，更多地依赖抗噪性更强的PRV特征进行预测，从而极大提升了系统的容错能力和对个体差异的适应性。</w:t>
      </w:r>
    </w:p>
    <w:p w14:paraId="024C6120">
      <w:pPr>
        <w:spacing w:after="100" w:afterAutospacing="1"/>
        <w:jc w:val="left"/>
      </w:pPr>
      <w:r>
        <w:rPr>
          <w:b/>
        </w:rPr>
        <w:t xml:space="preserve">2.1.3 </w:t>
      </w:r>
      <w:r>
        <w:rPr>
          <w:rFonts w:hint="eastAsia" w:ascii="宋体" w:hAnsi="宋体" w:cs="宋体"/>
          <w:b/>
        </w:rPr>
        <w:t>多任务联合学习框架</w:t>
      </w:r>
    </w:p>
    <w:p w14:paraId="48414C95">
      <w:pPr>
        <w:spacing w:after="100" w:afterAutospacing="1"/>
        <w:ind w:firstLine="42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多任务联合学习框架旨在解决传统单任务学习在心理压力预测中的局限性。传统方法通常仅关注压力值回归或情绪分类单一任务，忽略了心理压力与情绪状态之间的内在关联性。单任务模型不仅无法充分利用任务间的互补信息，还容易出现过拟合问题，特别是在生理信号数据量有限的情况下，泛化能力受到严重制约。心理学研究表明，压力水平与情绪状态高度耦合，联合学习这两个任务可以利用它们之间的共享信息，防止模型在单一任务上过拟合。现有研究中，压力预测多采用独立的回归或分类模型，任务权重需要手动调节，缺乏自适应性，且无法同时提供压力强度和情绪状态的综合评估。</w:t>
      </w:r>
    </w:p>
    <w:p w14:paraId="7F6295C8">
      <w:pPr>
        <w:spacing w:after="100" w:afterAutospacing="1"/>
        <w:ind w:firstLine="42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框架将心理压力预测建模为多任务学习问题，同时优化压力回归（连续值预测）和情绪分类（五类：平静、悲伤、快乐、恐惧和紧张）两个高度相关的任务。这种设计基于心理学理论：压力与情绪状态相互影响，共同反映个体的心理健康状况。通过共享底层特征表示，模型能够从不同任务中学习互补信息，增强对复杂心理状态的理解能力。</w:t>
      </w:r>
    </w:p>
    <w:p w14:paraId="46536D3C">
      <w:pPr>
        <w:spacing w:after="100" w:afterAutospacing="1"/>
        <w:ind w:firstLine="42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框架的核心实现包含三个关键组件。首先是共享特征表示层，采用一层MLP从融合特征中提取通用特征，作为两个任务的共同输入。这种共享机制不仅减少了模型参数量，更能使模型学习更具泛化性的特征表示。其次是任务特定头设计：压力回归头使用两层MLP预测连续压力值；情绪分类头使用两层MLP预测五类情绪概率分布。两个头结构独立，避免任务间干扰，同时共享底层特征实现知识迁移。</w:t>
      </w:r>
    </w:p>
    <w:p w14:paraId="05E0E6F9">
      <w:pPr>
        <w:spacing w:after="100" w:afterAutospacing="1"/>
        <w:ind w:firstLine="42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针对多任务学习中不同任务难度和噪声水平不一致的问题，引入了不确定性加权机制。该机制允许模型自动感知每个任务的观测噪声（不确定性），并据此动态调整损失函数中的任务权重。这避免了模型被高噪声的任务主导，实现了在降低权重和控制不确定性之间的最优平衡，确保压力强度评估和情绪状态识别两个任务能够相互促进。</w:t>
      </w:r>
    </w:p>
    <w:p w14:paraId="5B7573FA">
      <w:pPr>
        <w:spacing w:before="120" w:after="120"/>
        <w:jc w:val="left"/>
      </w:pPr>
      <w:r>
        <w:rPr>
          <w:b/>
          <w:sz w:val="24"/>
        </w:rPr>
        <w:t>2.2</w:t>
      </w:r>
      <w:r>
        <w:rPr>
          <w:rFonts w:ascii="宋体" w:hAnsi="宋体" w:cs="宋体"/>
          <w:b/>
          <w:sz w:val="24"/>
        </w:rPr>
        <w:t>研究目标</w:t>
      </w:r>
    </w:p>
    <w:p w14:paraId="5CA97C83">
      <w:pPr>
        <w:spacing w:after="100" w:afterAutospacing="1"/>
        <w:rPr>
          <w:rFonts w:hint="eastAsia" w:eastAsia="宋体"/>
          <w:lang w:eastAsia="zh-CN"/>
        </w:rPr>
      </w:pPr>
      <w:r>
        <w:rPr>
          <w:b/>
        </w:rPr>
        <w:t xml:space="preserve">       </w:t>
      </w:r>
      <w:r>
        <w:rPr>
          <w:rFonts w:hint="eastAsia" w:ascii="宋体" w:hAnsi="宋体" w:cs="宋体"/>
          <w:lang w:val="en-US" w:eastAsia="zh-CN"/>
        </w:rPr>
        <w:t>针对现有模型未充分利用PPG信号生理特性的问题，</w:t>
      </w:r>
      <w:r>
        <w:rPr>
          <w:rFonts w:hint="eastAsia" w:ascii="宋体" w:hAnsi="宋体" w:cs="宋体"/>
        </w:rPr>
        <w:t>提出面向生理信号的PPG-Former多尺度时频融合Transformer架构</w:t>
      </w:r>
      <w:r>
        <w:rPr>
          <w:rFonts w:hint="eastAsia" w:ascii="宋体" w:hAnsi="宋体" w:cs="宋体"/>
          <w:lang w:eastAsia="zh-CN"/>
        </w:rPr>
        <w:t>；</w:t>
      </w:r>
      <w:r>
        <w:rPr>
          <w:rFonts w:hint="eastAsia" w:ascii="宋体" w:hAnsi="宋体" w:cs="宋体"/>
        </w:rPr>
        <w:t>构建PPG-PRV双流协同网络，实现跨模态特征交互，提升多模态融合效果</w:t>
      </w:r>
      <w:r>
        <w:rPr>
          <w:rFonts w:hint="eastAsia" w:ascii="宋体" w:hAnsi="宋体" w:cs="宋体"/>
          <w:lang w:eastAsia="zh-CN"/>
        </w:rPr>
        <w:t>；</w:t>
      </w:r>
      <w:r>
        <w:rPr>
          <w:rFonts w:hint="eastAsia" w:ascii="宋体" w:hAnsi="宋体" w:cs="宋体"/>
          <w:lang w:val="en-US" w:eastAsia="zh-CN"/>
        </w:rPr>
        <w:t>最后</w:t>
      </w:r>
      <w:r>
        <w:rPr>
          <w:rFonts w:hint="eastAsia" w:ascii="宋体" w:hAnsi="宋体" w:cs="宋体"/>
        </w:rPr>
        <w:t>设计多任务联合学习框架，通过压力回归与情绪分类的联合优化，提升模型泛化能力</w:t>
      </w:r>
      <w:r>
        <w:rPr>
          <w:rFonts w:hint="eastAsia" w:ascii="宋体" w:hAnsi="宋体" w:cs="宋体"/>
          <w:lang w:eastAsia="zh-CN"/>
        </w:rPr>
        <w:t>；</w:t>
      </w:r>
      <w:r>
        <w:rPr>
          <w:rFonts w:hint="eastAsia" w:ascii="宋体" w:hAnsi="宋体" w:cs="宋体"/>
        </w:rPr>
        <w:t>建立可靠的心理压力量化预测系统，为可穿戴设备提供技术支撑</w:t>
      </w:r>
      <w:r>
        <w:rPr>
          <w:rFonts w:hint="eastAsia" w:ascii="宋体" w:hAnsi="宋体" w:cs="宋体"/>
          <w:lang w:eastAsia="zh-CN"/>
        </w:rPr>
        <w:t>。</w:t>
      </w:r>
    </w:p>
    <w:p w14:paraId="65E80A9B">
      <w:pPr>
        <w:spacing w:before="120" w:after="120"/>
        <w:jc w:val="left"/>
      </w:pPr>
      <w:r>
        <w:rPr>
          <w:b/>
          <w:sz w:val="24"/>
        </w:rPr>
        <w:t>2.3</w:t>
      </w:r>
      <w:r>
        <w:rPr>
          <w:rFonts w:ascii="宋体" w:hAnsi="宋体" w:cs="宋体"/>
          <w:b/>
          <w:sz w:val="24"/>
        </w:rPr>
        <w:t>拟解决的关键问题</w:t>
      </w:r>
    </w:p>
    <w:p w14:paraId="78B3288C">
      <w:pPr>
        <w:spacing w:after="100" w:afterAutospacing="1"/>
        <w:rPr>
          <w:rFonts w:hint="eastAsia" w:eastAsia="宋体"/>
          <w:lang w:eastAsia="zh-CN"/>
        </w:rPr>
      </w:pPr>
      <w:r>
        <w:rPr>
          <w:b/>
        </w:rPr>
        <w:t xml:space="preserve">       </w:t>
      </w:r>
      <w:r>
        <w:t>1.</w:t>
      </w:r>
      <w:r>
        <w:rPr>
          <w:rFonts w:hint="eastAsia"/>
        </w:rPr>
        <w:t>现有方法未能充分利用PPG信号生理特性</w:t>
      </w:r>
      <w:r>
        <w:rPr>
          <w:rFonts w:hint="eastAsia"/>
          <w:lang w:eastAsia="zh-CN"/>
        </w:rPr>
        <w:t>，</w:t>
      </w:r>
      <w:r>
        <w:rPr>
          <w:rFonts w:hint="eastAsia"/>
          <w:lang w:val="en-US" w:eastAsia="zh-CN"/>
        </w:rPr>
        <w:t>未能充分捕获与压力相关的特征，因此</w:t>
      </w:r>
      <w:r>
        <w:rPr>
          <w:rFonts w:hint="eastAsia" w:ascii="宋体" w:hAnsi="宋体" w:cs="宋体"/>
        </w:rPr>
        <w:t>将心跳周期先验知识有效融入深度学习模型，增强对PPG信号周期性特征的感知能力</w:t>
      </w:r>
      <w:r>
        <w:rPr>
          <w:rFonts w:hint="eastAsia" w:ascii="宋体" w:hAnsi="宋体" w:cs="宋体"/>
          <w:lang w:eastAsia="zh-CN"/>
        </w:rPr>
        <w:t>；设计时频融合机制，全面捕获PPG信号中与压力相关的时频特征。</w:t>
      </w:r>
    </w:p>
    <w:p w14:paraId="5242DB38">
      <w:pPr>
        <w:spacing w:after="100" w:afterAutospacing="1"/>
        <w:rPr>
          <w:rFonts w:hint="default" w:ascii="宋体" w:hAnsi="宋体" w:eastAsia="宋体" w:cs="宋体"/>
          <w:lang w:val="en-US" w:eastAsia="zh-CN"/>
        </w:rPr>
      </w:pPr>
      <w:r>
        <w:t>       2.</w:t>
      </w:r>
      <w:r>
        <w:rPr>
          <w:rFonts w:hint="eastAsia" w:ascii="宋体" w:hAnsi="宋体" w:cs="宋体"/>
        </w:rPr>
        <w:t>PPG与PRV信号虽密切相关，但具有不同的数据特性：PPG为长序列、高信息密度的原始波形；PRV为稀疏、高阶统计特征。现有融合方法难以处理这种异构性，且无法根据信号质量动态调整模态权重</w:t>
      </w:r>
      <w:r>
        <w:rPr>
          <w:rFonts w:hint="eastAsia" w:ascii="宋体" w:hAnsi="宋体" w:cs="宋体"/>
          <w:lang w:eastAsia="zh-CN"/>
        </w:rPr>
        <w:t>，</w:t>
      </w:r>
      <w:r>
        <w:rPr>
          <w:rFonts w:hint="eastAsia" w:ascii="宋体" w:hAnsi="宋体" w:cs="宋体"/>
          <w:lang w:val="en-US" w:eastAsia="zh-CN"/>
        </w:rPr>
        <w:t>因此设计跨模态交互注意力机制与自适应权重融合策略，实现PPG和PRV特征的深度交互，充分利用双模态的信息。</w:t>
      </w:r>
    </w:p>
    <w:p w14:paraId="072AA68B">
      <w:pPr>
        <w:spacing w:after="100" w:afterAutospacing="1"/>
        <w:ind w:firstLine="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压力回归与情绪分类任务具有不同的数据噪声水平和学习难度，而多数多任务学习的研究采用简单的等权策略或手动调权，未考虑任务间的不确定性，因此使用基于不确定性的多任务学习框架，通过压力回归与情绪分类的联合优化，自动学习任务权重，避免手动调参。</w:t>
      </w:r>
    </w:p>
    <w:p w14:paraId="1A54285F">
      <w:pPr>
        <w:rPr>
          <w:rFonts w:hint="eastAsia" w:ascii="华文仿宋" w:hAnsi="华文仿宋" w:eastAsia="华文仿宋"/>
          <w:b/>
          <w:sz w:val="24"/>
          <w:szCs w:val="24"/>
        </w:rPr>
      </w:pPr>
      <w:r>
        <w:rPr>
          <w:rFonts w:hint="eastAsia" w:ascii="华文仿宋" w:hAnsi="华文仿宋" w:eastAsia="华文仿宋"/>
          <w:b/>
          <w:sz w:val="24"/>
          <w:szCs w:val="24"/>
        </w:rPr>
        <w:t>3、拟采取的研究方案（研究思路、技术路线或研究方法）及可行性分析</w:t>
      </w:r>
    </w:p>
    <w:p w14:paraId="7E75D7E7">
      <w:pPr>
        <w:spacing w:before="120" w:after="120"/>
        <w:rPr>
          <w:rFonts w:hint="eastAsia" w:ascii="宋体" w:hAnsi="宋体"/>
          <w:b/>
          <w:sz w:val="24"/>
          <w:szCs w:val="24"/>
        </w:rPr>
      </w:pPr>
      <w:r>
        <w:rPr>
          <w:b/>
          <w:sz w:val="24"/>
        </w:rPr>
        <w:t>3.1</w:t>
      </w:r>
      <w:r>
        <w:rPr>
          <w:rFonts w:ascii="宋体" w:hAnsi="宋体" w:cs="宋体"/>
          <w:b/>
          <w:sz w:val="24"/>
        </w:rPr>
        <w:t>拟采取的研究方案</w:t>
      </w:r>
      <w:r>
        <w:rPr>
          <w:b/>
        </w:rPr>
        <w:t xml:space="preserve"> </w:t>
      </w:r>
    </w:p>
    <w:p w14:paraId="326C13D5">
      <w:pPr>
        <w:spacing w:after="100" w:afterAutospacing="1"/>
      </w:pPr>
      <w:r>
        <w:rPr>
          <w:b/>
        </w:rPr>
        <w:t>3.1.1</w:t>
      </w:r>
      <w:r>
        <w:rPr>
          <w:rFonts w:hint="eastAsia" w:ascii="宋体" w:hAnsi="宋体" w:cs="宋体"/>
          <w:b/>
        </w:rPr>
        <w:t>研究思路</w:t>
      </w:r>
    </w:p>
    <w:p w14:paraId="0979A8F8">
      <w:pPr>
        <w:spacing w:after="100" w:afterAutospacing="1"/>
        <w:ind w:firstLine="420"/>
        <w:rPr>
          <w:rFonts w:hint="eastAsia" w:ascii="宋体" w:hAnsi="宋体" w:cs="宋体"/>
          <w:lang w:val="en-US" w:eastAsia="zh-CN"/>
        </w:rPr>
      </w:pPr>
      <w:r>
        <w:rPr>
          <w:rFonts w:hint="eastAsia" w:ascii="宋体" w:hAnsi="宋体" w:cs="宋体"/>
        </w:rPr>
        <w:t>基于对现有研究的深入分析</w:t>
      </w:r>
      <w:r>
        <w:rPr>
          <w:rFonts w:hint="eastAsia" w:ascii="宋体" w:hAnsi="宋体" w:cs="宋体"/>
          <w:lang w:eastAsia="zh-CN"/>
        </w:rPr>
        <w:t>，</w:t>
      </w:r>
      <w:r>
        <w:rPr>
          <w:rFonts w:hint="eastAsia" w:ascii="宋体" w:hAnsi="宋体" w:cs="宋体"/>
          <w:lang w:val="en-US" w:eastAsia="zh-CN"/>
        </w:rPr>
        <w:t>了解到四个不足的方面：通用时序模型未考虑PPG信号的周期性生理特征、单一域（时域或频域）特征无法全面捕获压力相关信号模式、模态融合策略较为简单、单任务模型忽略压力与情绪状态的内在关联。因此采用三层架构，逐层抽象和融合信息：第一层分别对PPG信号和PRV信号进行特征提取，第二层实现双流协同跨模态交互，第三层进行多任务联合学习优化。</w:t>
      </w:r>
    </w:p>
    <w:p w14:paraId="209055CB">
      <w:pPr>
        <w:spacing w:after="100" w:afterAutospacing="1"/>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3.1.</w:t>
      </w:r>
      <w:r>
        <w:rPr>
          <w:rFonts w:hint="eastAsia" w:ascii="Times New Roman" w:hAnsi="Times New Roman" w:eastAsia="宋体" w:cs="Times New Roman"/>
          <w:b/>
          <w:lang w:val="en-US" w:eastAsia="zh-CN"/>
        </w:rPr>
        <w:t>2</w:t>
      </w:r>
      <w:r>
        <w:rPr>
          <w:rFonts w:hint="default" w:ascii="Times New Roman" w:hAnsi="Times New Roman" w:eastAsia="宋体" w:cs="Times New Roman"/>
          <w:b/>
          <w:lang w:val="en-US" w:eastAsia="zh-CN"/>
        </w:rPr>
        <w:t>技术路线</w:t>
      </w:r>
    </w:p>
    <w:p w14:paraId="11D2AB90">
      <w:pPr>
        <w:spacing w:after="100" w:afterAutospacing="1"/>
        <w:ind w:firstLine="420"/>
        <w:rPr>
          <w:rFonts w:hint="eastAsia" w:eastAsia="宋体"/>
          <w:lang w:eastAsia="zh-CN"/>
        </w:rPr>
      </w:pPr>
      <w:r>
        <w:rPr>
          <w:rFonts w:hint="eastAsia" w:ascii="宋体" w:hAnsi="宋体" w:cs="宋体"/>
        </w:rPr>
        <w:t>首先从数据采集与预处理开始，将原始数据分为PPG信号处理和PRV特征提取两条路径。PPG信号通过PPG-Former模块进行深度处理，该模块包含生理位置编码（融入心跳周期先验知识）、时频融合注意力（同时捕获时频域特征）和压力感知门控（自适应选择压力相关特征）三个核心组件。PRV信号则通过专门设计的轻量化PRV Encoder进行特征编码。两条路径的特征在Dual-Stream融合模块中进行整合，通过跨模态交互注意力实现双向信息流动，并采用自适应权重融合机制根据信号质量动态调整模态权重。融合后的特征输入Multi-Task Head模块，同时执行压力回归、情绪分类两个任务，并通过不确定性加权机制自动平衡任务损失。最终，模型在实验与评估阶段进行性能验证和优化，形成完整的心理压力预测系统。</w:t>
      </w:r>
      <w:r>
        <w:rPr>
          <w:rFonts w:ascii="宋体" w:hAnsi="宋体" w:cs="宋体"/>
        </w:rPr>
        <w:t>具体流程如图</w:t>
      </w:r>
      <w:r>
        <w:t>4</w:t>
      </w:r>
      <w:r>
        <w:rPr>
          <w:rFonts w:ascii="宋体" w:hAnsi="宋体" w:cs="宋体"/>
        </w:rPr>
        <w:t>所示。</w:t>
      </w:r>
    </w:p>
    <w:p w14:paraId="463C23FF">
      <w:pPr>
        <w:spacing w:after="100" w:afterAutospacing="1"/>
        <w:jc w:val="center"/>
        <w:rPr>
          <w:rFonts w:hint="eastAsia" w:eastAsia="宋体"/>
          <w:lang w:eastAsia="zh-CN"/>
        </w:rPr>
      </w:pPr>
    </w:p>
    <w:p w14:paraId="239ECFDE">
      <w:pPr>
        <w:spacing w:after="120"/>
        <w:jc w:val="center"/>
      </w:pPr>
      <w:r>
        <w:rPr>
          <w:rFonts w:ascii="宋体" w:hAnsi="宋体" w:cs="宋体"/>
        </w:rPr>
        <w:t>图4</w:t>
      </w:r>
      <w:r>
        <w:t> </w:t>
      </w:r>
      <w:r>
        <w:rPr>
          <w:rFonts w:hint="eastAsia" w:ascii="宋体" w:hAnsi="宋体" w:cs="宋体"/>
          <w:lang w:val="en-US" w:eastAsia="zh-CN"/>
        </w:rPr>
        <w:t>情绪状态预测</w:t>
      </w:r>
      <w:r>
        <w:rPr>
          <w:rFonts w:ascii="宋体" w:hAnsi="宋体" w:cs="宋体"/>
        </w:rPr>
        <w:t>流程图</w:t>
      </w:r>
    </w:p>
    <w:p w14:paraId="07FEDCAF">
      <w:pPr>
        <w:spacing w:after="100" w:afterAutospacing="1"/>
        <w:jc w:val="left"/>
        <w:rPr>
          <w:rFonts w:hint="eastAsia" w:ascii="宋体" w:hAnsi="宋体" w:cs="宋体"/>
          <w:b/>
          <w:lang w:val="en-US" w:eastAsia="zh-CN"/>
        </w:rPr>
      </w:pPr>
      <w:r>
        <w:rPr>
          <w:b/>
        </w:rPr>
        <w:t>3.1.</w:t>
      </w:r>
      <w:r>
        <w:rPr>
          <w:rFonts w:hint="eastAsia"/>
          <w:b/>
          <w:lang w:val="en-US" w:eastAsia="zh-CN"/>
        </w:rPr>
        <w:t>3</w:t>
      </w:r>
      <w:r>
        <w:rPr>
          <w:rFonts w:hint="eastAsia" w:ascii="宋体" w:hAnsi="宋体" w:cs="宋体"/>
          <w:b/>
          <w:lang w:val="en-US" w:eastAsia="zh-CN"/>
        </w:rPr>
        <w:t>研究方法</w:t>
      </w:r>
    </w:p>
    <w:p w14:paraId="5F2A172F">
      <w:pPr>
        <w:spacing w:after="100" w:afterAutospacing="1"/>
        <w:ind w:firstLine="420"/>
        <w:rPr>
          <w:rFonts w:hint="eastAsia"/>
          <w:lang w:eastAsia="zh-CN"/>
        </w:rPr>
      </w:pPr>
      <w:r>
        <w:rPr>
          <w:rFonts w:hint="eastAsia"/>
        </w:rPr>
        <w:t>PPG-Former模块采用三层架构实现PPG信号的多尺度时频特征提取。首先，生理周期感知位置编码在标准正弦位置编码基础上叠加心跳周期编码，考虑到PPG信号在20Hz采样率下，平均心跳周期（约0.75秒）对应约15个采样点，构建专门的周期性编码$PE_{cycle}$。最终的复合位置编码公式为</w:t>
      </w:r>
      <w:r>
        <w:rPr>
          <w:rFonts w:hint="eastAsia"/>
          <w:lang w:eastAsia="zh-CN"/>
        </w:rPr>
        <w:t>：</w:t>
      </w:r>
    </w:p>
    <w:p w14:paraId="08A60C0B">
      <w:pPr>
        <w:spacing w:after="100" w:afterAutospacing="1"/>
        <w:ind w:firstLine="420"/>
        <w:rPr>
          <w:rFonts w:hint="eastAsia"/>
          <w:lang w:eastAsia="zh-CN"/>
        </w:rPr>
      </w:pPr>
      <w:r>
        <w:rPr>
          <w:rFonts w:hint="eastAsia"/>
          <w:lang w:eastAsia="zh-CN"/>
        </w:rPr>
        <w:t>$$PE_{final}(pos, 2i) = PE_{base}(pos, 2i) + \alpha \cdot PE_{cycle}(pos, 2i)$$</w:t>
      </w:r>
    </w:p>
    <w:p w14:paraId="10108175">
      <w:pPr>
        <w:spacing w:after="100" w:afterAutospacing="1"/>
        <w:ind w:firstLine="420"/>
        <w:rPr>
          <w:rFonts w:hint="default"/>
          <w:lang w:val="en-US" w:eastAsia="zh-CN"/>
        </w:rPr>
      </w:pPr>
      <w:r>
        <w:rPr>
          <w:rFonts w:hint="eastAsia"/>
          <w:lang w:val="en-US" w:eastAsia="zh-CN"/>
        </w:rPr>
        <w:t>其中，$PE_{base}(pos, 2i) = \sin(pos/10000^{2i/d})$，$PE_{cycle}$ 的频率被设计为严格与心跳周期对齐。$\alpha$ 是一个可学习的标量参数，初始值设为较小数值，允许网络在反向传播中根据数据自适应调整生理先验的权重。</w:t>
      </w:r>
    </w:p>
    <w:p w14:paraId="3FAEB399">
      <w:pPr>
        <w:spacing w:after="100" w:afterAutospacing="1"/>
        <w:ind w:firstLine="420"/>
        <w:rPr>
          <w:rFonts w:hint="eastAsia"/>
        </w:rPr>
      </w:pPr>
      <w:r>
        <w:rPr>
          <w:rFonts w:hint="eastAsia"/>
        </w:rPr>
        <w:t>多尺度时频融合注意力并行处理三个分支</w:t>
      </w:r>
      <w:r>
        <w:rPr>
          <w:rFonts w:hint="eastAsia"/>
          <w:lang w:eastAsia="zh-CN"/>
        </w:rPr>
        <w:t>，</w:t>
      </w:r>
      <w:r>
        <w:rPr>
          <w:rFonts w:hint="eastAsia"/>
        </w:rPr>
        <w:t>各分支输出维度均为 $d_{model}/4$，最后拼接并通过$1\times1$卷积降维融合</w:t>
      </w:r>
      <w:r>
        <w:rPr>
          <w:rFonts w:hint="eastAsia"/>
          <w:lang w:eastAsia="zh-CN"/>
        </w:rPr>
        <w:t>：多尺度卷积分支采用四组不同感受野的卷积核（$1\times1, 3\times3, 5\times5, 7\times7$）并行提取特征；</w:t>
      </w:r>
      <w:r>
        <w:rPr>
          <w:rFonts w:hint="eastAsia"/>
        </w:rPr>
        <w:t>时域注意力分支采用ProbSparse Attention机制，计算复杂度为$O(L \log L)$，用于建模序列中任意两点间的依赖；频域注意力分支首先对输入$X$进行快速傅里叶变换（FFT），提取幅度谱 $A = |FFT(X)|$，在频域应用全连接层增强特定频率成分后，经逆傅里叶变换（IFFT）还原回时域</w:t>
      </w:r>
      <w:r>
        <w:rPr>
          <w:rFonts w:hint="eastAsia"/>
          <w:lang w:eastAsia="zh-CN"/>
        </w:rPr>
        <w:t>。</w:t>
      </w:r>
      <w:r>
        <w:rPr>
          <w:rFonts w:hint="eastAsia"/>
        </w:rPr>
        <w:t>三个分支的输出最终通过可学习的自适应权重参数 $\lambda_t, \lambda_f, \lambda_{conv}$ 进行加权求和。</w:t>
      </w:r>
    </w:p>
    <w:p w14:paraId="293E5DED">
      <w:pPr>
        <w:spacing w:after="100" w:afterAutospacing="1"/>
        <w:ind w:firstLine="420"/>
        <w:rPr>
          <w:rFonts w:hint="eastAsia"/>
          <w:lang w:eastAsia="zh-CN"/>
        </w:rPr>
      </w:pPr>
      <w:r>
        <w:rPr>
          <w:rFonts w:hint="eastAsia"/>
        </w:rPr>
        <w:t>压力感知门控机制采用通道-空间双重门控</w:t>
      </w:r>
      <w:r>
        <w:rPr>
          <w:rFonts w:hint="eastAsia"/>
          <w:lang w:eastAsia="zh-CN"/>
        </w:rPr>
        <w:t>，数学表达如下：</w:t>
      </w:r>
    </w:p>
    <w:p w14:paraId="01EA3E24">
      <w:pPr>
        <w:spacing w:after="100" w:afterAutospacing="1"/>
        <w:ind w:firstLine="420"/>
        <w:rPr>
          <w:rFonts w:hint="eastAsia"/>
          <w:lang w:eastAsia="zh-CN"/>
        </w:rPr>
      </w:pPr>
      <w:r>
        <w:rPr>
          <w:rFonts w:hint="eastAsia"/>
          <w:lang w:eastAsia="zh-CN"/>
        </w:rPr>
        <w:t>$$X_{out} = X \cdot \sigma(MLP(AvgPool(X))) \cdot \sigma(Conv1D(X))$$</w:t>
      </w:r>
    </w:p>
    <w:p w14:paraId="66B3A8E5">
      <w:pPr>
        <w:spacing w:after="100" w:afterAutospacing="1"/>
        <w:ind w:firstLine="420"/>
        <w:rPr>
          <w:rFonts w:hint="eastAsia"/>
        </w:rPr>
      </w:pPr>
      <w:r>
        <w:rPr>
          <w:rFonts w:hint="eastAsia"/>
        </w:rPr>
        <w:t>通道门控对特征进行全局平均池化，通过两层MLP（降维比为$r$）学习每个特征通道的权重，经Sigmoid激活后得到通道权重，抑制对压力不敏感的通道；空间门控利用$7\times1$的一维卷积层学习时间维度上的权重掩码，经Sigmoid激活后得到时间点权重，可自动“屏蔽”低质量时间片段。</w:t>
      </w:r>
    </w:p>
    <w:p w14:paraId="518B7C3C">
      <w:pPr>
        <w:spacing w:after="100" w:afterAutospacing="1"/>
        <w:ind w:firstLine="420"/>
        <w:rPr>
          <w:rFonts w:hint="eastAsia" w:eastAsia="宋体"/>
          <w:lang w:eastAsia="zh-CN"/>
        </w:rPr>
      </w:pPr>
      <w:r>
        <w:rPr>
          <w:rFonts w:hint="eastAsia"/>
        </w:rPr>
        <w:t>Dual-Stream融合模块通过跨模态交互注意力和自适应权重融合实现PPG与PRV特征的深度协同。跨模态交互采用双向交叉注意力机制：一方面，以PPG特征为Query，Key和Value为PRV特征</w:t>
      </w:r>
      <w:r>
        <w:rPr>
          <w:rFonts w:hint="eastAsia"/>
          <w:lang w:eastAsia="zh-CN"/>
        </w:rPr>
        <w:t>，</w:t>
      </w:r>
      <w:r>
        <w:rPr>
          <w:rFonts w:hint="eastAsia"/>
          <w:lang w:val="en-US" w:eastAsia="zh-CN"/>
        </w:rPr>
        <w:t>计算PPG_enhanced</w:t>
      </w:r>
      <w:r>
        <w:rPr>
          <w:rFonts w:hint="eastAsia"/>
          <w:lang w:eastAsia="zh-CN"/>
        </w:rPr>
        <w:t>：</w:t>
      </w:r>
    </w:p>
    <w:p w14:paraId="1857B953">
      <w:pPr>
        <w:spacing w:after="100" w:afterAutospacing="1"/>
        <w:ind w:firstLine="420"/>
        <w:rPr>
          <w:rFonts w:hint="eastAsia"/>
        </w:rPr>
      </w:pPr>
      <w:r>
        <w:rPr>
          <w:rFonts w:hint="eastAsia"/>
        </w:rPr>
        <w:t>$$PPG_{enhanced} = \text{Attention}(Q=PPG, K=PRV, V=PRV)$$</w:t>
      </w:r>
    </w:p>
    <w:p w14:paraId="69EB1C1D">
      <w:pPr>
        <w:spacing w:after="100" w:afterAutospacing="1"/>
        <w:ind w:firstLine="420"/>
        <w:rPr>
          <w:rFonts w:hint="eastAsia"/>
          <w:lang w:eastAsia="zh-CN"/>
        </w:rPr>
      </w:pPr>
      <w:r>
        <w:rPr>
          <w:rFonts w:hint="eastAsia"/>
        </w:rPr>
        <w:t>另一方面，以PRV特征为Query，Key和Value为PPG特征，计算PRV_enhanced</w:t>
      </w:r>
      <w:r>
        <w:rPr>
          <w:rFonts w:hint="eastAsia"/>
          <w:lang w:eastAsia="zh-CN"/>
        </w:rPr>
        <w:t>：</w:t>
      </w:r>
    </w:p>
    <w:p w14:paraId="1E1E5068">
      <w:pPr>
        <w:spacing w:after="100" w:afterAutospacing="1"/>
        <w:ind w:firstLine="420"/>
        <w:rPr>
          <w:rFonts w:hint="eastAsia"/>
          <w:lang w:eastAsia="zh-CN"/>
        </w:rPr>
      </w:pPr>
      <w:r>
        <w:rPr>
          <w:rFonts w:hint="eastAsia"/>
          <w:lang w:eastAsia="zh-CN"/>
        </w:rPr>
        <w:t>$$PRV_{enhanced} = \text{Attention}(Q=PRV, K=PPG, V=PPG)$$</w:t>
      </w:r>
    </w:p>
    <w:p w14:paraId="492E617A">
      <w:pPr>
        <w:spacing w:after="100" w:afterAutospacing="1"/>
        <w:ind w:firstLine="420"/>
        <w:rPr>
          <w:rFonts w:hint="eastAsia"/>
        </w:rPr>
      </w:pPr>
      <w:r>
        <w:rPr>
          <w:rFonts w:hint="eastAsia"/>
        </w:rPr>
        <w:t>为防止过度融合，引入门控参数 $gate_{ppg}$ 和 $gate_{prv}$ 进行残差连接：</w:t>
      </w:r>
    </w:p>
    <w:p w14:paraId="3E0992E6">
      <w:pPr>
        <w:spacing w:after="100" w:afterAutospacing="1"/>
        <w:ind w:firstLine="420"/>
        <w:rPr>
          <w:rFonts w:hint="eastAsia"/>
        </w:rPr>
      </w:pPr>
      <w:r>
        <w:rPr>
          <w:rFonts w:hint="eastAsia"/>
        </w:rPr>
        <w:t>$$PPG_{out} = PPG + gate_{ppg} \times PPG_{enhanced}$$</w:t>
      </w:r>
    </w:p>
    <w:p w14:paraId="04C2F279">
      <w:pPr>
        <w:spacing w:after="100" w:afterAutospacing="1"/>
        <w:ind w:firstLine="420"/>
        <w:rPr>
          <w:rFonts w:hint="eastAsia"/>
        </w:rPr>
      </w:pPr>
      <w:r>
        <w:rPr>
          <w:rFonts w:hint="eastAsia"/>
        </w:rPr>
        <w:t>$$PRV_{out} = PRV + gate_{prv} \times PRV_{enhanced}$$</w:t>
      </w:r>
    </w:p>
    <w:p w14:paraId="6BDBFDF4">
      <w:pPr>
        <w:spacing w:after="100" w:afterAutospacing="1"/>
        <w:ind w:firstLine="420"/>
        <w:rPr>
          <w:rFonts w:hint="eastAsia"/>
        </w:rPr>
      </w:pPr>
      <w:r>
        <w:rPr>
          <w:rFonts w:hint="eastAsia"/>
          <w:lang w:val="en-US" w:eastAsia="zh-CN"/>
        </w:rPr>
        <w:t>最后</w:t>
      </w:r>
      <w:r>
        <w:rPr>
          <w:rFonts w:hint="eastAsia"/>
        </w:rPr>
        <w:t>在融合阶段，引入门控网络动态预测权重 $w_{ppg}$ 和 $w_{prv}$。首先对 $PPG_{out}$ 和 $PRV_{out}$ 分别进行全局平均池化到全局特征向量，拼接后输入两层MLP网络预测融合权重，最后通过Softmax层归一化，确保 $w_{ppg} + w_{prv} = 1$。最终融合特征计算如下：</w:t>
      </w:r>
    </w:p>
    <w:p w14:paraId="200566AC">
      <w:pPr>
        <w:spacing w:after="100" w:afterAutospacing="1"/>
        <w:ind w:firstLine="420"/>
        <w:rPr>
          <w:rFonts w:hint="eastAsia"/>
        </w:rPr>
      </w:pPr>
      <w:r>
        <w:rPr>
          <w:rFonts w:hint="eastAsia"/>
        </w:rPr>
        <w:t>$$Feature_{fused} = w_{ppg} \cdot PPG_{out} + w_{prv} \cdot PRV_{out}$$</w:t>
      </w:r>
    </w:p>
    <w:p w14:paraId="2598B7C5">
      <w:pPr>
        <w:spacing w:after="100" w:afterAutospacing="1"/>
        <w:ind w:firstLine="420"/>
        <w:rPr>
          <w:rFonts w:hint="eastAsia"/>
        </w:rPr>
      </w:pPr>
      <w:r>
        <w:rPr>
          <w:rFonts w:hint="eastAsia"/>
        </w:rPr>
        <w:t>这种机制允许模型在PPG信号质量较差时，自动将 $w_{ppg}$ 降至接近0，通过数据驱动的权重分配适应个体差异和信号质量变化，显著提升模型鲁棒性。</w:t>
      </w:r>
    </w:p>
    <w:p w14:paraId="51C6E3DB">
      <w:pPr>
        <w:spacing w:after="100" w:afterAutospacing="1"/>
        <w:ind w:firstLine="420"/>
        <w:rPr>
          <w:rFonts w:hint="eastAsia" w:eastAsia="宋体"/>
          <w:lang w:eastAsia="zh-CN"/>
        </w:rPr>
      </w:pPr>
      <w:r>
        <w:rPr>
          <w:rFonts w:hint="eastAsia"/>
        </w:rPr>
        <w:t>多任务联合学习框架通过共享-分支架构实现压力回归与情绪分类的协同优化。框架接收Dual-Stream融合模块的输出特征，首先经过一层共享MLP（256维，ReLU激活）提取通用特征表示，该共享层作为两个任务的知识桥梁。压力回归头采用两层MLP（256→128→1）预测连续压力值，输出层无激活函数；情绪分类头同样采用两层MLP（256→128→5）预测五类情绪概率分布，输出层使用Softmax激活。为了平衡任务权重，采用基于同方差不确定性的损失函数：引入两个可学习参数 $\sigma_{stress}$ 和 $\sigma_{emotion}$ 代表各任务的观测噪声方差。总损失函数 $L_{total}$ 定义为：</w:t>
      </w:r>
    </w:p>
    <w:p w14:paraId="0449EF2F">
      <w:pPr>
        <w:spacing w:after="100" w:afterAutospacing="1"/>
        <w:ind w:firstLine="420"/>
        <w:rPr>
          <w:rFonts w:hint="eastAsia"/>
        </w:rPr>
      </w:pPr>
      <w:r>
        <w:rPr>
          <w:rFonts w:hint="eastAsia"/>
        </w:rPr>
        <w:t>$$L_{total} = \frac{1}{2\sigma_{stress}^2} L_{MSE} + \log \sigma_{stress} + \frac{1}{2\sigma_{emotion}^2} L_{CrossEntropy} + \log \sigma_{emotion}$$</w:t>
      </w:r>
    </w:p>
    <w:p w14:paraId="441EDDA6">
      <w:pPr>
        <w:spacing w:after="100" w:afterAutospacing="1"/>
        <w:ind w:firstLine="420"/>
        <w:rPr>
          <w:rFonts w:hint="eastAsia"/>
        </w:rPr>
      </w:pPr>
      <w:r>
        <w:rPr>
          <w:rFonts w:hint="eastAsia"/>
        </w:rPr>
        <w:t>其中</w:t>
      </w:r>
      <w:r>
        <w:rPr>
          <w:rFonts w:hint="eastAsia"/>
          <w:lang w:eastAsia="zh-CN"/>
        </w:rPr>
        <w:t>，$L_{MSE}$ 为压力回归的均方误差损失，$L_{CrossEntropy}$ 为情绪分类的交叉熵损失。$\log \sigma$ 项作为正则化项，防止模型将方差 $\sigma$ 预测为无穷大。训练过程中使用AdamW优化器，初始学习率设为 $1e-4$，配合余弦退火学习率调度策略，以实现模型在多任务目标下的稳定收敛。</w:t>
      </w:r>
    </w:p>
    <w:p w14:paraId="7A65F029">
      <w:pPr>
        <w:spacing w:before="120" w:after="120"/>
        <w:jc w:val="left"/>
      </w:pPr>
      <w:r>
        <w:rPr>
          <w:b/>
          <w:sz w:val="24"/>
        </w:rPr>
        <w:t>3.2</w:t>
      </w:r>
      <w:r>
        <w:rPr>
          <w:rFonts w:ascii="宋体" w:hAnsi="宋体" w:cs="宋体"/>
          <w:b/>
          <w:sz w:val="24"/>
        </w:rPr>
        <w:t>可行性分析</w:t>
      </w:r>
    </w:p>
    <w:p w14:paraId="47DA2D4B">
      <w:pPr>
        <w:spacing w:after="100" w:afterAutospacing="1"/>
        <w:ind w:firstLine="420"/>
      </w:pPr>
      <w:r>
        <w:rPr>
          <w:rFonts w:hint="eastAsia"/>
        </w:rPr>
        <w:t>Transformer架构在时序建模领域已被广泛验证，其自注意力机制能够有效捕获长序列依赖关系，相关理论（如Vaswani等人[11]的奠基工作、Zhou等人[12]的Informer改进）为本研究提供了核心算法支撑。其次，生理信号处理领域已有大量研究表明PPG与PRV信号蕴含丰富的心理压力信息[4,7,8]，跨模态交互注意力机制已在多模态学习领域得到广泛应用[23,24]，为多模态融合提供了理论依据。多任务学习理论（Caruana[33]）和不确定性加权机制（Kendall等人[28]）已在多个领域验证其有效性，能够解决任务权重平衡问题。本研究将生理先验知识（60-100bpm心跳周期）融入深度学习框架，这种领域知识驱动的方法在生物医学信号处理中已被证明能显著提升模型性能[9,30]。</w:t>
      </w:r>
      <w:bookmarkStart w:id="0" w:name="_GoBack"/>
    </w:p>
    <w:bookmarkEnd w:id="0"/>
    <w:p w14:paraId="3703C8CB">
      <w:pPr>
        <w:jc w:val="left"/>
      </w:pPr>
    </w:p>
    <w:p w14:paraId="07064375">
      <w:pPr>
        <w:spacing w:after="100" w:afterAutospacing="1"/>
        <w:jc w:val="left"/>
      </w:pPr>
    </w:p>
    <w:p w14:paraId="07F8230C">
      <w:pPr>
        <w:rPr>
          <w:rFonts w:hint="eastAsia" w:ascii="华文仿宋" w:hAnsi="华文仿宋" w:eastAsia="华文仿宋"/>
          <w:b/>
          <w:sz w:val="24"/>
          <w:szCs w:val="24"/>
        </w:rPr>
      </w:pPr>
      <w:r>
        <w:rPr>
          <w:rFonts w:hint="eastAsia" w:ascii="华文仿宋" w:hAnsi="华文仿宋" w:eastAsia="华文仿宋"/>
          <w:b/>
          <w:sz w:val="24"/>
          <w:szCs w:val="24"/>
        </w:rPr>
        <w:t>4、本课题的特色及创新之处（限博士论文开题，硕士可根据课题取舍）</w:t>
      </w:r>
    </w:p>
    <w:p w14:paraId="1EAAC9AC">
      <w:pPr>
        <w:spacing w:after="100" w:afterAutospacing="1"/>
        <w:rPr>
          <w:rFonts w:hint="eastAsia" w:ascii="宋体" w:hAnsi="宋体"/>
          <w:b/>
          <w:color w:val="FF9900"/>
          <w:sz w:val="24"/>
          <w:szCs w:val="24"/>
        </w:rPr>
      </w:pPr>
      <w:r>
        <w:rPr>
          <w:rFonts w:ascii="宋体" w:hAnsi="宋体" w:cs="宋体"/>
        </w:rPr>
        <w:t>无</w:t>
      </w:r>
    </w:p>
    <w:p w14:paraId="1C0B6C91">
      <w:pPr>
        <w:spacing w:after="100" w:afterAutospacing="1"/>
        <w:rPr>
          <w:rFonts w:hint="eastAsia" w:ascii="宋体" w:hAnsi="宋体"/>
        </w:rPr>
      </w:pPr>
    </w:p>
    <w:p w14:paraId="58F20ED9">
      <w:pPr>
        <w:rPr>
          <w:rFonts w:hint="eastAsia" w:ascii="华文仿宋" w:hAnsi="华文仿宋" w:eastAsia="华文仿宋"/>
          <w:b/>
          <w:sz w:val="24"/>
          <w:szCs w:val="24"/>
        </w:rPr>
      </w:pPr>
      <w:r>
        <w:rPr>
          <w:rFonts w:hint="eastAsia" w:ascii="华文仿宋" w:hAnsi="华文仿宋" w:eastAsia="华文仿宋"/>
          <w:b/>
          <w:sz w:val="24"/>
          <w:szCs w:val="24"/>
        </w:rPr>
        <w:t>5、论文研究进度计划（研究进度计划安排、研究经费预算及解决办法）、预期研究结果</w:t>
      </w:r>
    </w:p>
    <w:p w14:paraId="229F05FC">
      <w:pPr>
        <w:spacing w:after="100" w:afterAutospacing="1"/>
        <w:rPr>
          <w:rFonts w:hint="eastAsia" w:ascii="宋体" w:hAnsi="宋体"/>
          <w:b/>
          <w:sz w:val="24"/>
          <w:szCs w:val="24"/>
        </w:rPr>
      </w:pPr>
      <w:r>
        <w:t>202</w:t>
      </w:r>
      <w:r>
        <w:rPr>
          <w:rFonts w:hint="eastAsia"/>
          <w:lang w:val="en-US" w:eastAsia="zh-CN"/>
        </w:rPr>
        <w:t>5</w:t>
      </w:r>
      <w:r>
        <w:t>.09-202</w:t>
      </w:r>
      <w:r>
        <w:rPr>
          <w:rFonts w:hint="eastAsia"/>
          <w:lang w:val="en-US" w:eastAsia="zh-CN"/>
        </w:rPr>
        <w:t>5</w:t>
      </w:r>
      <w:r>
        <w:t>.1</w:t>
      </w:r>
      <w:r>
        <w:rPr>
          <w:rFonts w:hint="eastAsia"/>
          <w:lang w:val="en-US" w:eastAsia="zh-CN"/>
        </w:rPr>
        <w:t>2</w:t>
      </w:r>
      <w:r>
        <w:t xml:space="preserve"> </w:t>
      </w:r>
      <w:r>
        <w:rPr>
          <w:rFonts w:ascii="宋体" w:hAnsi="宋体" w:cs="宋体"/>
        </w:rPr>
        <w:t>阅读相关文献，了解国内外的研究方法及其进展；</w:t>
      </w:r>
    </w:p>
    <w:p w14:paraId="34232B15">
      <w:pPr>
        <w:spacing w:after="100" w:afterAutospacing="1"/>
      </w:pPr>
      <w:r>
        <w:t>202</w:t>
      </w:r>
      <w:r>
        <w:rPr>
          <w:rFonts w:hint="eastAsia"/>
          <w:lang w:val="en-US" w:eastAsia="zh-CN"/>
        </w:rPr>
        <w:t>4</w:t>
      </w:r>
      <w:r>
        <w:t>.1</w:t>
      </w:r>
      <w:r>
        <w:rPr>
          <w:rFonts w:hint="eastAsia"/>
          <w:lang w:val="en-US" w:eastAsia="zh-CN"/>
        </w:rPr>
        <w:t>2</w:t>
      </w:r>
      <w:r>
        <w:t>-202</w:t>
      </w:r>
      <w:r>
        <w:rPr>
          <w:rFonts w:hint="eastAsia"/>
          <w:lang w:val="en-US" w:eastAsia="zh-CN"/>
        </w:rPr>
        <w:t>6</w:t>
      </w:r>
      <w:r>
        <w:t>.0</w:t>
      </w:r>
      <w:r>
        <w:rPr>
          <w:rFonts w:hint="eastAsia"/>
          <w:lang w:val="en-US" w:eastAsia="zh-CN"/>
        </w:rPr>
        <w:t>1</w:t>
      </w:r>
      <w:r>
        <w:t xml:space="preserve"> </w:t>
      </w:r>
      <w:r>
        <w:rPr>
          <w:rFonts w:ascii="宋体" w:hAnsi="宋体" w:cs="宋体"/>
        </w:rPr>
        <w:t>完成</w:t>
      </w:r>
      <w:r>
        <w:rPr>
          <w:rFonts w:hint="eastAsia" w:ascii="宋体" w:hAnsi="宋体" w:cs="宋体"/>
        </w:rPr>
        <w:t>PPG-Former多尺度时频融合Transformer</w:t>
      </w:r>
      <w:r>
        <w:rPr>
          <w:rFonts w:hint="eastAsia" w:ascii="宋体" w:hAnsi="宋体" w:cs="宋体"/>
          <w:lang w:val="en-US" w:eastAsia="zh-CN"/>
        </w:rPr>
        <w:t>网络</w:t>
      </w:r>
      <w:r>
        <w:rPr>
          <w:rFonts w:ascii="宋体" w:hAnsi="宋体" w:cs="宋体"/>
        </w:rPr>
        <w:t>代码实现；</w:t>
      </w:r>
    </w:p>
    <w:p w14:paraId="7598F333">
      <w:pPr>
        <w:spacing w:after="100" w:afterAutospacing="1"/>
        <w:rPr>
          <w:rFonts w:hint="eastAsia" w:eastAsia="宋体"/>
          <w:lang w:eastAsia="zh-CN"/>
        </w:rPr>
      </w:pPr>
      <w:r>
        <w:rPr>
          <w:rFonts w:hint="eastAsia"/>
        </w:rPr>
        <w:t>2026</w:t>
      </w:r>
      <w:r>
        <w:t>.0</w:t>
      </w:r>
      <w:r>
        <w:rPr>
          <w:rFonts w:hint="eastAsia"/>
          <w:lang w:val="en-US" w:eastAsia="zh-CN"/>
        </w:rPr>
        <w:t>2</w:t>
      </w:r>
      <w:r>
        <w:t>-</w:t>
      </w:r>
      <w:r>
        <w:rPr>
          <w:rFonts w:hint="eastAsia"/>
        </w:rPr>
        <w:t>2026</w:t>
      </w:r>
      <w:r>
        <w:t>.0</w:t>
      </w:r>
      <w:r>
        <w:rPr>
          <w:rFonts w:hint="eastAsia"/>
          <w:lang w:val="en-US" w:eastAsia="zh-CN"/>
        </w:rPr>
        <w:t>3</w:t>
      </w:r>
      <w:r>
        <w:t xml:space="preserve"> </w:t>
      </w:r>
      <w:r>
        <w:rPr>
          <w:rFonts w:hint="eastAsia"/>
          <w:lang w:val="en-US" w:eastAsia="zh-CN"/>
        </w:rPr>
        <w:t>完成Dual-Stream双流协同网络代码实现</w:t>
      </w:r>
      <w:r>
        <w:rPr>
          <w:rFonts w:hint="eastAsia" w:ascii="宋体" w:hAnsi="宋体" w:cs="宋体"/>
          <w:lang w:eastAsia="zh-CN"/>
        </w:rPr>
        <w:t>；</w:t>
      </w:r>
    </w:p>
    <w:p w14:paraId="1F544487">
      <w:pPr>
        <w:spacing w:after="100" w:afterAutospacing="1"/>
        <w:rPr>
          <w:rFonts w:hint="eastAsia" w:eastAsia="宋体"/>
          <w:lang w:eastAsia="zh-CN"/>
        </w:rPr>
      </w:pPr>
      <w:r>
        <w:rPr>
          <w:rFonts w:hint="eastAsia"/>
        </w:rPr>
        <w:t>2026.0</w:t>
      </w:r>
      <w:r>
        <w:rPr>
          <w:rFonts w:hint="eastAsia"/>
          <w:lang w:val="en-US" w:eastAsia="zh-CN"/>
        </w:rPr>
        <w:t>4</w:t>
      </w:r>
      <w:r>
        <w:rPr>
          <w:rFonts w:hint="eastAsia"/>
        </w:rPr>
        <w:t>-2026.0</w:t>
      </w:r>
      <w:r>
        <w:rPr>
          <w:rFonts w:hint="eastAsia"/>
          <w:lang w:val="en-US" w:eastAsia="zh-CN"/>
        </w:rPr>
        <w:t>5</w:t>
      </w:r>
      <w:r>
        <w:rPr>
          <w:rFonts w:hint="eastAsia"/>
        </w:rPr>
        <w:t xml:space="preserve"> 完成多任务联合学习框架代码实现</w:t>
      </w:r>
      <w:r>
        <w:rPr>
          <w:rFonts w:hint="eastAsia"/>
          <w:lang w:eastAsia="zh-CN"/>
        </w:rPr>
        <w:t>；</w:t>
      </w:r>
    </w:p>
    <w:p w14:paraId="58BDA609">
      <w:pPr>
        <w:spacing w:after="100" w:afterAutospacing="1"/>
      </w:pPr>
      <w:r>
        <w:rPr>
          <w:rFonts w:hint="eastAsia"/>
        </w:rPr>
        <w:t>2026</w:t>
      </w:r>
      <w:r>
        <w:t>.0</w:t>
      </w:r>
      <w:r>
        <w:rPr>
          <w:rFonts w:hint="eastAsia"/>
          <w:lang w:val="en-US" w:eastAsia="zh-CN"/>
        </w:rPr>
        <w:t>6</w:t>
      </w:r>
      <w:r>
        <w:t>-</w:t>
      </w:r>
      <w:r>
        <w:rPr>
          <w:rFonts w:hint="eastAsia"/>
        </w:rPr>
        <w:t>2026</w:t>
      </w:r>
      <w:r>
        <w:t xml:space="preserve">.07 </w:t>
      </w:r>
      <w:r>
        <w:rPr>
          <w:rFonts w:hint="eastAsia"/>
        </w:rPr>
        <w:t>实验验证</w:t>
      </w:r>
      <w:r>
        <w:rPr>
          <w:rFonts w:hint="eastAsia"/>
          <w:lang w:val="en-US" w:eastAsia="zh-CN"/>
        </w:rPr>
        <w:t>各模块功能与模型整体功能</w:t>
      </w:r>
      <w:r>
        <w:rPr>
          <w:rFonts w:ascii="宋体" w:hAnsi="宋体" w:cs="宋体"/>
        </w:rPr>
        <w:t>；</w:t>
      </w:r>
    </w:p>
    <w:p w14:paraId="0E29A828">
      <w:pPr>
        <w:spacing w:after="100" w:afterAutospacing="1"/>
      </w:pPr>
      <w:r>
        <w:rPr>
          <w:rFonts w:hint="eastAsia"/>
        </w:rPr>
        <w:t>2026</w:t>
      </w:r>
      <w:r>
        <w:t>.08-</w:t>
      </w:r>
      <w:r>
        <w:rPr>
          <w:rFonts w:hint="eastAsia"/>
        </w:rPr>
        <w:t>2026</w:t>
      </w:r>
      <w:r>
        <w:t xml:space="preserve">.10 </w:t>
      </w:r>
      <w:r>
        <w:rPr>
          <w:rFonts w:hint="eastAsia" w:ascii="宋体" w:hAnsi="宋体" w:cs="宋体"/>
        </w:rPr>
        <w:t>完成</w:t>
      </w:r>
      <w:r>
        <w:rPr>
          <w:rFonts w:hint="eastAsia" w:ascii="宋体" w:hAnsi="宋体" w:cs="宋体"/>
          <w:lang w:val="en-US" w:eastAsia="zh-CN"/>
        </w:rPr>
        <w:t>各模块的</w:t>
      </w:r>
      <w:r>
        <w:rPr>
          <w:rFonts w:hint="eastAsia" w:ascii="宋体" w:hAnsi="宋体" w:cs="宋体"/>
        </w:rPr>
        <w:t>消融实验；</w:t>
      </w:r>
    </w:p>
    <w:p w14:paraId="65243256">
      <w:pPr>
        <w:spacing w:after="100" w:afterAutospacing="1"/>
        <w:rPr>
          <w:rFonts w:hint="eastAsia" w:eastAsia="宋体"/>
          <w:lang w:eastAsia="zh-CN"/>
        </w:rPr>
      </w:pPr>
      <w:r>
        <w:rPr>
          <w:rFonts w:hint="eastAsia"/>
        </w:rPr>
        <w:t>2026</w:t>
      </w:r>
      <w:r>
        <w:t>.11-</w:t>
      </w:r>
      <w:r>
        <w:rPr>
          <w:rFonts w:hint="eastAsia"/>
        </w:rPr>
        <w:t>2026</w:t>
      </w:r>
      <w:r>
        <w:t xml:space="preserve">.01 </w:t>
      </w:r>
      <w:r>
        <w:rPr>
          <w:rFonts w:hint="eastAsia" w:ascii="宋体" w:hAnsi="宋体" w:cs="宋体"/>
        </w:rPr>
        <w:t>与其他模型比较，并完善自身工作</w:t>
      </w:r>
      <w:r>
        <w:rPr>
          <w:rFonts w:hint="eastAsia" w:ascii="宋体" w:hAnsi="宋体" w:cs="宋体"/>
          <w:lang w:eastAsia="zh-CN"/>
        </w:rPr>
        <w:t>；</w:t>
      </w:r>
    </w:p>
    <w:p w14:paraId="60C0522A">
      <w:pPr>
        <w:spacing w:after="100" w:afterAutospacing="1"/>
      </w:pPr>
      <w:r>
        <w:t>202</w:t>
      </w:r>
      <w:r>
        <w:rPr>
          <w:rFonts w:hint="eastAsia"/>
          <w:lang w:val="en-US" w:eastAsia="zh-CN"/>
        </w:rPr>
        <w:t>6</w:t>
      </w:r>
      <w:r>
        <w:t>.02-202</w:t>
      </w:r>
      <w:r>
        <w:rPr>
          <w:rFonts w:hint="eastAsia"/>
          <w:lang w:val="en-US" w:eastAsia="zh-CN"/>
        </w:rPr>
        <w:t>6</w:t>
      </w:r>
      <w:r>
        <w:t xml:space="preserve">.05 </w:t>
      </w:r>
      <w:r>
        <w:rPr>
          <w:rFonts w:ascii="宋体" w:hAnsi="宋体" w:cs="宋体"/>
        </w:rPr>
        <w:t>做好课题的后续工作，完善各个部分的功能，按规定认真撰写毕业论文。</w:t>
      </w:r>
    </w:p>
    <w:p w14:paraId="19D9C16F">
      <w:pPr>
        <w:spacing w:after="100" w:afterAutospacing="1"/>
        <w:rPr>
          <w:rFonts w:hint="eastAsia" w:ascii="宋体" w:hAnsi="宋体"/>
        </w:rPr>
      </w:pPr>
    </w:p>
    <w:p w14:paraId="70EC4DF5">
      <w:pPr>
        <w:rPr>
          <w:rFonts w:hint="eastAsia" w:ascii="华文仿宋" w:hAnsi="华文仿宋" w:eastAsia="华文仿宋"/>
          <w:b/>
          <w:sz w:val="24"/>
          <w:szCs w:val="24"/>
        </w:rPr>
      </w:pPr>
      <w:r>
        <w:rPr>
          <w:rFonts w:hint="eastAsia" w:ascii="华文仿宋" w:hAnsi="华文仿宋" w:eastAsia="华文仿宋"/>
          <w:b/>
          <w:sz w:val="24"/>
          <w:szCs w:val="24"/>
        </w:rPr>
        <w:t>（二）论文研究工作基础及条件保障</w:t>
      </w:r>
    </w:p>
    <w:p w14:paraId="30D9922B">
      <w:pPr>
        <w:rPr>
          <w:rFonts w:hint="eastAsia" w:ascii="华文仿宋" w:hAnsi="华文仿宋" w:eastAsia="华文仿宋"/>
          <w:b/>
          <w:sz w:val="24"/>
          <w:szCs w:val="24"/>
        </w:rPr>
      </w:pPr>
      <w:r>
        <w:rPr>
          <w:rFonts w:hint="eastAsia" w:ascii="华文仿宋" w:hAnsi="华文仿宋" w:eastAsia="华文仿宋"/>
          <w:b/>
          <w:sz w:val="24"/>
          <w:szCs w:val="24"/>
        </w:rPr>
        <w:t>1、工作基础（含入学以来取得研究成果、参与或承担的科研项目情况等）</w:t>
      </w:r>
    </w:p>
    <w:p w14:paraId="7369DE6B">
      <w:pPr>
        <w:spacing w:after="100" w:afterAutospacing="1"/>
        <w:rPr>
          <w:rFonts w:hint="eastAsia" w:ascii="宋体" w:hAnsi="宋体"/>
          <w:b/>
          <w:sz w:val="24"/>
          <w:szCs w:val="24"/>
        </w:rPr>
      </w:pPr>
      <w:r>
        <w:t>无</w:t>
      </w:r>
    </w:p>
    <w:p w14:paraId="2F5EDD5B">
      <w:pPr>
        <w:spacing w:after="100" w:afterAutospacing="1"/>
        <w:rPr>
          <w:rFonts w:hint="eastAsia" w:ascii="宋体" w:hAnsi="宋体"/>
        </w:rPr>
      </w:pPr>
    </w:p>
    <w:p w14:paraId="28FE4B4D">
      <w:pPr>
        <w:rPr>
          <w:rFonts w:hint="eastAsia" w:ascii="华文仿宋" w:hAnsi="华文仿宋" w:eastAsia="华文仿宋"/>
          <w:b/>
          <w:sz w:val="24"/>
          <w:szCs w:val="24"/>
        </w:rPr>
      </w:pPr>
      <w:r>
        <w:rPr>
          <w:rFonts w:hint="eastAsia" w:ascii="华文仿宋" w:hAnsi="华文仿宋" w:eastAsia="华文仿宋"/>
          <w:b/>
          <w:sz w:val="24"/>
          <w:szCs w:val="24"/>
        </w:rPr>
        <w:t>2、工作条件（设备条件、实验场地条件、可能遇到的困难及应对措施）</w:t>
      </w:r>
    </w:p>
    <w:p w14:paraId="6434FF76">
      <w:pPr>
        <w:spacing w:after="100" w:afterAutospacing="1"/>
        <w:rPr>
          <w:rFonts w:hint="eastAsia" w:ascii="宋体" w:hAnsi="宋体"/>
          <w:b/>
          <w:sz w:val="24"/>
          <w:szCs w:val="24"/>
        </w:rPr>
      </w:pPr>
      <w:r>
        <w:rPr>
          <w:rFonts w:ascii="宋体" w:hAnsi="宋体" w:cs="宋体"/>
          <w:b/>
        </w:rPr>
        <w:t>设备条件：</w:t>
      </w:r>
      <w:r>
        <w:rPr>
          <w:rFonts w:ascii="宋体" w:hAnsi="宋体" w:cs="宋体"/>
        </w:rPr>
        <w:t>运用实验室现有设备，包括实验室</w:t>
      </w:r>
      <w:r>
        <w:rPr>
          <w:rFonts w:hint="eastAsia" w:ascii="Times New Roman" w:hAnsi="Times New Roman" w:eastAsia="宋体" w:cs="Times New Roman"/>
        </w:rPr>
        <w:t>NVIDIA GPU</w:t>
      </w:r>
      <w:r>
        <w:rPr>
          <w:rFonts w:hint="eastAsia" w:ascii="宋体" w:hAnsi="宋体" w:cs="宋体"/>
        </w:rPr>
        <w:t>高性能计算服务器</w:t>
      </w:r>
      <w:r>
        <w:rPr>
          <w:rFonts w:hint="eastAsia" w:ascii="宋体" w:hAnsi="宋体" w:cs="宋体"/>
          <w:lang w:val="en-US" w:eastAsia="zh-CN"/>
        </w:rPr>
        <w:t>等</w:t>
      </w:r>
      <w:r>
        <w:rPr>
          <w:rFonts w:ascii="宋体" w:hAnsi="宋体" w:cs="宋体"/>
        </w:rPr>
        <w:t>。</w:t>
      </w:r>
    </w:p>
    <w:p w14:paraId="01174614">
      <w:pPr>
        <w:spacing w:after="100" w:afterAutospacing="1"/>
      </w:pPr>
      <w:r>
        <w:rPr>
          <w:rFonts w:ascii="宋体" w:hAnsi="宋体" w:cs="宋体"/>
          <w:b/>
        </w:rPr>
        <w:t>实验场地条件：</w:t>
      </w:r>
      <w:r>
        <w:rPr>
          <w:rFonts w:ascii="华文宋体" w:hAnsi="华文宋体" w:eastAsia="华文宋体" w:cs="华文宋体"/>
        </w:rPr>
        <w:t>北京工业大学</w:t>
      </w:r>
    </w:p>
    <w:p w14:paraId="6E1E6AD6">
      <w:pPr>
        <w:spacing w:after="100" w:afterAutospacing="1"/>
        <w:rPr>
          <w:rFonts w:hint="eastAsia" w:ascii="宋体" w:hAnsi="宋体"/>
        </w:rPr>
      </w:pPr>
    </w:p>
    <w:p w14:paraId="6F1C878E">
      <w:pPr>
        <w:rPr>
          <w:rFonts w:hint="eastAsia" w:ascii="华文仿宋" w:hAnsi="华文仿宋" w:eastAsia="华文仿宋"/>
          <w:b/>
          <w:sz w:val="24"/>
          <w:szCs w:val="24"/>
        </w:rPr>
      </w:pPr>
      <w:r>
        <w:rPr>
          <w:rFonts w:hint="eastAsia" w:ascii="华文仿宋" w:hAnsi="华文仿宋" w:eastAsia="华文仿宋"/>
          <w:b/>
          <w:sz w:val="24"/>
          <w:szCs w:val="24"/>
        </w:rPr>
        <w:t>（三）参考文献（参考文献目录用标准规范格式，在正文引用处须标注）</w:t>
      </w:r>
    </w:p>
    <w:p w14:paraId="00AC315A">
      <w:pPr>
        <w:spacing w:after="100" w:afterAutospacing="1"/>
        <w:rPr>
          <w:rFonts w:hint="eastAsia"/>
        </w:rPr>
      </w:pPr>
      <w:r>
        <w:rPr>
          <w:rFonts w:hint="eastAsia"/>
        </w:rPr>
        <w:t xml:space="preserve">[1] Cohen S, Janicki-Deverts D, Miller G E. Psychological stress and disease. JAMA, 2007, 298(14): 1685-1687. </w:t>
      </w:r>
    </w:p>
    <w:p w14:paraId="4E04300E">
      <w:pPr>
        <w:spacing w:after="100" w:afterAutospacing="1"/>
        <w:rPr>
          <w:rFonts w:hint="eastAsia"/>
        </w:rPr>
      </w:pPr>
      <w:r>
        <w:rPr>
          <w:rFonts w:hint="eastAsia"/>
        </w:rPr>
        <w:t>[2] Taskasaplidis G. Review of Stress Detection Methods Using Wearable Sensors. Frontiers in Digital Health, 2024, 6: 1324567.</w:t>
      </w:r>
    </w:p>
    <w:p w14:paraId="3F249354">
      <w:pPr>
        <w:spacing w:after="100" w:afterAutospacing="1"/>
        <w:rPr>
          <w:rFonts w:hint="eastAsia"/>
        </w:rPr>
      </w:pPr>
      <w:r>
        <w:rPr>
          <w:rFonts w:hint="eastAsia"/>
        </w:rPr>
        <w:t xml:space="preserve">[3] Schneiderman N, Ironson G, Siegel S D. Stress and health: psychological, behavioral, and biological determinants. Annual Review of Clinical Psychology, 2005, 1: 607-628. </w:t>
      </w:r>
    </w:p>
    <w:p w14:paraId="3D9A4A69">
      <w:pPr>
        <w:spacing w:after="100" w:afterAutospacing="1"/>
        <w:rPr>
          <w:rFonts w:hint="eastAsia"/>
        </w:rPr>
      </w:pPr>
      <w:r>
        <w:rPr>
          <w:rFonts w:hint="eastAsia"/>
        </w:rPr>
        <w:t xml:space="preserve">[4] Sheng Wu Yi Xue Gong Cheng Xue Za Zhi. 2025 Feb 25;42(1):197–204. [Article in Chinese] doi: 10.7507/1001-5515.202405057 </w:t>
      </w:r>
    </w:p>
    <w:p w14:paraId="1FBBF664">
      <w:pPr>
        <w:spacing w:after="100" w:afterAutospacing="1"/>
        <w:rPr>
          <w:rFonts w:hint="eastAsia"/>
        </w:rPr>
      </w:pPr>
      <w:r>
        <w:rPr>
          <w:rFonts w:hint="eastAsia"/>
        </w:rPr>
        <w:t xml:space="preserve">[5] Peake J M, Kerr G, Sullivan J P. A critical review of consumer wearables, mobile applications, and equipment for providing biofeedback, monitoring stress, and sleep in physically active populations. Frontiers in Physiology, 2018, 9: 743. </w:t>
      </w:r>
    </w:p>
    <w:p w14:paraId="2FD82619">
      <w:pPr>
        <w:spacing w:after="100" w:afterAutospacing="1"/>
        <w:rPr>
          <w:rFonts w:hint="eastAsia"/>
        </w:rPr>
      </w:pPr>
      <w:r>
        <w:rPr>
          <w:rFonts w:hint="eastAsia"/>
        </w:rPr>
        <w:t xml:space="preserve">[6] Giannakakis G, Grigoriadis D, Giannakaki K, et al. Review on psychological stress detection using biosignals. IEEE Transactions on Affective Computing, 2019, 13(1): 440-460. </w:t>
      </w:r>
    </w:p>
    <w:p w14:paraId="3244FE8A">
      <w:pPr>
        <w:spacing w:after="100" w:afterAutospacing="1"/>
        <w:rPr>
          <w:rFonts w:hint="eastAsia"/>
        </w:rPr>
      </w:pPr>
      <w:r>
        <w:rPr>
          <w:rFonts w:hint="eastAsia"/>
        </w:rPr>
        <w:t xml:space="preserve">[7] Shaffer F, Ginsberg J P. An overview of heart rate variability metrics and norms. Frontiers in Public Health, 2017, 5: 258. </w:t>
      </w:r>
    </w:p>
    <w:p w14:paraId="7BEC312D">
      <w:pPr>
        <w:spacing w:after="100" w:afterAutospacing="1"/>
        <w:rPr>
          <w:rFonts w:hint="eastAsia"/>
        </w:rPr>
      </w:pPr>
      <w:r>
        <w:rPr>
          <w:rFonts w:hint="eastAsia"/>
        </w:rPr>
        <w:t xml:space="preserve">[8] Schäfer A, Vagedes J. How accurate is pulse rate variability as an estimate of heart rate variability? International Journal of Cardiology, 2013, 166(1): 15-29. </w:t>
      </w:r>
    </w:p>
    <w:p w14:paraId="45CD1CD3">
      <w:pPr>
        <w:spacing w:after="100" w:afterAutospacing="1"/>
        <w:rPr>
          <w:rFonts w:hint="eastAsia"/>
        </w:rPr>
      </w:pPr>
      <w:r>
        <w:rPr>
          <w:rFonts w:hint="eastAsia"/>
        </w:rPr>
        <w:t xml:space="preserve">[9] Faust O, Hagiwara Y, Hong T J, et al. Deep learning for healthcare applications based on physiological signals: A review. Computer Methods and Programs in Biomedicine, 2018, 161: 1-13. </w:t>
      </w:r>
    </w:p>
    <w:p w14:paraId="25AB7D32">
      <w:pPr>
        <w:spacing w:after="100" w:afterAutospacing="1"/>
        <w:rPr>
          <w:rFonts w:hint="eastAsia"/>
        </w:rPr>
      </w:pPr>
      <w:r>
        <w:rPr>
          <w:rFonts w:hint="eastAsia"/>
        </w:rPr>
        <w:t xml:space="preserve">[10] Hosseini S A, Keshavarz M, Yazdi M, et al. A multimodal stress-emotion dataset: wearable sensors and facial expressions for stress and emotion recognition. IEEE Transactions on Affective Computing, 2025, 16(2): 145-158. </w:t>
      </w:r>
    </w:p>
    <w:p w14:paraId="62706CD6">
      <w:pPr>
        <w:spacing w:after="100" w:afterAutospacing="1"/>
        <w:rPr>
          <w:rFonts w:hint="eastAsia"/>
        </w:rPr>
      </w:pPr>
      <w:r>
        <w:rPr>
          <w:rFonts w:hint="eastAsia"/>
        </w:rPr>
        <w:t xml:space="preserve">[11] Vaswani A, Shazeer N, Parmar N, et al. Attention is all you need. NeurIPS, 2017: 5998-6008. </w:t>
      </w:r>
    </w:p>
    <w:p w14:paraId="42026E94">
      <w:pPr>
        <w:spacing w:after="100" w:afterAutospacing="1"/>
        <w:rPr>
          <w:rFonts w:hint="eastAsia"/>
        </w:rPr>
      </w:pPr>
      <w:r>
        <w:rPr>
          <w:rFonts w:hint="eastAsia"/>
        </w:rPr>
        <w:t xml:space="preserve">[12] Zhou H, Zhang S, Peng J, et al. Informer: Beyond efficient transformer for long sequence time-series forecasting. AAAI, 2021, 35(12): 11106-11115. </w:t>
      </w:r>
    </w:p>
    <w:p w14:paraId="133322B2">
      <w:pPr>
        <w:spacing w:after="100" w:afterAutospacing="1"/>
        <w:rPr>
          <w:rFonts w:hint="eastAsia"/>
        </w:rPr>
      </w:pPr>
      <w:r>
        <w:rPr>
          <w:rFonts w:hint="eastAsia"/>
        </w:rPr>
        <w:t xml:space="preserve">[13] Rostami A, Pourabdollah A, Lotfi A, et al. Deep learning for stress detection using PPG sensors: A real-time approach. IEEE Transactions on Neural Systems and Rehabilitation Engineering, 2024, 32: 1256-1265. </w:t>
      </w:r>
    </w:p>
    <w:p w14:paraId="33F83296">
      <w:pPr>
        <w:spacing w:after="100" w:afterAutospacing="1"/>
        <w:rPr>
          <w:rFonts w:hint="eastAsia"/>
        </w:rPr>
      </w:pPr>
      <w:r>
        <w:rPr>
          <w:rFonts w:hint="eastAsia"/>
        </w:rPr>
        <w:t xml:space="preserve">[14] Kasnesis P, Kartsakalis E, Lazaros K, et al. TranSenseFusers: A temporal CNN-Transformer neural network for multimodal stress detection from wearable sensors. IEEE Transactions on Biomedical Engineering, 2024, 71(8): 2345-2356. </w:t>
      </w:r>
    </w:p>
    <w:p w14:paraId="5D6F45A7">
      <w:pPr>
        <w:spacing w:after="100" w:afterAutospacing="1"/>
        <w:rPr>
          <w:rFonts w:hint="eastAsia"/>
        </w:rPr>
      </w:pPr>
      <w:r>
        <w:rPr>
          <w:rFonts w:hint="eastAsia"/>
        </w:rPr>
        <w:t xml:space="preserve">[15] Zhang Y, Li Q, Wang H, et al. PPG-based stress monitoring in wearable devices: Recent advances and future perspectives. IEEE Sensors Journal, 2024, 24(15): 26789-26801. </w:t>
      </w:r>
    </w:p>
    <w:p w14:paraId="31DA188D">
      <w:pPr>
        <w:spacing w:after="100" w:afterAutospacing="1"/>
        <w:rPr>
          <w:rFonts w:hint="eastAsia"/>
        </w:rPr>
      </w:pPr>
      <w:r>
        <w:rPr>
          <w:rFonts w:hint="eastAsia"/>
        </w:rPr>
        <w:t xml:space="preserve">[16] Bobade P, Vani M. Stress detection with machine learning and deep learning using multimodal physiological data. ICICC, 2020: 51-57. </w:t>
      </w:r>
    </w:p>
    <w:p w14:paraId="501739F3">
      <w:pPr>
        <w:spacing w:after="100" w:afterAutospacing="1"/>
        <w:rPr>
          <w:rFonts w:hint="eastAsia"/>
        </w:rPr>
      </w:pPr>
      <w:r>
        <w:rPr>
          <w:rFonts w:hint="eastAsia"/>
        </w:rPr>
        <w:t xml:space="preserve">[17] Schmidt P, Reiss A, Dürlacher T, et al. Introducing WESAD, a multimodal dataset for wearable stress and affect detection. ICMI, 2018: 400-408. </w:t>
      </w:r>
    </w:p>
    <w:p w14:paraId="72B6895E">
      <w:pPr>
        <w:spacing w:after="100" w:afterAutospacing="1"/>
        <w:rPr>
          <w:rFonts w:hint="eastAsia"/>
        </w:rPr>
      </w:pPr>
      <w:r>
        <w:rPr>
          <w:rFonts w:hint="eastAsia"/>
        </w:rPr>
        <w:t xml:space="preserve">[18] Cho K, Van Merriënboer B, Gulcehre C, et al. Learning phrase representations using RNN encoder-decoder for statistical machine translation. EMNLP, 2014: 1724-1734. </w:t>
      </w:r>
    </w:p>
    <w:p w14:paraId="51BF99E6">
      <w:pPr>
        <w:spacing w:after="100" w:afterAutospacing="1"/>
        <w:rPr>
          <w:rFonts w:hint="eastAsia"/>
        </w:rPr>
      </w:pPr>
      <w:r>
        <w:rPr>
          <w:rFonts w:hint="eastAsia"/>
        </w:rPr>
        <w:t xml:space="preserve">[19] Kyrou I, Tzanoudaki E, Maglogiannis I. Deep learning methods for stress detection: A comprehensive review. Artificial Intelligence in Medicine, 2025, 106: 102876. </w:t>
      </w:r>
    </w:p>
    <w:p w14:paraId="6CCA3F90">
      <w:pPr>
        <w:spacing w:after="100" w:afterAutospacing="1"/>
        <w:rPr>
          <w:rFonts w:hint="eastAsia"/>
        </w:rPr>
      </w:pPr>
      <w:r>
        <w:rPr>
          <w:rFonts w:hint="eastAsia"/>
        </w:rPr>
        <w:t xml:space="preserve">[20] Van Den Oord A, Dieleman S, Zen H, et al. WaveNet: A generative model for raw audio. arXiv:1609.03499, 2016. </w:t>
      </w:r>
    </w:p>
    <w:p w14:paraId="4A068A1A">
      <w:pPr>
        <w:spacing w:after="100" w:afterAutospacing="1"/>
        <w:rPr>
          <w:rFonts w:hint="eastAsia"/>
        </w:rPr>
      </w:pPr>
      <w:r>
        <w:rPr>
          <w:rFonts w:hint="eastAsia"/>
        </w:rPr>
        <w:t xml:space="preserve">[21] Wu H, Xu J, Wang J, et al. Autoformer: Decomposition transformers with auto-correlation for long-term series forecasting. NeurIPS, 2021, 34: 22419-22430. </w:t>
      </w:r>
    </w:p>
    <w:p w14:paraId="70838791">
      <w:pPr>
        <w:spacing w:after="100" w:afterAutospacing="1"/>
        <w:rPr>
          <w:rFonts w:hint="eastAsia"/>
        </w:rPr>
      </w:pPr>
      <w:r>
        <w:rPr>
          <w:rFonts w:hint="eastAsia"/>
        </w:rPr>
        <w:t xml:space="preserve">[22] Zhou T, Ma Z, Wen Q, et al. FEDformer: Frequency enhanced decomposed transformer for long-term series forecasting. ICML, 2022: 27268-27286. </w:t>
      </w:r>
    </w:p>
    <w:p w14:paraId="716FD95D">
      <w:pPr>
        <w:spacing w:after="100" w:afterAutospacing="1"/>
        <w:rPr>
          <w:rFonts w:hint="eastAsia"/>
        </w:rPr>
      </w:pPr>
      <w:r>
        <w:rPr>
          <w:rFonts w:hint="eastAsia"/>
        </w:rPr>
        <w:t xml:space="preserve">[23] Alam M S, Rahman M M, Islam M T, et al. TMNet: Transformer-based multimodal fusion network for emotion recognition using EEG and speech signals. IEEE Transactions on Affective Computing, 2025, 16(1): 78-91. </w:t>
      </w:r>
    </w:p>
    <w:p w14:paraId="67DEE42E">
      <w:pPr>
        <w:spacing w:after="100" w:afterAutospacing="1"/>
        <w:rPr>
          <w:rFonts w:hint="eastAsia"/>
        </w:rPr>
      </w:pPr>
      <w:r>
        <w:rPr>
          <w:rFonts w:hint="eastAsia"/>
        </w:rPr>
        <w:t xml:space="preserve">[24] Han W, Chen H, Poria S. Improving multimodal fusion with hierarchical mutual information maximization for multimodal sentiment analysis. EMNLP, 2021: 9180-9192. </w:t>
      </w:r>
    </w:p>
    <w:p w14:paraId="4B1DE7EC">
      <w:pPr>
        <w:spacing w:after="100" w:afterAutospacing="1"/>
        <w:rPr>
          <w:rFonts w:hint="eastAsia"/>
        </w:rPr>
      </w:pPr>
      <w:r>
        <w:rPr>
          <w:rFonts w:hint="eastAsia"/>
        </w:rPr>
        <w:t xml:space="preserve">[25] Koldijk S, Sappelli M, Verberne S, et al. The SWELL knowledge work dataset for stress and user modeling research. ICMI, 2014: 291-298. </w:t>
      </w:r>
    </w:p>
    <w:p w14:paraId="573F0106">
      <w:pPr>
        <w:spacing w:after="100" w:afterAutospacing="1"/>
        <w:rPr>
          <w:rFonts w:hint="eastAsia"/>
        </w:rPr>
      </w:pPr>
      <w:r>
        <w:rPr>
          <w:rFonts w:hint="eastAsia"/>
        </w:rPr>
        <w:t xml:space="preserve">[26] Kim H G, Cheon E J, Bai D S, et al. Stress and heart rate variability: a meta-analysis and review of the literature. Psychiatry Investigation, 2018, 15(3): 235-245. </w:t>
      </w:r>
    </w:p>
    <w:p w14:paraId="36E0DC6C">
      <w:pPr>
        <w:spacing w:after="100" w:afterAutospacing="1"/>
        <w:rPr>
          <w:rFonts w:hint="eastAsia"/>
        </w:rPr>
      </w:pPr>
      <w:r>
        <w:rPr>
          <w:rFonts w:hint="eastAsia"/>
        </w:rPr>
        <w:t xml:space="preserve">[27] Taelman J, Vandeput S, Spaepen A, et al. Influence of mental stress on heart rate and heart rate variability. ECIFMBE, 2009: 1366-1369. </w:t>
      </w:r>
    </w:p>
    <w:p w14:paraId="1FCB4312">
      <w:pPr>
        <w:spacing w:after="100" w:afterAutospacing="1"/>
        <w:rPr>
          <w:rFonts w:hint="eastAsia"/>
        </w:rPr>
      </w:pPr>
      <w:r>
        <w:rPr>
          <w:rFonts w:hint="eastAsia"/>
        </w:rPr>
        <w:t xml:space="preserve">[28] Kendall A, Gal Y, Cipolla R. Multi-task learning using uncertainty to weigh losses for scene geometry and semantics. CVPR, 2018: 7482-7491. </w:t>
      </w:r>
    </w:p>
    <w:p w14:paraId="69987859">
      <w:pPr>
        <w:spacing w:after="100" w:afterAutospacing="1"/>
        <w:rPr>
          <w:rFonts w:hint="eastAsia"/>
        </w:rPr>
      </w:pPr>
      <w:r>
        <w:rPr>
          <w:rFonts w:hint="eastAsia"/>
        </w:rPr>
        <w:t xml:space="preserve">[29] Wen Q, Zhou T, Zhang C, et al. Transformers in time series: a survey. IJCAI, 2023: 6778-6786. </w:t>
      </w:r>
    </w:p>
    <w:p w14:paraId="5692EE64">
      <w:pPr>
        <w:spacing w:after="100" w:afterAutospacing="1"/>
        <w:rPr>
          <w:rFonts w:hint="eastAsia"/>
        </w:rPr>
      </w:pPr>
      <w:r>
        <w:rPr>
          <w:rFonts w:hint="eastAsia"/>
        </w:rPr>
        <w:t xml:space="preserve">[30] Biswas D, Simões-Capela N, Van Hoof C, et al. Heart rate estimation from wrist-worn photoplethysmography: A review. IEEE Sensors Journal, 2019, 19(16): 6560-6570. </w:t>
      </w:r>
    </w:p>
    <w:p w14:paraId="5014B18A">
      <w:pPr>
        <w:spacing w:after="100" w:afterAutospacing="1"/>
        <w:rPr>
          <w:rFonts w:hint="eastAsia"/>
        </w:rPr>
      </w:pPr>
      <w:r>
        <w:rPr>
          <w:rFonts w:hint="eastAsia"/>
        </w:rPr>
        <w:t xml:space="preserve">[31] Giannakakis G, Grigoriadis D, Giannakaki K, et al. Review on psychological stress detection using biosignals. IEEE Transactions on Affective Computing, 2019, 13(1): 440-460. </w:t>
      </w:r>
    </w:p>
    <w:p w14:paraId="4C6CA24F">
      <w:pPr>
        <w:spacing w:after="100" w:afterAutospacing="1"/>
        <w:rPr>
          <w:rFonts w:hint="eastAsia"/>
        </w:rPr>
      </w:pPr>
      <w:r>
        <w:rPr>
          <w:rFonts w:hint="eastAsia"/>
        </w:rPr>
        <w:t xml:space="preserve">[32] Elgendi M. On the analysis of fingertip photoplethysmogram signals. Current Cardiology Reviews, 2012, 8(1): 14-25. </w:t>
      </w:r>
    </w:p>
    <w:p w14:paraId="47046AB1">
      <w:pPr>
        <w:spacing w:after="100" w:afterAutospacing="1"/>
        <w:rPr>
          <w:rFonts w:hint="eastAsia"/>
        </w:rPr>
      </w:pPr>
      <w:r>
        <w:rPr>
          <w:rFonts w:hint="eastAsia"/>
        </w:rPr>
        <w:t xml:space="preserve">[33] Caruana R. Multitask learning. Machine Learning, 1997, 28(1): 41-75. </w:t>
      </w:r>
    </w:p>
    <w:p w14:paraId="2A91089D">
      <w:pPr>
        <w:spacing w:after="100" w:afterAutospacing="1"/>
        <w:rPr>
          <w:rFonts w:hint="eastAsia"/>
        </w:rPr>
      </w:pPr>
      <w:r>
        <w:rPr>
          <w:rFonts w:hint="eastAsia"/>
        </w:rPr>
        <w:t xml:space="preserve">[34] Jaques N, Taylor S, Sano A, et al. Multimodal autoencoder: A deep learning approach to predicting affect and personality from physiological and mobile sensing data. UbiComp, 2017: 1-13. </w:t>
      </w:r>
    </w:p>
    <w:p w14:paraId="0EEDBCAE">
      <w:pPr>
        <w:spacing w:after="100" w:afterAutospacing="1"/>
        <w:rPr>
          <w:rFonts w:hint="eastAsia"/>
        </w:rPr>
      </w:pPr>
      <w:r>
        <w:rPr>
          <w:rFonts w:hint="eastAsia"/>
        </w:rPr>
        <w:t xml:space="preserve">[35] Xiang Y, Chen L, Wang J, et al. MMFD-SD: Multimodal fusion deep learning framework for stress detection using physiological signals. IEEE Transactions on Neural Systems and Rehabilitation Engineering, 2025, 33: 456-468. </w:t>
      </w:r>
    </w:p>
    <w:p w14:paraId="79196D64">
      <w:pPr>
        <w:spacing w:after="100" w:afterAutospacing="1"/>
        <w:rPr>
          <w:rFonts w:hint="eastAsia"/>
        </w:rPr>
      </w:pPr>
      <w:r>
        <w:rPr>
          <w:rFonts w:hint="eastAsia"/>
        </w:rPr>
        <w:t xml:space="preserve">[36] Modi P, Patel S, Shah D, et al. Hybrid deep learning model for mental stress level classification using physiological signals. Biomedical Signal Processing and Control, 2025, 101: 106876. </w:t>
      </w:r>
    </w:p>
    <w:p w14:paraId="0C3E15BE">
      <w:pPr>
        <w:spacing w:after="100" w:afterAutospacing="1"/>
        <w:rPr>
          <w:rFonts w:hint="eastAsia"/>
        </w:rPr>
      </w:pPr>
      <w:r>
        <w:rPr>
          <w:rFonts w:hint="eastAsia"/>
        </w:rPr>
        <w:t xml:space="preserve">[37] Ilias I A, Katsigiannis S, Ramzan N. Multitask learning frameworks for simultaneous stress and depression recognition. IEEE Transactions on Affective Computing, 2023, 14(4): 2345-2358. </w:t>
      </w:r>
    </w:p>
    <w:p w14:paraId="342C5036">
      <w:pPr>
        <w:spacing w:after="100" w:afterAutospacing="1"/>
        <w:rPr>
          <w:rFonts w:hint="eastAsia"/>
        </w:rPr>
      </w:pPr>
      <w:r>
        <w:rPr>
          <w:rFonts w:hint="eastAsia"/>
        </w:rPr>
        <w:t xml:space="preserve">[38] Yuan Z, Chen J, Li H, et al. Hierarchical multitask recurrent neural networks for physiological time series prediction. IEEE Journal of Biomedical and Health Informatics, 2019, 23(5): 2111-2120. </w:t>
      </w:r>
    </w:p>
    <w:p w14:paraId="0C042485">
      <w:pPr>
        <w:spacing w:after="100" w:afterAutospacing="1"/>
        <w:rPr>
          <w:rFonts w:hint="eastAsia"/>
        </w:rPr>
      </w:pPr>
      <w:r>
        <w:rPr>
          <w:rFonts w:hint="eastAsia"/>
        </w:rPr>
        <w:t xml:space="preserve">[39] Liu Y, Wang Z, Chen X, et al. Multitask cross-modal learning for emotional stress detection with out-of-distribution generalization. IEEE Transactions on Cybernetics, 2025, 55(3): 1234-1246. </w:t>
      </w:r>
    </w:p>
    <w:p w14:paraId="18EBDED4">
      <w:pPr>
        <w:spacing w:after="100" w:afterAutospacing="1"/>
        <w:rPr>
          <w:rFonts w:hint="eastAsia"/>
        </w:rPr>
      </w:pPr>
      <w:r>
        <w:rPr>
          <w:rFonts w:hint="eastAsia"/>
        </w:rPr>
        <w:t xml:space="preserve">[40] Li X, Gao Y, Wang K, et al. Multitask learning for stress detection using wearable physiological sensors. IEEE Transactions on Neural Systems and Rehabilitation Engineering, 2021, 29: 1857-1866. </w:t>
      </w:r>
    </w:p>
    <w:p w14:paraId="421C809D">
      <w:pPr>
        <w:spacing w:after="100" w:afterAutospacing="1"/>
        <w:rPr>
          <w:rFonts w:hint="eastAsia"/>
        </w:rPr>
      </w:pPr>
      <w:r>
        <w:rPr>
          <w:rFonts w:hint="eastAsia"/>
        </w:rPr>
        <w:t>[41] Zhang Y, Li M, Liu C, et al. Multimodal multitask learning for joint prediction of multiple regression and classification variables in Alzheimer's disease. NeuroImage, 2021, 229: 117709.</w:t>
      </w:r>
    </w:p>
    <w:p w14:paraId="11B6931E">
      <w:pPr>
        <w:spacing w:after="100" w:afterAutospacing="1"/>
        <w:rPr>
          <w:rFonts w:hint="eastAsia"/>
        </w:rPr>
      </w:pPr>
      <w:r>
        <w:rPr>
          <w:rFonts w:hint="eastAsia"/>
        </w:rPr>
        <w:t>[</w:t>
      </w:r>
      <w:r>
        <w:rPr>
          <w:rFonts w:hint="eastAsia"/>
          <w:lang w:val="en-US" w:eastAsia="zh-CN"/>
        </w:rPr>
        <w:t>42</w:t>
      </w:r>
      <w:r>
        <w:rPr>
          <w:rFonts w:hint="eastAsia"/>
        </w:rPr>
        <w:t>] Zhang X, Wang Y, Li Z, et al. BCSA-Net: Bidirectional cross and self-attention network for multimodal stress detection. IEEE Transactions on Instrumentation and Measurement, 2024, 73: 1-12.</w:t>
      </w:r>
    </w:p>
    <w:p w14:paraId="2B58AB6E">
      <w:pPr>
        <w:rPr>
          <w:rFonts w:hint="eastAsia" w:ascii="华文中宋" w:hAnsi="华文中宋" w:eastAsia="华文中宋"/>
          <w:b/>
          <w:sz w:val="28"/>
          <w:szCs w:val="28"/>
        </w:rPr>
      </w:pPr>
    </w:p>
    <w:p w14:paraId="72888F65">
      <w:pPr>
        <w:rPr>
          <w:rFonts w:hint="eastAsia" w:ascii="华文中宋" w:hAnsi="华文中宋" w:eastAsia="华文中宋"/>
          <w:b/>
          <w:sz w:val="28"/>
          <w:szCs w:val="28"/>
        </w:rPr>
      </w:pPr>
    </w:p>
    <w:p w14:paraId="055FE6C6">
      <w:pPr>
        <w:rPr>
          <w:rFonts w:hint="eastAsia" w:ascii="华文中宋" w:hAnsi="华文中宋" w:eastAsia="华文中宋"/>
          <w:b/>
          <w:sz w:val="28"/>
          <w:szCs w:val="28"/>
        </w:rPr>
      </w:pPr>
    </w:p>
    <w:p w14:paraId="66CF3AE1">
      <w:pPr>
        <w:rPr>
          <w:rFonts w:hint="eastAsia" w:ascii="华文中宋" w:hAnsi="华文中宋" w:eastAsia="华文中宋"/>
          <w:b/>
          <w:sz w:val="28"/>
          <w:szCs w:val="28"/>
        </w:rPr>
      </w:pPr>
    </w:p>
    <w:p w14:paraId="526835C3">
      <w:pPr>
        <w:rPr>
          <w:rFonts w:hint="eastAsia" w:ascii="华文中宋" w:hAnsi="华文中宋" w:eastAsia="华文中宋"/>
          <w:b/>
          <w:sz w:val="28"/>
          <w:szCs w:val="28"/>
        </w:rPr>
      </w:pPr>
    </w:p>
    <w:p w14:paraId="02635816">
      <w:pPr>
        <w:rPr>
          <w:rFonts w:hint="eastAsia" w:ascii="华文中宋" w:hAnsi="华文中宋" w:eastAsia="华文中宋"/>
          <w:b/>
          <w:sz w:val="28"/>
          <w:szCs w:val="28"/>
        </w:rPr>
      </w:pPr>
    </w:p>
    <w:p w14:paraId="7EB5A25F">
      <w:pPr>
        <w:rPr>
          <w:rFonts w:hint="eastAsia" w:ascii="华文中宋" w:hAnsi="华文中宋" w:eastAsia="华文中宋"/>
          <w:b/>
          <w:szCs w:val="21"/>
        </w:rPr>
      </w:pPr>
      <w:r>
        <w:rPr>
          <w:rFonts w:ascii="华文中宋" w:hAnsi="华文中宋" w:eastAsia="华文中宋"/>
          <w:b/>
          <w:szCs w:val="21"/>
        </w:rPr>
        <w:br w:type="page"/>
      </w:r>
      <w:r>
        <w:rPr>
          <w:rFonts w:hint="eastAsia" w:ascii="华文中宋" w:hAnsi="华文中宋" w:eastAsia="华文中宋"/>
          <w:b/>
          <w:szCs w:val="21"/>
        </w:rPr>
        <w:t>注：报告正文应包括以上三部分，进一步细化的内容可根据情况适当调整。</w:t>
      </w:r>
    </w:p>
    <w:p w14:paraId="46C1B426">
      <w:pPr>
        <w:rPr>
          <w:rFonts w:hint="eastAsia" w:ascii="华文中宋" w:hAnsi="华文中宋" w:eastAsia="华文中宋"/>
          <w:b/>
          <w:sz w:val="28"/>
          <w:szCs w:val="28"/>
        </w:rPr>
      </w:pPr>
    </w:p>
    <w:p w14:paraId="1FAE509A">
      <w:pPr>
        <w:rPr>
          <w:rFonts w:hint="eastAsia" w:ascii="华文中宋" w:hAnsi="华文中宋" w:eastAsia="华文中宋"/>
          <w:b/>
          <w:sz w:val="28"/>
          <w:szCs w:val="28"/>
        </w:rPr>
      </w:pPr>
      <w:r>
        <w:rPr>
          <w:rFonts w:hint="eastAsia" w:ascii="华文中宋" w:hAnsi="华文中宋" w:eastAsia="华文中宋"/>
          <w:b/>
          <w:sz w:val="28"/>
          <w:szCs w:val="28"/>
        </w:rPr>
        <w:t>三、开题报告评价（</w:t>
      </w:r>
      <w:r>
        <w:rPr>
          <w:rFonts w:hint="eastAsia" w:ascii="华文中宋" w:hAnsi="华文中宋" w:eastAsia="华文中宋"/>
          <w:b/>
          <w:szCs w:val="21"/>
        </w:rPr>
        <w:t>本项分别由指导教师及专家组填写</w:t>
      </w:r>
      <w:r>
        <w:rPr>
          <w:rFonts w:hint="eastAsia" w:ascii="华文中宋" w:hAnsi="华文中宋" w:eastAsia="华文中宋"/>
          <w:b/>
          <w:sz w:val="28"/>
          <w:szCs w:val="28"/>
        </w:rPr>
        <w:t>）</w:t>
      </w:r>
    </w:p>
    <w:tbl>
      <w:tblPr>
        <w:tblStyle w:val="5"/>
        <w:tblW w:w="972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540"/>
        <w:gridCol w:w="1690"/>
        <w:gridCol w:w="1559"/>
        <w:gridCol w:w="2871"/>
        <w:gridCol w:w="1240"/>
        <w:gridCol w:w="1280"/>
      </w:tblGrid>
      <w:tr w14:paraId="1816E3CD">
        <w:trPr>
          <w:trHeight w:val="4177" w:hRule="atLeast"/>
        </w:trPr>
        <w:tc>
          <w:tcPr>
            <w:tcW w:w="9720" w:type="dxa"/>
            <w:gridSpan w:val="7"/>
            <w:tcBorders>
              <w:top w:val="single" w:color="auto" w:sz="12" w:space="0"/>
              <w:left w:val="single" w:color="auto" w:sz="12" w:space="0"/>
              <w:right w:val="single" w:color="auto" w:sz="12" w:space="0"/>
            </w:tcBorders>
            <w:noWrap w:val="0"/>
            <w:vAlign w:val="top"/>
          </w:tcPr>
          <w:p w14:paraId="11DD8902">
            <w:pPr>
              <w:rPr>
                <w:rFonts w:hint="eastAsia"/>
                <w:b/>
                <w:sz w:val="18"/>
              </w:rPr>
            </w:pPr>
            <w:r>
              <w:rPr>
                <w:rFonts w:hint="eastAsia"/>
                <w:b/>
                <w:sz w:val="18"/>
              </w:rPr>
              <w:t>指导教师对该生选题报告的简要评语（</w:t>
            </w:r>
            <w:r>
              <w:rPr>
                <w:rFonts w:hint="eastAsia" w:ascii="楷体_GB2312" w:eastAsia="楷体_GB2312"/>
                <w:sz w:val="18"/>
              </w:rPr>
              <w:t>本栏由指导教师在开题报告会之前填写完毕）</w:t>
            </w:r>
            <w:r>
              <w:rPr>
                <w:rFonts w:hint="eastAsia"/>
                <w:b/>
                <w:sz w:val="18"/>
              </w:rPr>
              <w:t>：</w:t>
            </w:r>
          </w:p>
          <w:p w14:paraId="7AFDBC19">
            <w:pPr>
              <w:jc w:val="left"/>
              <w:rPr>
                <w:rFonts w:hint="eastAsia"/>
                <w:szCs w:val="21"/>
              </w:rPr>
            </w:pPr>
            <w:r>
              <w:rPr>
                <w:rFonts w:hint="eastAsia"/>
                <w:szCs w:val="21"/>
              </w:rPr>
              <w:t>选题明确、研究方案可行，研究进度可行，同意开题</w:t>
            </w:r>
          </w:p>
          <w:p w14:paraId="49261C8A">
            <w:pPr>
              <w:jc w:val="left"/>
              <w:rPr>
                <w:rFonts w:hint="eastAsia"/>
                <w:szCs w:val="21"/>
              </w:rPr>
            </w:pPr>
          </w:p>
          <w:p w14:paraId="00225BB6">
            <w:pPr>
              <w:jc w:val="left"/>
              <w:rPr>
                <w:rFonts w:hint="eastAsia"/>
                <w:szCs w:val="21"/>
              </w:rPr>
            </w:pPr>
          </w:p>
          <w:p w14:paraId="66CBC4AD">
            <w:pPr>
              <w:jc w:val="left"/>
              <w:rPr>
                <w:rFonts w:hint="eastAsia"/>
                <w:szCs w:val="21"/>
              </w:rPr>
            </w:pPr>
          </w:p>
          <w:p w14:paraId="48596A2F">
            <w:pPr>
              <w:jc w:val="left"/>
              <w:rPr>
                <w:rFonts w:hint="eastAsia"/>
                <w:szCs w:val="21"/>
              </w:rPr>
            </w:pPr>
          </w:p>
          <w:p w14:paraId="53BBEEF1">
            <w:pPr>
              <w:jc w:val="left"/>
              <w:rPr>
                <w:rFonts w:hint="eastAsia"/>
                <w:szCs w:val="21"/>
              </w:rPr>
            </w:pPr>
          </w:p>
          <w:p w14:paraId="2D6AAD2A">
            <w:pPr>
              <w:jc w:val="left"/>
              <w:rPr>
                <w:rFonts w:hint="eastAsia"/>
                <w:szCs w:val="21"/>
              </w:rPr>
            </w:pPr>
          </w:p>
          <w:p w14:paraId="434B9B18">
            <w:pPr>
              <w:rPr>
                <w:rFonts w:hint="eastAsia"/>
                <w:szCs w:val="21"/>
              </w:rPr>
            </w:pPr>
          </w:p>
          <w:p w14:paraId="75EDAAE9">
            <w:pPr>
              <w:rPr>
                <w:rFonts w:hint="eastAsia"/>
                <w:szCs w:val="21"/>
              </w:rPr>
            </w:pPr>
          </w:p>
          <w:p w14:paraId="7A62867C">
            <w:pPr>
              <w:rPr>
                <w:rFonts w:hint="eastAsia"/>
                <w:szCs w:val="21"/>
              </w:rPr>
            </w:pPr>
            <w:r>
              <w:rPr>
                <w:rFonts w:hint="eastAsia"/>
                <w:szCs w:val="21"/>
              </w:rPr>
              <w:t xml:space="preserve">           </w:t>
            </w:r>
          </w:p>
          <w:p w14:paraId="481908D7">
            <w:pPr>
              <w:rPr>
                <w:rFonts w:hint="eastAsia"/>
                <w:b/>
                <w:sz w:val="18"/>
              </w:rPr>
            </w:pPr>
            <w:r>
              <w:rPr>
                <w:rFonts w:hint="eastAsia"/>
                <w:sz w:val="18"/>
              </w:rPr>
              <w:t xml:space="preserve">                                         </w:t>
            </w:r>
            <w:r>
              <w:rPr>
                <w:rFonts w:hint="eastAsia"/>
                <w:b/>
                <w:sz w:val="18"/>
              </w:rPr>
              <w:t xml:space="preserve"> 指导教师签名：                   年    月    日</w:t>
            </w:r>
          </w:p>
        </w:tc>
      </w:tr>
      <w:tr w14:paraId="62A36757">
        <w:trPr>
          <w:cantSplit/>
          <w:trHeight w:val="393" w:hRule="atLeast"/>
        </w:trPr>
        <w:tc>
          <w:tcPr>
            <w:tcW w:w="540" w:type="dxa"/>
            <w:vMerge w:val="restart"/>
            <w:tcBorders>
              <w:left w:val="single" w:color="auto" w:sz="12" w:space="0"/>
            </w:tcBorders>
            <w:noWrap w:val="0"/>
            <w:vAlign w:val="center"/>
          </w:tcPr>
          <w:p w14:paraId="4E500DE9">
            <w:pPr>
              <w:jc w:val="center"/>
              <w:rPr>
                <w:rFonts w:hint="eastAsia"/>
                <w:b/>
                <w:sz w:val="24"/>
                <w:szCs w:val="24"/>
              </w:rPr>
            </w:pPr>
            <w:r>
              <w:rPr>
                <w:rFonts w:hint="eastAsia"/>
                <w:b/>
                <w:sz w:val="24"/>
                <w:szCs w:val="24"/>
              </w:rPr>
              <w:t>开</w:t>
            </w:r>
          </w:p>
          <w:p w14:paraId="157928F9">
            <w:pPr>
              <w:jc w:val="center"/>
              <w:rPr>
                <w:rFonts w:hint="eastAsia"/>
                <w:b/>
                <w:sz w:val="24"/>
                <w:szCs w:val="24"/>
              </w:rPr>
            </w:pPr>
          </w:p>
          <w:p w14:paraId="603D6B97">
            <w:pPr>
              <w:jc w:val="center"/>
              <w:rPr>
                <w:rFonts w:hint="eastAsia"/>
                <w:b/>
                <w:sz w:val="24"/>
                <w:szCs w:val="24"/>
              </w:rPr>
            </w:pPr>
            <w:r>
              <w:rPr>
                <w:rFonts w:hint="eastAsia"/>
                <w:b/>
                <w:sz w:val="24"/>
                <w:szCs w:val="24"/>
              </w:rPr>
              <w:t>题</w:t>
            </w:r>
          </w:p>
          <w:p w14:paraId="341282FE">
            <w:pPr>
              <w:jc w:val="center"/>
              <w:rPr>
                <w:rFonts w:hint="eastAsia"/>
                <w:b/>
                <w:sz w:val="24"/>
                <w:szCs w:val="24"/>
              </w:rPr>
            </w:pPr>
          </w:p>
          <w:p w14:paraId="20BA4269">
            <w:pPr>
              <w:jc w:val="center"/>
              <w:rPr>
                <w:rFonts w:hint="eastAsia"/>
                <w:b/>
                <w:sz w:val="24"/>
                <w:szCs w:val="24"/>
              </w:rPr>
            </w:pPr>
            <w:r>
              <w:rPr>
                <w:rFonts w:hint="eastAsia"/>
                <w:b/>
                <w:sz w:val="24"/>
                <w:szCs w:val="24"/>
              </w:rPr>
              <w:t>报</w:t>
            </w:r>
          </w:p>
          <w:p w14:paraId="5535EF63">
            <w:pPr>
              <w:jc w:val="center"/>
              <w:rPr>
                <w:rFonts w:hint="eastAsia"/>
                <w:b/>
                <w:sz w:val="24"/>
                <w:szCs w:val="24"/>
              </w:rPr>
            </w:pPr>
          </w:p>
          <w:p w14:paraId="4DE2A5C8">
            <w:pPr>
              <w:jc w:val="center"/>
              <w:rPr>
                <w:rFonts w:hint="eastAsia"/>
                <w:b/>
                <w:sz w:val="24"/>
                <w:szCs w:val="24"/>
              </w:rPr>
            </w:pPr>
            <w:r>
              <w:rPr>
                <w:rFonts w:hint="eastAsia"/>
                <w:b/>
                <w:sz w:val="24"/>
                <w:szCs w:val="24"/>
              </w:rPr>
              <w:t>告</w:t>
            </w:r>
          </w:p>
          <w:p w14:paraId="61ADF116">
            <w:pPr>
              <w:jc w:val="center"/>
              <w:rPr>
                <w:rFonts w:hint="eastAsia"/>
                <w:b/>
                <w:sz w:val="24"/>
                <w:szCs w:val="24"/>
              </w:rPr>
            </w:pPr>
          </w:p>
          <w:p w14:paraId="412E47CE">
            <w:pPr>
              <w:jc w:val="center"/>
              <w:rPr>
                <w:rFonts w:hint="eastAsia"/>
                <w:b/>
                <w:sz w:val="24"/>
                <w:szCs w:val="24"/>
              </w:rPr>
            </w:pPr>
            <w:r>
              <w:rPr>
                <w:rFonts w:hint="eastAsia"/>
                <w:b/>
                <w:sz w:val="24"/>
                <w:szCs w:val="24"/>
              </w:rPr>
              <w:t>会</w:t>
            </w:r>
          </w:p>
        </w:tc>
        <w:tc>
          <w:tcPr>
            <w:tcW w:w="9180" w:type="dxa"/>
            <w:gridSpan w:val="6"/>
            <w:tcBorders>
              <w:right w:val="single" w:color="auto" w:sz="12" w:space="0"/>
            </w:tcBorders>
            <w:noWrap w:val="0"/>
            <w:vAlign w:val="center"/>
          </w:tcPr>
          <w:p w14:paraId="5232E493">
            <w:pPr>
              <w:rPr>
                <w:rFonts w:hint="default" w:eastAsia="宋体"/>
                <w:b/>
                <w:szCs w:val="21"/>
                <w:lang w:val="en-US" w:eastAsia="zh-CN"/>
              </w:rPr>
            </w:pPr>
            <w:r>
              <w:rPr>
                <w:rFonts w:hint="eastAsia"/>
                <w:b/>
                <w:szCs w:val="21"/>
              </w:rPr>
              <w:t>开题报告会时间：</w:t>
            </w:r>
            <w:r>
              <w:rPr>
                <w:rFonts w:hint="eastAsia" w:ascii="宋体" w:hAnsi="宋体"/>
                <w:b/>
                <w:szCs w:val="21"/>
              </w:rPr>
              <w:t xml:space="preserve">  </w:t>
            </w:r>
            <w:r>
              <w:rPr>
                <w:rFonts w:hint="eastAsia"/>
                <w:b/>
                <w:szCs w:val="21"/>
              </w:rPr>
              <w:t>2</w:t>
            </w:r>
            <w:r>
              <w:rPr>
                <w:b/>
                <w:szCs w:val="21"/>
              </w:rPr>
              <w:t>02</w:t>
            </w:r>
            <w:r>
              <w:rPr>
                <w:rFonts w:hint="eastAsia"/>
                <w:b/>
                <w:szCs w:val="21"/>
                <w:lang w:val="en-US" w:eastAsia="zh-CN"/>
              </w:rPr>
              <w:t>5</w:t>
            </w:r>
            <w:r>
              <w:rPr>
                <w:rFonts w:hint="eastAsia"/>
                <w:b/>
                <w:szCs w:val="21"/>
              </w:rPr>
              <w:t>.</w:t>
            </w:r>
            <w:r>
              <w:rPr>
                <w:b/>
                <w:szCs w:val="21"/>
              </w:rPr>
              <w:t>1</w:t>
            </w:r>
            <w:r>
              <w:rPr>
                <w:rFonts w:hint="eastAsia"/>
                <w:b/>
                <w:szCs w:val="21"/>
                <w:lang w:val="en-US" w:eastAsia="zh-CN"/>
              </w:rPr>
              <w:t>2</w:t>
            </w:r>
            <w:r>
              <w:rPr>
                <w:b/>
                <w:szCs w:val="21"/>
              </w:rPr>
              <w:t>.</w:t>
            </w:r>
            <w:r>
              <w:rPr>
                <w:rFonts w:hint="eastAsia"/>
                <w:b/>
                <w:szCs w:val="21"/>
                <w:lang w:val="en-US" w:eastAsia="zh-CN"/>
              </w:rPr>
              <w:t>20</w:t>
            </w:r>
            <w:r>
              <w:rPr>
                <w:rFonts w:hint="eastAsia" w:ascii="宋体" w:hAnsi="宋体"/>
                <w:b/>
                <w:szCs w:val="21"/>
              </w:rPr>
              <w:t xml:space="preserve">  </w:t>
            </w:r>
            <w:r>
              <w:rPr>
                <w:rFonts w:hint="eastAsia"/>
                <w:b/>
                <w:szCs w:val="21"/>
              </w:rPr>
              <w:t>上</w:t>
            </w:r>
            <w:r>
              <w:rPr>
                <w:rFonts w:hint="eastAsia" w:ascii="宋体" w:hAnsi="宋体"/>
                <w:b/>
                <w:szCs w:val="21"/>
              </w:rPr>
              <w:t xml:space="preserve"> </w:t>
            </w:r>
            <w:r>
              <w:rPr>
                <w:rFonts w:hint="eastAsia"/>
                <w:b/>
                <w:szCs w:val="21"/>
              </w:rPr>
              <w:t xml:space="preserve">午  </w:t>
            </w:r>
            <w:r>
              <w:rPr>
                <w:b/>
                <w:szCs w:val="21"/>
              </w:rPr>
              <w:t>8</w:t>
            </w:r>
            <w:r>
              <w:rPr>
                <w:rFonts w:hint="eastAsia"/>
                <w:b/>
                <w:szCs w:val="21"/>
              </w:rPr>
              <w:t>时—</w:t>
            </w:r>
            <w:r>
              <w:rPr>
                <w:rFonts w:hint="eastAsia" w:ascii="宋体" w:hAnsi="宋体"/>
                <w:b/>
                <w:szCs w:val="21"/>
              </w:rPr>
              <w:t xml:space="preserve"> </w:t>
            </w:r>
            <w:r>
              <w:rPr>
                <w:b/>
                <w:szCs w:val="21"/>
              </w:rPr>
              <w:t>11</w:t>
            </w:r>
            <w:r>
              <w:rPr>
                <w:rFonts w:hint="eastAsia"/>
                <w:b/>
                <w:szCs w:val="21"/>
              </w:rPr>
              <w:t>时 地点：</w:t>
            </w:r>
            <w:r>
              <w:rPr>
                <w:rFonts w:hint="eastAsia"/>
                <w:b/>
                <w:szCs w:val="21"/>
                <w:lang w:val="en-US" w:eastAsia="zh-CN"/>
              </w:rPr>
              <w:t>材料</w:t>
            </w:r>
            <w:r>
              <w:rPr>
                <w:rFonts w:hint="eastAsia"/>
                <w:b/>
                <w:szCs w:val="21"/>
              </w:rPr>
              <w:t>楼</w:t>
            </w:r>
            <w:r>
              <w:rPr>
                <w:rFonts w:hint="eastAsia"/>
                <w:b/>
                <w:szCs w:val="21"/>
                <w:lang w:val="en-US" w:eastAsia="zh-CN"/>
              </w:rPr>
              <w:t>407</w:t>
            </w:r>
          </w:p>
        </w:tc>
      </w:tr>
      <w:tr w14:paraId="5258AA53">
        <w:trPr>
          <w:cantSplit/>
          <w:trHeight w:val="480" w:hRule="atLeast"/>
        </w:trPr>
        <w:tc>
          <w:tcPr>
            <w:tcW w:w="540" w:type="dxa"/>
            <w:vMerge w:val="continue"/>
            <w:tcBorders>
              <w:left w:val="single" w:color="auto" w:sz="12" w:space="0"/>
            </w:tcBorders>
            <w:noWrap w:val="0"/>
            <w:textDirection w:val="tbRlV"/>
            <w:vAlign w:val="center"/>
          </w:tcPr>
          <w:p w14:paraId="68A827C3">
            <w:pPr>
              <w:ind w:left="113" w:right="113"/>
              <w:jc w:val="center"/>
              <w:rPr>
                <w:rFonts w:hint="eastAsia"/>
                <w:sz w:val="18"/>
              </w:rPr>
            </w:pPr>
          </w:p>
        </w:tc>
        <w:tc>
          <w:tcPr>
            <w:tcW w:w="540" w:type="dxa"/>
            <w:vMerge w:val="restart"/>
            <w:tcBorders>
              <w:right w:val="single" w:color="auto" w:sz="4" w:space="0"/>
            </w:tcBorders>
            <w:noWrap w:val="0"/>
            <w:vAlign w:val="center"/>
          </w:tcPr>
          <w:p w14:paraId="27EFB5B4">
            <w:pPr>
              <w:jc w:val="center"/>
              <w:rPr>
                <w:rFonts w:hint="eastAsia"/>
                <w:b/>
              </w:rPr>
            </w:pPr>
            <w:r>
              <w:rPr>
                <w:rFonts w:hint="eastAsia"/>
                <w:b/>
              </w:rPr>
              <w:t>评</w:t>
            </w:r>
          </w:p>
          <w:p w14:paraId="31B042F6">
            <w:pPr>
              <w:jc w:val="center"/>
              <w:rPr>
                <w:rFonts w:hint="eastAsia"/>
                <w:b/>
              </w:rPr>
            </w:pPr>
            <w:r>
              <w:rPr>
                <w:rFonts w:hint="eastAsia"/>
                <w:b/>
              </w:rPr>
              <w:t>审</w:t>
            </w:r>
          </w:p>
          <w:p w14:paraId="120D17DF">
            <w:pPr>
              <w:jc w:val="center"/>
              <w:rPr>
                <w:rFonts w:hint="eastAsia"/>
                <w:b/>
              </w:rPr>
            </w:pPr>
            <w:r>
              <w:rPr>
                <w:rFonts w:hint="eastAsia"/>
                <w:b/>
              </w:rPr>
              <w:t>专</w:t>
            </w:r>
          </w:p>
          <w:p w14:paraId="54245941">
            <w:pPr>
              <w:jc w:val="center"/>
              <w:rPr>
                <w:rFonts w:hint="eastAsia"/>
                <w:b/>
              </w:rPr>
            </w:pPr>
            <w:r>
              <w:rPr>
                <w:rFonts w:hint="eastAsia"/>
                <w:b/>
              </w:rPr>
              <w:t>家</w:t>
            </w:r>
          </w:p>
          <w:p w14:paraId="3CCD4998">
            <w:pPr>
              <w:jc w:val="center"/>
              <w:rPr>
                <w:rFonts w:hint="eastAsia"/>
                <w:b/>
              </w:rPr>
            </w:pPr>
            <w:r>
              <w:rPr>
                <w:rFonts w:hint="eastAsia"/>
                <w:b/>
              </w:rPr>
              <w:t>组</w:t>
            </w:r>
          </w:p>
          <w:p w14:paraId="56986CE0">
            <w:pPr>
              <w:jc w:val="center"/>
              <w:rPr>
                <w:b/>
              </w:rPr>
            </w:pPr>
            <w:r>
              <w:rPr>
                <w:rFonts w:hint="eastAsia"/>
                <w:b/>
              </w:rPr>
              <w:t>成</w:t>
            </w:r>
          </w:p>
          <w:p w14:paraId="50E4EBE0">
            <w:pPr>
              <w:jc w:val="center"/>
              <w:rPr>
                <w:rFonts w:hint="eastAsia"/>
              </w:rPr>
            </w:pPr>
          </w:p>
        </w:tc>
        <w:tc>
          <w:tcPr>
            <w:tcW w:w="1690" w:type="dxa"/>
            <w:tcBorders>
              <w:left w:val="single" w:color="auto" w:sz="4" w:space="0"/>
              <w:right w:val="single" w:color="auto" w:sz="4" w:space="0"/>
            </w:tcBorders>
            <w:noWrap w:val="0"/>
            <w:vAlign w:val="center"/>
          </w:tcPr>
          <w:p w14:paraId="2D67A6EB">
            <w:pPr>
              <w:jc w:val="center"/>
              <w:rPr>
                <w:rFonts w:hint="eastAsia"/>
              </w:rPr>
            </w:pPr>
            <w:r>
              <w:rPr>
                <w:rFonts w:hint="eastAsia"/>
              </w:rPr>
              <w:t>姓名</w:t>
            </w:r>
          </w:p>
        </w:tc>
        <w:tc>
          <w:tcPr>
            <w:tcW w:w="1559" w:type="dxa"/>
            <w:tcBorders>
              <w:left w:val="single" w:color="auto" w:sz="4" w:space="0"/>
              <w:right w:val="single" w:color="auto" w:sz="4" w:space="0"/>
            </w:tcBorders>
            <w:noWrap w:val="0"/>
            <w:vAlign w:val="center"/>
          </w:tcPr>
          <w:p w14:paraId="699F5B53">
            <w:pPr>
              <w:jc w:val="center"/>
              <w:rPr>
                <w:rFonts w:hint="eastAsia"/>
              </w:rPr>
            </w:pPr>
            <w:r>
              <w:rPr>
                <w:rFonts w:hint="eastAsia"/>
              </w:rPr>
              <w:t>职称</w:t>
            </w:r>
          </w:p>
        </w:tc>
        <w:tc>
          <w:tcPr>
            <w:tcW w:w="2871" w:type="dxa"/>
            <w:tcBorders>
              <w:left w:val="single" w:color="auto" w:sz="4" w:space="0"/>
              <w:right w:val="single" w:color="auto" w:sz="4" w:space="0"/>
            </w:tcBorders>
            <w:noWrap w:val="0"/>
            <w:vAlign w:val="center"/>
          </w:tcPr>
          <w:p w14:paraId="6DFA5BF8">
            <w:pPr>
              <w:jc w:val="center"/>
              <w:rPr>
                <w:rFonts w:hint="eastAsia"/>
              </w:rPr>
            </w:pPr>
            <w:r>
              <w:rPr>
                <w:rFonts w:hint="eastAsia"/>
              </w:rPr>
              <w:t>所在单位及学科专长</w:t>
            </w:r>
          </w:p>
        </w:tc>
        <w:tc>
          <w:tcPr>
            <w:tcW w:w="1240" w:type="dxa"/>
            <w:tcBorders>
              <w:left w:val="single" w:color="auto" w:sz="4" w:space="0"/>
              <w:right w:val="single" w:color="auto" w:sz="4" w:space="0"/>
            </w:tcBorders>
            <w:noWrap w:val="0"/>
            <w:vAlign w:val="center"/>
          </w:tcPr>
          <w:p w14:paraId="1B626DAC">
            <w:pPr>
              <w:jc w:val="center"/>
              <w:rPr>
                <w:rFonts w:hint="eastAsia"/>
                <w:sz w:val="18"/>
                <w:szCs w:val="18"/>
              </w:rPr>
            </w:pPr>
            <w:r>
              <w:rPr>
                <w:rFonts w:hint="eastAsia"/>
                <w:sz w:val="18"/>
                <w:szCs w:val="18"/>
              </w:rPr>
              <w:t>博导</w:t>
            </w:r>
            <w:r>
              <w:rPr>
                <w:rFonts w:hint="eastAsia"/>
                <w:b/>
                <w:sz w:val="18"/>
                <w:szCs w:val="18"/>
              </w:rPr>
              <w:t>/</w:t>
            </w:r>
            <w:r>
              <w:rPr>
                <w:rFonts w:hint="eastAsia"/>
                <w:sz w:val="18"/>
                <w:szCs w:val="18"/>
              </w:rPr>
              <w:t xml:space="preserve">硕导 </w:t>
            </w:r>
          </w:p>
        </w:tc>
        <w:tc>
          <w:tcPr>
            <w:tcW w:w="1280" w:type="dxa"/>
            <w:tcBorders>
              <w:left w:val="single" w:color="auto" w:sz="4" w:space="0"/>
              <w:right w:val="single" w:color="auto" w:sz="12" w:space="0"/>
            </w:tcBorders>
            <w:noWrap w:val="0"/>
            <w:vAlign w:val="center"/>
          </w:tcPr>
          <w:p w14:paraId="25C5B9D1">
            <w:pPr>
              <w:jc w:val="center"/>
              <w:rPr>
                <w:rFonts w:hint="eastAsia"/>
                <w:sz w:val="18"/>
                <w:szCs w:val="18"/>
              </w:rPr>
            </w:pPr>
            <w:r>
              <w:rPr>
                <w:rFonts w:hint="eastAsia"/>
                <w:sz w:val="18"/>
                <w:szCs w:val="18"/>
              </w:rPr>
              <w:t>（出席者）签名</w:t>
            </w:r>
          </w:p>
        </w:tc>
      </w:tr>
      <w:tr w14:paraId="0B7FFB1A">
        <w:trPr>
          <w:cantSplit/>
          <w:trHeight w:val="450" w:hRule="atLeast"/>
        </w:trPr>
        <w:tc>
          <w:tcPr>
            <w:tcW w:w="540" w:type="dxa"/>
            <w:vMerge w:val="continue"/>
            <w:tcBorders>
              <w:left w:val="single" w:color="auto" w:sz="12" w:space="0"/>
            </w:tcBorders>
            <w:noWrap w:val="0"/>
            <w:textDirection w:val="tbRlV"/>
            <w:vAlign w:val="center"/>
          </w:tcPr>
          <w:p w14:paraId="75194BA9">
            <w:pPr>
              <w:ind w:left="113" w:right="113"/>
              <w:rPr>
                <w:rFonts w:hint="eastAsia"/>
                <w:sz w:val="18"/>
              </w:rPr>
            </w:pPr>
          </w:p>
        </w:tc>
        <w:tc>
          <w:tcPr>
            <w:tcW w:w="540" w:type="dxa"/>
            <w:vMerge w:val="continue"/>
            <w:tcBorders>
              <w:right w:val="single" w:color="auto" w:sz="4" w:space="0"/>
            </w:tcBorders>
            <w:noWrap w:val="0"/>
            <w:vAlign w:val="center"/>
          </w:tcPr>
          <w:p w14:paraId="63040717">
            <w:pPr>
              <w:jc w:val="center"/>
              <w:rPr>
                <w:rFonts w:hint="eastAsia"/>
              </w:rPr>
            </w:pPr>
          </w:p>
        </w:tc>
        <w:tc>
          <w:tcPr>
            <w:tcW w:w="1690" w:type="dxa"/>
            <w:tcBorders>
              <w:left w:val="single" w:color="auto" w:sz="4" w:space="0"/>
              <w:right w:val="single" w:color="auto" w:sz="4" w:space="0"/>
            </w:tcBorders>
            <w:noWrap w:val="0"/>
            <w:vAlign w:val="center"/>
          </w:tcPr>
          <w:p w14:paraId="025B8865">
            <w:pPr>
              <w:jc w:val="center"/>
              <w:rPr>
                <w:rFonts w:hint="eastAsia"/>
                <w:szCs w:val="21"/>
              </w:rPr>
            </w:pPr>
          </w:p>
        </w:tc>
        <w:tc>
          <w:tcPr>
            <w:tcW w:w="1559" w:type="dxa"/>
            <w:tcBorders>
              <w:left w:val="single" w:color="auto" w:sz="4" w:space="0"/>
              <w:right w:val="single" w:color="auto" w:sz="4" w:space="0"/>
            </w:tcBorders>
            <w:noWrap w:val="0"/>
            <w:vAlign w:val="center"/>
          </w:tcPr>
          <w:p w14:paraId="0E81248D">
            <w:pPr>
              <w:jc w:val="center"/>
              <w:rPr>
                <w:rFonts w:hint="eastAsia"/>
                <w:szCs w:val="21"/>
              </w:rPr>
            </w:pPr>
            <w:r>
              <w:rPr>
                <w:rFonts w:hint="eastAsia"/>
                <w:szCs w:val="21"/>
              </w:rPr>
              <w:t>研究员</w:t>
            </w:r>
          </w:p>
        </w:tc>
        <w:tc>
          <w:tcPr>
            <w:tcW w:w="2871" w:type="dxa"/>
            <w:tcBorders>
              <w:left w:val="single" w:color="auto" w:sz="4" w:space="0"/>
              <w:right w:val="single" w:color="auto" w:sz="4" w:space="0"/>
            </w:tcBorders>
            <w:noWrap w:val="0"/>
            <w:vAlign w:val="center"/>
          </w:tcPr>
          <w:p w14:paraId="7948C8B7">
            <w:pPr>
              <w:jc w:val="center"/>
              <w:rPr>
                <w:rFonts w:hint="eastAsia"/>
                <w:szCs w:val="21"/>
              </w:rPr>
            </w:pPr>
          </w:p>
        </w:tc>
        <w:tc>
          <w:tcPr>
            <w:tcW w:w="1240" w:type="dxa"/>
            <w:tcBorders>
              <w:left w:val="single" w:color="auto" w:sz="4" w:space="0"/>
              <w:right w:val="single" w:color="auto" w:sz="4" w:space="0"/>
            </w:tcBorders>
            <w:noWrap w:val="0"/>
            <w:vAlign w:val="center"/>
          </w:tcPr>
          <w:p w14:paraId="559CB9AF">
            <w:pPr>
              <w:jc w:val="center"/>
              <w:rPr>
                <w:rFonts w:hint="eastAsia"/>
              </w:rPr>
            </w:pPr>
          </w:p>
        </w:tc>
        <w:tc>
          <w:tcPr>
            <w:tcW w:w="1280" w:type="dxa"/>
            <w:tcBorders>
              <w:left w:val="single" w:color="auto" w:sz="4" w:space="0"/>
              <w:right w:val="single" w:color="auto" w:sz="12" w:space="0"/>
            </w:tcBorders>
            <w:noWrap w:val="0"/>
            <w:vAlign w:val="center"/>
          </w:tcPr>
          <w:p w14:paraId="7D07BE1B">
            <w:pPr>
              <w:jc w:val="center"/>
              <w:rPr>
                <w:rFonts w:hint="eastAsia"/>
              </w:rPr>
            </w:pPr>
          </w:p>
        </w:tc>
      </w:tr>
      <w:tr w14:paraId="439526C6">
        <w:trPr>
          <w:cantSplit/>
          <w:trHeight w:val="450" w:hRule="atLeast"/>
        </w:trPr>
        <w:tc>
          <w:tcPr>
            <w:tcW w:w="540" w:type="dxa"/>
            <w:vMerge w:val="continue"/>
            <w:tcBorders>
              <w:left w:val="single" w:color="auto" w:sz="12" w:space="0"/>
            </w:tcBorders>
            <w:noWrap w:val="0"/>
            <w:textDirection w:val="tbRlV"/>
            <w:vAlign w:val="center"/>
          </w:tcPr>
          <w:p w14:paraId="10E1BF73">
            <w:pPr>
              <w:ind w:left="113" w:right="113"/>
              <w:rPr>
                <w:rFonts w:hint="eastAsia"/>
                <w:sz w:val="18"/>
              </w:rPr>
            </w:pPr>
          </w:p>
        </w:tc>
        <w:tc>
          <w:tcPr>
            <w:tcW w:w="540" w:type="dxa"/>
            <w:vMerge w:val="continue"/>
            <w:tcBorders>
              <w:right w:val="single" w:color="auto" w:sz="4" w:space="0"/>
            </w:tcBorders>
            <w:noWrap w:val="0"/>
            <w:vAlign w:val="center"/>
          </w:tcPr>
          <w:p w14:paraId="75B41CB7">
            <w:pPr>
              <w:jc w:val="center"/>
              <w:rPr>
                <w:rFonts w:hint="eastAsia"/>
                <w:sz w:val="18"/>
              </w:rPr>
            </w:pPr>
          </w:p>
        </w:tc>
        <w:tc>
          <w:tcPr>
            <w:tcW w:w="1690" w:type="dxa"/>
            <w:tcBorders>
              <w:left w:val="single" w:color="auto" w:sz="4" w:space="0"/>
              <w:right w:val="single" w:color="auto" w:sz="4" w:space="0"/>
            </w:tcBorders>
            <w:noWrap w:val="0"/>
            <w:vAlign w:val="center"/>
          </w:tcPr>
          <w:p w14:paraId="183D8629">
            <w:pPr>
              <w:jc w:val="center"/>
              <w:rPr>
                <w:rFonts w:hint="eastAsia"/>
                <w:szCs w:val="21"/>
              </w:rPr>
            </w:pPr>
          </w:p>
        </w:tc>
        <w:tc>
          <w:tcPr>
            <w:tcW w:w="1559" w:type="dxa"/>
            <w:tcBorders>
              <w:left w:val="single" w:color="auto" w:sz="4" w:space="0"/>
              <w:right w:val="single" w:color="auto" w:sz="4" w:space="0"/>
            </w:tcBorders>
            <w:noWrap w:val="0"/>
            <w:vAlign w:val="center"/>
          </w:tcPr>
          <w:p w14:paraId="6B109F5E">
            <w:pPr>
              <w:jc w:val="center"/>
              <w:rPr>
                <w:rFonts w:hint="eastAsia"/>
                <w:szCs w:val="21"/>
              </w:rPr>
            </w:pPr>
            <w:r>
              <w:rPr>
                <w:rFonts w:hint="eastAsia"/>
                <w:szCs w:val="21"/>
              </w:rPr>
              <w:t>教授</w:t>
            </w:r>
          </w:p>
        </w:tc>
        <w:tc>
          <w:tcPr>
            <w:tcW w:w="2871" w:type="dxa"/>
            <w:tcBorders>
              <w:left w:val="single" w:color="auto" w:sz="4" w:space="0"/>
              <w:right w:val="single" w:color="auto" w:sz="4" w:space="0"/>
            </w:tcBorders>
            <w:noWrap w:val="0"/>
            <w:vAlign w:val="center"/>
          </w:tcPr>
          <w:p w14:paraId="67B00B92">
            <w:pPr>
              <w:jc w:val="center"/>
              <w:rPr>
                <w:rFonts w:hint="eastAsia"/>
                <w:szCs w:val="21"/>
              </w:rPr>
            </w:pPr>
            <w:r>
              <w:rPr>
                <w:rFonts w:hint="eastAsia"/>
                <w:szCs w:val="21"/>
              </w:rPr>
              <w:t>北京工业大学、控制科学与工程</w:t>
            </w:r>
          </w:p>
        </w:tc>
        <w:tc>
          <w:tcPr>
            <w:tcW w:w="1240" w:type="dxa"/>
            <w:tcBorders>
              <w:left w:val="single" w:color="auto" w:sz="4" w:space="0"/>
              <w:right w:val="single" w:color="auto" w:sz="4" w:space="0"/>
            </w:tcBorders>
            <w:noWrap w:val="0"/>
            <w:vAlign w:val="center"/>
          </w:tcPr>
          <w:p w14:paraId="0D4DAC79">
            <w:pPr>
              <w:jc w:val="center"/>
              <w:rPr>
                <w:rFonts w:hint="eastAsia"/>
                <w:sz w:val="18"/>
              </w:rPr>
            </w:pPr>
            <w:r>
              <w:rPr>
                <w:rFonts w:hint="eastAsia"/>
                <w:sz w:val="18"/>
              </w:rPr>
              <w:t>硕导</w:t>
            </w:r>
          </w:p>
        </w:tc>
        <w:tc>
          <w:tcPr>
            <w:tcW w:w="1280" w:type="dxa"/>
            <w:tcBorders>
              <w:left w:val="single" w:color="auto" w:sz="4" w:space="0"/>
              <w:right w:val="single" w:color="auto" w:sz="12" w:space="0"/>
            </w:tcBorders>
            <w:noWrap w:val="0"/>
            <w:vAlign w:val="center"/>
          </w:tcPr>
          <w:p w14:paraId="644690F7">
            <w:pPr>
              <w:jc w:val="center"/>
              <w:rPr>
                <w:rFonts w:hint="eastAsia"/>
                <w:sz w:val="18"/>
              </w:rPr>
            </w:pPr>
          </w:p>
        </w:tc>
      </w:tr>
      <w:tr w14:paraId="2D65DED2">
        <w:trPr>
          <w:cantSplit/>
          <w:trHeight w:val="465" w:hRule="atLeast"/>
        </w:trPr>
        <w:tc>
          <w:tcPr>
            <w:tcW w:w="540" w:type="dxa"/>
            <w:vMerge w:val="continue"/>
            <w:tcBorders>
              <w:left w:val="single" w:color="auto" w:sz="12" w:space="0"/>
            </w:tcBorders>
            <w:noWrap w:val="0"/>
            <w:textDirection w:val="tbRlV"/>
            <w:vAlign w:val="center"/>
          </w:tcPr>
          <w:p w14:paraId="2249033F">
            <w:pPr>
              <w:ind w:left="113" w:right="113"/>
              <w:rPr>
                <w:rFonts w:hint="eastAsia"/>
                <w:sz w:val="18"/>
              </w:rPr>
            </w:pPr>
          </w:p>
        </w:tc>
        <w:tc>
          <w:tcPr>
            <w:tcW w:w="540" w:type="dxa"/>
            <w:vMerge w:val="continue"/>
            <w:tcBorders>
              <w:right w:val="single" w:color="auto" w:sz="4" w:space="0"/>
            </w:tcBorders>
            <w:noWrap w:val="0"/>
            <w:vAlign w:val="center"/>
          </w:tcPr>
          <w:p w14:paraId="12B6837B">
            <w:pPr>
              <w:rPr>
                <w:rFonts w:hint="eastAsia"/>
                <w:sz w:val="18"/>
              </w:rPr>
            </w:pPr>
          </w:p>
        </w:tc>
        <w:tc>
          <w:tcPr>
            <w:tcW w:w="1690" w:type="dxa"/>
            <w:tcBorders>
              <w:left w:val="single" w:color="auto" w:sz="4" w:space="0"/>
              <w:right w:val="single" w:color="auto" w:sz="4" w:space="0"/>
            </w:tcBorders>
            <w:noWrap w:val="0"/>
            <w:vAlign w:val="center"/>
          </w:tcPr>
          <w:p w14:paraId="4B1B13C8">
            <w:pPr>
              <w:jc w:val="center"/>
              <w:rPr>
                <w:rFonts w:hint="eastAsia"/>
                <w:szCs w:val="21"/>
              </w:rPr>
            </w:pPr>
          </w:p>
        </w:tc>
        <w:tc>
          <w:tcPr>
            <w:tcW w:w="1559" w:type="dxa"/>
            <w:tcBorders>
              <w:left w:val="single" w:color="auto" w:sz="4" w:space="0"/>
              <w:right w:val="single" w:color="auto" w:sz="4" w:space="0"/>
            </w:tcBorders>
            <w:noWrap w:val="0"/>
            <w:vAlign w:val="center"/>
          </w:tcPr>
          <w:p w14:paraId="203F03F8">
            <w:pPr>
              <w:jc w:val="center"/>
              <w:rPr>
                <w:rFonts w:hint="eastAsia"/>
                <w:szCs w:val="21"/>
              </w:rPr>
            </w:pPr>
            <w:r>
              <w:rPr>
                <w:rFonts w:hint="eastAsia"/>
                <w:szCs w:val="21"/>
              </w:rPr>
              <w:t>教授</w:t>
            </w:r>
          </w:p>
        </w:tc>
        <w:tc>
          <w:tcPr>
            <w:tcW w:w="2871" w:type="dxa"/>
            <w:tcBorders>
              <w:left w:val="single" w:color="auto" w:sz="4" w:space="0"/>
              <w:right w:val="single" w:color="auto" w:sz="4" w:space="0"/>
            </w:tcBorders>
            <w:noWrap w:val="0"/>
            <w:vAlign w:val="center"/>
          </w:tcPr>
          <w:p w14:paraId="700A7489">
            <w:pPr>
              <w:jc w:val="center"/>
              <w:rPr>
                <w:rFonts w:hint="eastAsia"/>
                <w:szCs w:val="21"/>
              </w:rPr>
            </w:pPr>
            <w:r>
              <w:rPr>
                <w:rFonts w:hint="eastAsia"/>
                <w:szCs w:val="21"/>
              </w:rPr>
              <w:t>北京工业大学、控制科学与工程</w:t>
            </w:r>
          </w:p>
        </w:tc>
        <w:tc>
          <w:tcPr>
            <w:tcW w:w="1240" w:type="dxa"/>
            <w:tcBorders>
              <w:left w:val="single" w:color="auto" w:sz="4" w:space="0"/>
              <w:right w:val="single" w:color="auto" w:sz="4" w:space="0"/>
            </w:tcBorders>
            <w:noWrap w:val="0"/>
            <w:vAlign w:val="center"/>
          </w:tcPr>
          <w:p w14:paraId="624A4E20">
            <w:pPr>
              <w:jc w:val="center"/>
              <w:rPr>
                <w:rFonts w:hint="eastAsia"/>
                <w:sz w:val="18"/>
              </w:rPr>
            </w:pPr>
            <w:r>
              <w:rPr>
                <w:rFonts w:hint="eastAsia"/>
                <w:sz w:val="18"/>
              </w:rPr>
              <w:t>博导</w:t>
            </w:r>
          </w:p>
        </w:tc>
        <w:tc>
          <w:tcPr>
            <w:tcW w:w="1280" w:type="dxa"/>
            <w:tcBorders>
              <w:left w:val="single" w:color="auto" w:sz="4" w:space="0"/>
              <w:right w:val="single" w:color="auto" w:sz="12" w:space="0"/>
            </w:tcBorders>
            <w:noWrap w:val="0"/>
            <w:vAlign w:val="center"/>
          </w:tcPr>
          <w:p w14:paraId="314BA604">
            <w:pPr>
              <w:jc w:val="center"/>
              <w:rPr>
                <w:rFonts w:hint="eastAsia"/>
                <w:sz w:val="18"/>
              </w:rPr>
            </w:pPr>
          </w:p>
        </w:tc>
      </w:tr>
      <w:tr w14:paraId="030E99E1">
        <w:trPr>
          <w:cantSplit/>
          <w:trHeight w:val="450" w:hRule="atLeast"/>
        </w:trPr>
        <w:tc>
          <w:tcPr>
            <w:tcW w:w="540" w:type="dxa"/>
            <w:vMerge w:val="continue"/>
            <w:tcBorders>
              <w:left w:val="single" w:color="auto" w:sz="12" w:space="0"/>
            </w:tcBorders>
            <w:noWrap w:val="0"/>
            <w:textDirection w:val="tbRlV"/>
            <w:vAlign w:val="center"/>
          </w:tcPr>
          <w:p w14:paraId="77737148">
            <w:pPr>
              <w:ind w:left="113" w:right="113"/>
              <w:rPr>
                <w:rFonts w:hint="eastAsia"/>
                <w:sz w:val="18"/>
              </w:rPr>
            </w:pPr>
          </w:p>
        </w:tc>
        <w:tc>
          <w:tcPr>
            <w:tcW w:w="540" w:type="dxa"/>
            <w:vMerge w:val="continue"/>
            <w:tcBorders>
              <w:right w:val="single" w:color="auto" w:sz="4" w:space="0"/>
            </w:tcBorders>
            <w:noWrap w:val="0"/>
            <w:vAlign w:val="center"/>
          </w:tcPr>
          <w:p w14:paraId="7C809B62">
            <w:pPr>
              <w:rPr>
                <w:rFonts w:hint="eastAsia"/>
                <w:sz w:val="18"/>
              </w:rPr>
            </w:pPr>
          </w:p>
        </w:tc>
        <w:tc>
          <w:tcPr>
            <w:tcW w:w="1690" w:type="dxa"/>
            <w:tcBorders>
              <w:left w:val="single" w:color="auto" w:sz="4" w:space="0"/>
              <w:right w:val="single" w:color="auto" w:sz="4" w:space="0"/>
            </w:tcBorders>
            <w:noWrap w:val="0"/>
            <w:vAlign w:val="center"/>
          </w:tcPr>
          <w:p w14:paraId="1301A596">
            <w:pPr>
              <w:jc w:val="center"/>
              <w:rPr>
                <w:rFonts w:hint="eastAsia"/>
                <w:sz w:val="18"/>
              </w:rPr>
            </w:pPr>
          </w:p>
        </w:tc>
        <w:tc>
          <w:tcPr>
            <w:tcW w:w="1559" w:type="dxa"/>
            <w:tcBorders>
              <w:left w:val="single" w:color="auto" w:sz="4" w:space="0"/>
              <w:right w:val="single" w:color="auto" w:sz="4" w:space="0"/>
            </w:tcBorders>
            <w:noWrap w:val="0"/>
            <w:vAlign w:val="center"/>
          </w:tcPr>
          <w:p w14:paraId="13BBC099">
            <w:pPr>
              <w:jc w:val="center"/>
              <w:rPr>
                <w:rFonts w:hint="eastAsia"/>
                <w:sz w:val="18"/>
              </w:rPr>
            </w:pPr>
          </w:p>
        </w:tc>
        <w:tc>
          <w:tcPr>
            <w:tcW w:w="2871" w:type="dxa"/>
            <w:tcBorders>
              <w:left w:val="single" w:color="auto" w:sz="4" w:space="0"/>
              <w:right w:val="single" w:color="auto" w:sz="4" w:space="0"/>
            </w:tcBorders>
            <w:noWrap w:val="0"/>
            <w:vAlign w:val="center"/>
          </w:tcPr>
          <w:p w14:paraId="0EEAA244">
            <w:pPr>
              <w:jc w:val="center"/>
              <w:rPr>
                <w:rFonts w:hint="eastAsia"/>
                <w:sz w:val="18"/>
              </w:rPr>
            </w:pPr>
          </w:p>
        </w:tc>
        <w:tc>
          <w:tcPr>
            <w:tcW w:w="1240" w:type="dxa"/>
            <w:tcBorders>
              <w:left w:val="single" w:color="auto" w:sz="4" w:space="0"/>
              <w:right w:val="single" w:color="auto" w:sz="4" w:space="0"/>
            </w:tcBorders>
            <w:noWrap w:val="0"/>
            <w:vAlign w:val="center"/>
          </w:tcPr>
          <w:p w14:paraId="1A3E907B">
            <w:pPr>
              <w:jc w:val="center"/>
              <w:rPr>
                <w:rFonts w:hint="eastAsia"/>
                <w:sz w:val="18"/>
              </w:rPr>
            </w:pPr>
          </w:p>
        </w:tc>
        <w:tc>
          <w:tcPr>
            <w:tcW w:w="1280" w:type="dxa"/>
            <w:tcBorders>
              <w:left w:val="single" w:color="auto" w:sz="4" w:space="0"/>
              <w:right w:val="single" w:color="auto" w:sz="12" w:space="0"/>
            </w:tcBorders>
            <w:noWrap w:val="0"/>
            <w:vAlign w:val="center"/>
          </w:tcPr>
          <w:p w14:paraId="17FB8486">
            <w:pPr>
              <w:jc w:val="center"/>
              <w:rPr>
                <w:rFonts w:hint="eastAsia"/>
                <w:sz w:val="18"/>
              </w:rPr>
            </w:pPr>
          </w:p>
        </w:tc>
      </w:tr>
      <w:tr w14:paraId="63B1F245">
        <w:trPr>
          <w:cantSplit/>
          <w:trHeight w:val="442" w:hRule="atLeast"/>
        </w:trPr>
        <w:tc>
          <w:tcPr>
            <w:tcW w:w="540" w:type="dxa"/>
            <w:vMerge w:val="continue"/>
            <w:tcBorders>
              <w:left w:val="single" w:color="auto" w:sz="12" w:space="0"/>
            </w:tcBorders>
            <w:noWrap w:val="0"/>
            <w:textDirection w:val="tbRlV"/>
            <w:vAlign w:val="center"/>
          </w:tcPr>
          <w:p w14:paraId="046105F6">
            <w:pPr>
              <w:ind w:left="113" w:right="113"/>
              <w:rPr>
                <w:rFonts w:hint="eastAsia"/>
                <w:sz w:val="18"/>
              </w:rPr>
            </w:pPr>
          </w:p>
        </w:tc>
        <w:tc>
          <w:tcPr>
            <w:tcW w:w="540" w:type="dxa"/>
            <w:vMerge w:val="continue"/>
            <w:tcBorders>
              <w:right w:val="single" w:color="auto" w:sz="4" w:space="0"/>
            </w:tcBorders>
            <w:noWrap w:val="0"/>
            <w:vAlign w:val="center"/>
          </w:tcPr>
          <w:p w14:paraId="6E257E99">
            <w:pPr>
              <w:rPr>
                <w:rFonts w:hint="eastAsia"/>
                <w:sz w:val="18"/>
              </w:rPr>
            </w:pPr>
          </w:p>
        </w:tc>
        <w:tc>
          <w:tcPr>
            <w:tcW w:w="1690" w:type="dxa"/>
            <w:tcBorders>
              <w:left w:val="single" w:color="auto" w:sz="4" w:space="0"/>
              <w:right w:val="single" w:color="auto" w:sz="4" w:space="0"/>
            </w:tcBorders>
            <w:noWrap w:val="0"/>
            <w:vAlign w:val="center"/>
          </w:tcPr>
          <w:p w14:paraId="2F275545">
            <w:pPr>
              <w:jc w:val="center"/>
              <w:rPr>
                <w:rFonts w:hint="eastAsia"/>
                <w:sz w:val="18"/>
              </w:rPr>
            </w:pPr>
          </w:p>
        </w:tc>
        <w:tc>
          <w:tcPr>
            <w:tcW w:w="1559" w:type="dxa"/>
            <w:tcBorders>
              <w:left w:val="single" w:color="auto" w:sz="4" w:space="0"/>
              <w:right w:val="single" w:color="auto" w:sz="4" w:space="0"/>
            </w:tcBorders>
            <w:noWrap w:val="0"/>
            <w:vAlign w:val="center"/>
          </w:tcPr>
          <w:p w14:paraId="2BA1ACD4">
            <w:pPr>
              <w:jc w:val="center"/>
              <w:rPr>
                <w:rFonts w:hint="eastAsia"/>
                <w:sz w:val="18"/>
              </w:rPr>
            </w:pPr>
          </w:p>
        </w:tc>
        <w:tc>
          <w:tcPr>
            <w:tcW w:w="2871" w:type="dxa"/>
            <w:tcBorders>
              <w:left w:val="single" w:color="auto" w:sz="4" w:space="0"/>
              <w:right w:val="single" w:color="auto" w:sz="4" w:space="0"/>
            </w:tcBorders>
            <w:noWrap w:val="0"/>
            <w:vAlign w:val="center"/>
          </w:tcPr>
          <w:p w14:paraId="4F61F634">
            <w:pPr>
              <w:jc w:val="center"/>
              <w:rPr>
                <w:rFonts w:hint="eastAsia"/>
                <w:sz w:val="18"/>
              </w:rPr>
            </w:pPr>
          </w:p>
        </w:tc>
        <w:tc>
          <w:tcPr>
            <w:tcW w:w="1240" w:type="dxa"/>
            <w:tcBorders>
              <w:left w:val="single" w:color="auto" w:sz="4" w:space="0"/>
              <w:right w:val="single" w:color="auto" w:sz="4" w:space="0"/>
            </w:tcBorders>
            <w:noWrap w:val="0"/>
            <w:vAlign w:val="center"/>
          </w:tcPr>
          <w:p w14:paraId="1391FDDE">
            <w:pPr>
              <w:jc w:val="center"/>
              <w:rPr>
                <w:rFonts w:hint="eastAsia"/>
                <w:sz w:val="18"/>
              </w:rPr>
            </w:pPr>
          </w:p>
        </w:tc>
        <w:tc>
          <w:tcPr>
            <w:tcW w:w="1280" w:type="dxa"/>
            <w:tcBorders>
              <w:left w:val="single" w:color="auto" w:sz="4" w:space="0"/>
              <w:right w:val="single" w:color="auto" w:sz="12" w:space="0"/>
            </w:tcBorders>
            <w:noWrap w:val="0"/>
            <w:vAlign w:val="center"/>
          </w:tcPr>
          <w:p w14:paraId="2ED8B601">
            <w:pPr>
              <w:jc w:val="center"/>
              <w:rPr>
                <w:rFonts w:hint="eastAsia"/>
                <w:sz w:val="18"/>
              </w:rPr>
            </w:pPr>
          </w:p>
        </w:tc>
      </w:tr>
      <w:tr w14:paraId="222DA54C">
        <w:trPr>
          <w:cantSplit/>
          <w:trHeight w:val="442" w:hRule="atLeast"/>
        </w:trPr>
        <w:tc>
          <w:tcPr>
            <w:tcW w:w="540" w:type="dxa"/>
            <w:vMerge w:val="continue"/>
            <w:tcBorders>
              <w:left w:val="single" w:color="auto" w:sz="12" w:space="0"/>
            </w:tcBorders>
            <w:noWrap w:val="0"/>
            <w:textDirection w:val="tbRlV"/>
            <w:vAlign w:val="center"/>
          </w:tcPr>
          <w:p w14:paraId="00DF1441">
            <w:pPr>
              <w:ind w:left="113" w:right="113"/>
              <w:rPr>
                <w:rFonts w:hint="eastAsia"/>
                <w:sz w:val="18"/>
              </w:rPr>
            </w:pPr>
          </w:p>
        </w:tc>
        <w:tc>
          <w:tcPr>
            <w:tcW w:w="540" w:type="dxa"/>
            <w:vMerge w:val="continue"/>
            <w:tcBorders>
              <w:right w:val="single" w:color="auto" w:sz="4" w:space="0"/>
            </w:tcBorders>
            <w:noWrap w:val="0"/>
            <w:vAlign w:val="center"/>
          </w:tcPr>
          <w:p w14:paraId="1526024B">
            <w:pPr>
              <w:rPr>
                <w:rFonts w:hint="eastAsia"/>
                <w:sz w:val="18"/>
              </w:rPr>
            </w:pPr>
          </w:p>
        </w:tc>
        <w:tc>
          <w:tcPr>
            <w:tcW w:w="1690" w:type="dxa"/>
            <w:tcBorders>
              <w:left w:val="single" w:color="auto" w:sz="4" w:space="0"/>
              <w:right w:val="single" w:color="auto" w:sz="4" w:space="0"/>
            </w:tcBorders>
            <w:noWrap w:val="0"/>
            <w:vAlign w:val="center"/>
          </w:tcPr>
          <w:p w14:paraId="4C9C8CD9">
            <w:pPr>
              <w:jc w:val="center"/>
              <w:rPr>
                <w:rFonts w:hint="eastAsia"/>
                <w:sz w:val="18"/>
              </w:rPr>
            </w:pPr>
          </w:p>
        </w:tc>
        <w:tc>
          <w:tcPr>
            <w:tcW w:w="1559" w:type="dxa"/>
            <w:tcBorders>
              <w:left w:val="single" w:color="auto" w:sz="4" w:space="0"/>
              <w:right w:val="single" w:color="auto" w:sz="4" w:space="0"/>
            </w:tcBorders>
            <w:noWrap w:val="0"/>
            <w:vAlign w:val="center"/>
          </w:tcPr>
          <w:p w14:paraId="4618265B">
            <w:pPr>
              <w:jc w:val="center"/>
              <w:rPr>
                <w:rFonts w:hint="eastAsia"/>
                <w:sz w:val="18"/>
              </w:rPr>
            </w:pPr>
          </w:p>
        </w:tc>
        <w:tc>
          <w:tcPr>
            <w:tcW w:w="2871" w:type="dxa"/>
            <w:tcBorders>
              <w:left w:val="single" w:color="auto" w:sz="4" w:space="0"/>
              <w:right w:val="single" w:color="auto" w:sz="4" w:space="0"/>
            </w:tcBorders>
            <w:noWrap w:val="0"/>
            <w:vAlign w:val="center"/>
          </w:tcPr>
          <w:p w14:paraId="18B0F61F">
            <w:pPr>
              <w:jc w:val="center"/>
              <w:rPr>
                <w:rFonts w:hint="eastAsia"/>
                <w:sz w:val="18"/>
              </w:rPr>
            </w:pPr>
          </w:p>
        </w:tc>
        <w:tc>
          <w:tcPr>
            <w:tcW w:w="1240" w:type="dxa"/>
            <w:tcBorders>
              <w:left w:val="single" w:color="auto" w:sz="4" w:space="0"/>
              <w:right w:val="single" w:color="auto" w:sz="4" w:space="0"/>
            </w:tcBorders>
            <w:noWrap w:val="0"/>
            <w:vAlign w:val="center"/>
          </w:tcPr>
          <w:p w14:paraId="1D0DE1B2">
            <w:pPr>
              <w:jc w:val="center"/>
              <w:rPr>
                <w:rFonts w:hint="eastAsia"/>
                <w:sz w:val="18"/>
              </w:rPr>
            </w:pPr>
          </w:p>
        </w:tc>
        <w:tc>
          <w:tcPr>
            <w:tcW w:w="1280" w:type="dxa"/>
            <w:tcBorders>
              <w:left w:val="single" w:color="auto" w:sz="4" w:space="0"/>
              <w:right w:val="single" w:color="auto" w:sz="12" w:space="0"/>
            </w:tcBorders>
            <w:noWrap w:val="0"/>
            <w:vAlign w:val="center"/>
          </w:tcPr>
          <w:p w14:paraId="1ABDADA0">
            <w:pPr>
              <w:jc w:val="center"/>
              <w:rPr>
                <w:rFonts w:hint="eastAsia"/>
                <w:sz w:val="18"/>
              </w:rPr>
            </w:pPr>
          </w:p>
        </w:tc>
      </w:tr>
      <w:tr w14:paraId="6DA3889F">
        <w:trPr>
          <w:cantSplit/>
          <w:trHeight w:val="442" w:hRule="atLeast"/>
        </w:trPr>
        <w:tc>
          <w:tcPr>
            <w:tcW w:w="540" w:type="dxa"/>
            <w:vMerge w:val="continue"/>
            <w:tcBorders>
              <w:left w:val="single" w:color="auto" w:sz="12" w:space="0"/>
            </w:tcBorders>
            <w:noWrap w:val="0"/>
            <w:textDirection w:val="tbRlV"/>
            <w:vAlign w:val="center"/>
          </w:tcPr>
          <w:p w14:paraId="58E346E2">
            <w:pPr>
              <w:ind w:left="113" w:right="113"/>
              <w:rPr>
                <w:rFonts w:hint="eastAsia"/>
                <w:sz w:val="18"/>
              </w:rPr>
            </w:pPr>
          </w:p>
        </w:tc>
        <w:tc>
          <w:tcPr>
            <w:tcW w:w="540" w:type="dxa"/>
            <w:vMerge w:val="continue"/>
            <w:tcBorders>
              <w:right w:val="single" w:color="auto" w:sz="4" w:space="0"/>
            </w:tcBorders>
            <w:noWrap w:val="0"/>
            <w:vAlign w:val="center"/>
          </w:tcPr>
          <w:p w14:paraId="2BDE3D4B">
            <w:pPr>
              <w:rPr>
                <w:rFonts w:hint="eastAsia"/>
                <w:sz w:val="18"/>
              </w:rPr>
            </w:pPr>
          </w:p>
        </w:tc>
        <w:tc>
          <w:tcPr>
            <w:tcW w:w="1690" w:type="dxa"/>
            <w:tcBorders>
              <w:left w:val="single" w:color="auto" w:sz="4" w:space="0"/>
              <w:right w:val="single" w:color="auto" w:sz="4" w:space="0"/>
            </w:tcBorders>
            <w:noWrap w:val="0"/>
            <w:vAlign w:val="center"/>
          </w:tcPr>
          <w:p w14:paraId="715EC499">
            <w:pPr>
              <w:jc w:val="center"/>
              <w:rPr>
                <w:rFonts w:hint="eastAsia"/>
                <w:sz w:val="18"/>
              </w:rPr>
            </w:pPr>
          </w:p>
        </w:tc>
        <w:tc>
          <w:tcPr>
            <w:tcW w:w="1559" w:type="dxa"/>
            <w:tcBorders>
              <w:left w:val="single" w:color="auto" w:sz="4" w:space="0"/>
              <w:right w:val="single" w:color="auto" w:sz="4" w:space="0"/>
            </w:tcBorders>
            <w:noWrap w:val="0"/>
            <w:vAlign w:val="center"/>
          </w:tcPr>
          <w:p w14:paraId="0B55369F">
            <w:pPr>
              <w:jc w:val="center"/>
              <w:rPr>
                <w:rFonts w:hint="eastAsia"/>
                <w:sz w:val="18"/>
              </w:rPr>
            </w:pPr>
          </w:p>
        </w:tc>
        <w:tc>
          <w:tcPr>
            <w:tcW w:w="2871" w:type="dxa"/>
            <w:tcBorders>
              <w:left w:val="single" w:color="auto" w:sz="4" w:space="0"/>
              <w:right w:val="single" w:color="auto" w:sz="4" w:space="0"/>
            </w:tcBorders>
            <w:noWrap w:val="0"/>
            <w:vAlign w:val="center"/>
          </w:tcPr>
          <w:p w14:paraId="240D9101">
            <w:pPr>
              <w:jc w:val="center"/>
              <w:rPr>
                <w:rFonts w:hint="eastAsia"/>
                <w:sz w:val="18"/>
              </w:rPr>
            </w:pPr>
          </w:p>
        </w:tc>
        <w:tc>
          <w:tcPr>
            <w:tcW w:w="1240" w:type="dxa"/>
            <w:tcBorders>
              <w:left w:val="single" w:color="auto" w:sz="4" w:space="0"/>
              <w:right w:val="single" w:color="auto" w:sz="4" w:space="0"/>
            </w:tcBorders>
            <w:noWrap w:val="0"/>
            <w:vAlign w:val="center"/>
          </w:tcPr>
          <w:p w14:paraId="408C9218">
            <w:pPr>
              <w:jc w:val="center"/>
              <w:rPr>
                <w:rFonts w:hint="eastAsia"/>
                <w:sz w:val="18"/>
              </w:rPr>
            </w:pPr>
          </w:p>
        </w:tc>
        <w:tc>
          <w:tcPr>
            <w:tcW w:w="1280" w:type="dxa"/>
            <w:tcBorders>
              <w:left w:val="single" w:color="auto" w:sz="4" w:space="0"/>
              <w:right w:val="single" w:color="auto" w:sz="12" w:space="0"/>
            </w:tcBorders>
            <w:noWrap w:val="0"/>
            <w:vAlign w:val="center"/>
          </w:tcPr>
          <w:p w14:paraId="25581673">
            <w:pPr>
              <w:jc w:val="center"/>
              <w:rPr>
                <w:rFonts w:hint="eastAsia"/>
                <w:sz w:val="18"/>
              </w:rPr>
            </w:pPr>
          </w:p>
        </w:tc>
      </w:tr>
      <w:tr w14:paraId="153154ED">
        <w:trPr>
          <w:cantSplit/>
          <w:trHeight w:val="442" w:hRule="atLeast"/>
        </w:trPr>
        <w:tc>
          <w:tcPr>
            <w:tcW w:w="540" w:type="dxa"/>
            <w:vMerge w:val="continue"/>
            <w:tcBorders>
              <w:left w:val="single" w:color="auto" w:sz="12" w:space="0"/>
            </w:tcBorders>
            <w:noWrap w:val="0"/>
            <w:textDirection w:val="tbRlV"/>
            <w:vAlign w:val="center"/>
          </w:tcPr>
          <w:p w14:paraId="565B40C4">
            <w:pPr>
              <w:ind w:left="113" w:right="113"/>
              <w:rPr>
                <w:rFonts w:hint="eastAsia"/>
                <w:sz w:val="18"/>
              </w:rPr>
            </w:pPr>
          </w:p>
        </w:tc>
        <w:tc>
          <w:tcPr>
            <w:tcW w:w="540" w:type="dxa"/>
            <w:vMerge w:val="continue"/>
            <w:tcBorders>
              <w:right w:val="single" w:color="auto" w:sz="4" w:space="0"/>
            </w:tcBorders>
            <w:noWrap w:val="0"/>
            <w:vAlign w:val="center"/>
          </w:tcPr>
          <w:p w14:paraId="6247433A">
            <w:pPr>
              <w:rPr>
                <w:rFonts w:hint="eastAsia"/>
                <w:sz w:val="18"/>
              </w:rPr>
            </w:pPr>
          </w:p>
        </w:tc>
        <w:tc>
          <w:tcPr>
            <w:tcW w:w="1690" w:type="dxa"/>
            <w:tcBorders>
              <w:left w:val="single" w:color="auto" w:sz="4" w:space="0"/>
              <w:right w:val="single" w:color="auto" w:sz="4" w:space="0"/>
            </w:tcBorders>
            <w:noWrap w:val="0"/>
            <w:vAlign w:val="center"/>
          </w:tcPr>
          <w:p w14:paraId="79CE838C">
            <w:pPr>
              <w:jc w:val="center"/>
              <w:rPr>
                <w:rFonts w:hint="eastAsia"/>
                <w:sz w:val="18"/>
              </w:rPr>
            </w:pPr>
          </w:p>
        </w:tc>
        <w:tc>
          <w:tcPr>
            <w:tcW w:w="1559" w:type="dxa"/>
            <w:tcBorders>
              <w:left w:val="single" w:color="auto" w:sz="4" w:space="0"/>
              <w:right w:val="single" w:color="auto" w:sz="4" w:space="0"/>
            </w:tcBorders>
            <w:noWrap w:val="0"/>
            <w:vAlign w:val="center"/>
          </w:tcPr>
          <w:p w14:paraId="27B4964E">
            <w:pPr>
              <w:jc w:val="center"/>
              <w:rPr>
                <w:rFonts w:hint="eastAsia"/>
                <w:sz w:val="18"/>
              </w:rPr>
            </w:pPr>
          </w:p>
        </w:tc>
        <w:tc>
          <w:tcPr>
            <w:tcW w:w="2871" w:type="dxa"/>
            <w:tcBorders>
              <w:left w:val="single" w:color="auto" w:sz="4" w:space="0"/>
              <w:right w:val="single" w:color="auto" w:sz="4" w:space="0"/>
            </w:tcBorders>
            <w:noWrap w:val="0"/>
            <w:vAlign w:val="center"/>
          </w:tcPr>
          <w:p w14:paraId="55743AEE">
            <w:pPr>
              <w:jc w:val="center"/>
              <w:rPr>
                <w:rFonts w:hint="eastAsia"/>
                <w:sz w:val="18"/>
              </w:rPr>
            </w:pPr>
          </w:p>
        </w:tc>
        <w:tc>
          <w:tcPr>
            <w:tcW w:w="1240" w:type="dxa"/>
            <w:tcBorders>
              <w:left w:val="single" w:color="auto" w:sz="4" w:space="0"/>
              <w:right w:val="single" w:color="auto" w:sz="4" w:space="0"/>
            </w:tcBorders>
            <w:noWrap w:val="0"/>
            <w:vAlign w:val="center"/>
          </w:tcPr>
          <w:p w14:paraId="2AAAE261">
            <w:pPr>
              <w:jc w:val="center"/>
              <w:rPr>
                <w:rFonts w:hint="eastAsia"/>
                <w:sz w:val="18"/>
              </w:rPr>
            </w:pPr>
          </w:p>
        </w:tc>
        <w:tc>
          <w:tcPr>
            <w:tcW w:w="1280" w:type="dxa"/>
            <w:tcBorders>
              <w:left w:val="single" w:color="auto" w:sz="4" w:space="0"/>
              <w:right w:val="single" w:color="auto" w:sz="12" w:space="0"/>
            </w:tcBorders>
            <w:noWrap w:val="0"/>
            <w:vAlign w:val="center"/>
          </w:tcPr>
          <w:p w14:paraId="1984F586">
            <w:pPr>
              <w:jc w:val="center"/>
              <w:rPr>
                <w:rFonts w:hint="eastAsia"/>
                <w:sz w:val="18"/>
              </w:rPr>
            </w:pPr>
          </w:p>
        </w:tc>
      </w:tr>
      <w:tr w14:paraId="32E665D7">
        <w:trPr>
          <w:cantSplit/>
          <w:trHeight w:val="2476" w:hRule="atLeast"/>
        </w:trPr>
        <w:tc>
          <w:tcPr>
            <w:tcW w:w="540" w:type="dxa"/>
            <w:vMerge w:val="continue"/>
            <w:tcBorders>
              <w:left w:val="single" w:color="auto" w:sz="12" w:space="0"/>
              <w:bottom w:val="single" w:color="auto" w:sz="12" w:space="0"/>
            </w:tcBorders>
            <w:noWrap w:val="0"/>
            <w:textDirection w:val="tbRlV"/>
            <w:vAlign w:val="center"/>
          </w:tcPr>
          <w:p w14:paraId="3FAFAB0D">
            <w:pPr>
              <w:ind w:left="113" w:right="113"/>
              <w:rPr>
                <w:rFonts w:hint="eastAsia"/>
                <w:sz w:val="18"/>
              </w:rPr>
            </w:pPr>
          </w:p>
        </w:tc>
        <w:tc>
          <w:tcPr>
            <w:tcW w:w="9180" w:type="dxa"/>
            <w:gridSpan w:val="6"/>
            <w:tcBorders>
              <w:bottom w:val="single" w:color="auto" w:sz="12" w:space="0"/>
              <w:right w:val="single" w:color="auto" w:sz="12" w:space="0"/>
            </w:tcBorders>
            <w:noWrap w:val="0"/>
            <w:vAlign w:val="top"/>
          </w:tcPr>
          <w:p w14:paraId="598319E7">
            <w:pPr>
              <w:rPr>
                <w:rFonts w:hint="eastAsia"/>
                <w:b/>
                <w:szCs w:val="21"/>
              </w:rPr>
            </w:pPr>
            <w:r>
              <w:rPr>
                <w:rFonts w:hint="eastAsia"/>
                <w:b/>
                <w:szCs w:val="21"/>
              </w:rPr>
              <w:t>评审意见：</w:t>
            </w:r>
            <w:r>
              <w:rPr>
                <w:rFonts w:hint="eastAsia"/>
                <w:szCs w:val="21"/>
              </w:rPr>
              <w:t>（</w:t>
            </w:r>
            <w:r>
              <w:rPr>
                <w:rFonts w:hint="eastAsia" w:ascii="楷体_GB2312" w:eastAsia="楷体_GB2312"/>
                <w:szCs w:val="21"/>
              </w:rPr>
              <w:t>由评审专家组填写</w:t>
            </w:r>
            <w:r>
              <w:rPr>
                <w:rFonts w:hint="eastAsia"/>
                <w:szCs w:val="21"/>
              </w:rPr>
              <w:t>）</w:t>
            </w:r>
          </w:p>
          <w:p w14:paraId="5F8D3D37">
            <w:pPr>
              <w:ind w:left="360"/>
              <w:rPr>
                <w:rFonts w:hint="eastAsia"/>
                <w:b/>
                <w:szCs w:val="21"/>
              </w:rPr>
            </w:pPr>
            <w:r>
              <w:rPr>
                <w:rFonts w:hint="eastAsia"/>
                <w:b/>
                <w:szCs w:val="21"/>
              </w:rPr>
              <w:t>（正常）通过；</w:t>
            </w:r>
          </w:p>
          <w:p w14:paraId="5CA1BBBE">
            <w:pPr>
              <w:ind w:left="360"/>
              <w:rPr>
                <w:rFonts w:hint="eastAsia"/>
                <w:b/>
                <w:szCs w:val="21"/>
              </w:rPr>
            </w:pPr>
            <w:r>
              <w:rPr>
                <w:rFonts w:hint="eastAsia"/>
                <w:b/>
                <w:szCs w:val="21"/>
              </w:rPr>
              <w:t>不合格，   前重做开题报告。</w:t>
            </w:r>
          </w:p>
          <w:p w14:paraId="75F544B9">
            <w:pPr>
              <w:rPr>
                <w:rFonts w:hint="eastAsia"/>
                <w:b/>
                <w:szCs w:val="21"/>
              </w:rPr>
            </w:pPr>
            <w:r>
              <w:rPr>
                <w:rFonts w:hint="eastAsia"/>
                <w:b/>
                <w:szCs w:val="21"/>
              </w:rPr>
              <w:t xml:space="preserve">其它评语： </w:t>
            </w:r>
          </w:p>
          <w:p w14:paraId="34FF3CFA">
            <w:pPr>
              <w:rPr>
                <w:rFonts w:hint="eastAsia" w:ascii="宋体" w:hAnsi="宋体"/>
                <w:b/>
                <w:szCs w:val="21"/>
              </w:rPr>
            </w:pPr>
          </w:p>
          <w:p w14:paraId="07811479">
            <w:pPr>
              <w:ind w:firstLine="4337"/>
              <w:jc w:val="left"/>
              <w:rPr>
                <w:rFonts w:hint="eastAsia"/>
                <w:b/>
                <w:sz w:val="18"/>
              </w:rPr>
            </w:pPr>
          </w:p>
          <w:p w14:paraId="0BD9F89E">
            <w:pPr>
              <w:ind w:firstLine="4337"/>
              <w:jc w:val="left"/>
              <w:rPr>
                <w:rFonts w:hint="eastAsia"/>
                <w:b/>
                <w:sz w:val="18"/>
              </w:rPr>
            </w:pPr>
          </w:p>
          <w:p w14:paraId="0337B4E0">
            <w:pPr>
              <w:ind w:firstLine="4337"/>
              <w:rPr>
                <w:rFonts w:hint="eastAsia"/>
                <w:b/>
                <w:sz w:val="18"/>
              </w:rPr>
            </w:pPr>
          </w:p>
          <w:p w14:paraId="6C750998">
            <w:pPr>
              <w:ind w:firstLine="4337"/>
              <w:rPr>
                <w:rFonts w:hint="eastAsia"/>
                <w:b/>
                <w:sz w:val="18"/>
              </w:rPr>
            </w:pPr>
            <w:r>
              <w:rPr>
                <w:rFonts w:hint="eastAsia"/>
                <w:b/>
                <w:sz w:val="18"/>
              </w:rPr>
              <w:t>评审组长签名：                    年    月   日</w:t>
            </w:r>
          </w:p>
        </w:tc>
      </w:tr>
    </w:tbl>
    <w:p w14:paraId="6876C6AB">
      <w:r>
        <w:rPr>
          <w:rFonts w:hint="eastAsia"/>
          <w:sz w:val="18"/>
        </w:rPr>
        <w:t xml:space="preserve"> </w:t>
      </w:r>
    </w:p>
    <w:sectPr>
      <w:footerReference r:id="rId3" w:type="default"/>
      <w:footerReference r:id="rId4" w:type="even"/>
      <w:pgSz w:w="11906" w:h="16838"/>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汉仪书宋二KW"/>
    <w:panose1 w:val="02010600040101010101"/>
    <w:charset w:val="00"/>
    <w:family w:val="auto"/>
    <w:pitch w:val="default"/>
    <w:sig w:usb0="00000000" w:usb1="00000000" w:usb2="00000010" w:usb3="00000000" w:csb0="0004009F" w:csb1="00000000"/>
  </w:font>
  <w:font w:name="华文仿宋">
    <w:panose1 w:val="02010600040101010101"/>
    <w:charset w:val="86"/>
    <w:family w:val="auto"/>
    <w:pitch w:val="default"/>
    <w:sig w:usb0="00000287" w:usb1="080F0000" w:usb2="00000000" w:usb3="00000000" w:csb0="0004009F" w:csb1="DFD70000"/>
  </w:font>
  <w:font w:name="等线">
    <w:altName w:val="汉仪中等线KW"/>
    <w:panose1 w:val="02010600030101010101"/>
    <w:charset w:val="00"/>
    <w:family w:val="auto"/>
    <w:pitch w:val="default"/>
    <w:sig w:usb0="00000000" w:usb1="00000000" w:usb2="00000016" w:usb3="00000000" w:csb0="0004000F" w:csb1="00000000"/>
  </w:font>
  <w:font w:name="华文宋体">
    <w:panose1 w:val="02010600040101010101"/>
    <w:charset w:val="86"/>
    <w:family w:val="auto"/>
    <w:pitch w:val="default"/>
    <w:sig w:usb0="80000287" w:usb1="280F3C52" w:usb2="00000016" w:usb3="00000000" w:csb0="0004001F" w:csb1="00000000"/>
  </w:font>
  <w:font w:name="楷体_GB2312">
    <w:altName w:val="汉仪楷体简"/>
    <w:panose1 w:val="02010609030101010101"/>
    <w:charset w:val="00"/>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F6B79">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F5238">
    <w:pPr>
      <w:pStyle w:val="3"/>
      <w:framePr w:wrap="around" w:vAnchor="text" w:hAnchor="margin" w:xAlign="right" w:y="1"/>
      <w:rPr>
        <w:rStyle w:val="8"/>
      </w:rPr>
    </w:pPr>
    <w:r>
      <w:fldChar w:fldCharType="begin"/>
    </w:r>
    <w:r>
      <w:rPr>
        <w:rStyle w:val="8"/>
      </w:rPr>
      <w:instrText xml:space="preserve">PAGE  </w:instrText>
    </w:r>
    <w:r>
      <w:fldChar w:fldCharType="separate"/>
    </w:r>
    <w:r>
      <w:fldChar w:fldCharType="end"/>
    </w:r>
  </w:p>
  <w:p w14:paraId="216C8092">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22542"/>
    <w:multiLevelType w:val="multilevel"/>
    <w:tmpl w:val="0D022542"/>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335"/>
    <w:rsid w:val="000F6FE3"/>
    <w:rsid w:val="006122B7"/>
    <w:rsid w:val="006250D0"/>
    <w:rsid w:val="007D5D01"/>
    <w:rsid w:val="0094771D"/>
    <w:rsid w:val="00C96C55"/>
    <w:rsid w:val="00D94408"/>
    <w:rsid w:val="00EC40B4"/>
    <w:rsid w:val="1F8568D9"/>
    <w:rsid w:val="37F784C7"/>
    <w:rsid w:val="3916629D"/>
    <w:rsid w:val="39FCA4DF"/>
    <w:rsid w:val="3B3FB386"/>
    <w:rsid w:val="45470B7B"/>
    <w:rsid w:val="47633879"/>
    <w:rsid w:val="5C276DCA"/>
    <w:rsid w:val="5D7FEC4F"/>
    <w:rsid w:val="67D310AF"/>
    <w:rsid w:val="6EFD5F95"/>
    <w:rsid w:val="6FFB253F"/>
    <w:rsid w:val="79EFDACA"/>
    <w:rsid w:val="7BEA6E41"/>
    <w:rsid w:val="7BEFCBCE"/>
    <w:rsid w:val="7FFF5B23"/>
    <w:rsid w:val="BDFB8C38"/>
    <w:rsid w:val="CFD77810"/>
    <w:rsid w:val="D4D32753"/>
    <w:rsid w:val="EFAF0035"/>
    <w:rsid w:val="EFB2A53E"/>
    <w:rsid w:val="F7EFFBA3"/>
    <w:rsid w:val="FA6BCDEE"/>
    <w:rsid w:val="FD29CF17"/>
    <w:rsid w:val="FD8F648F"/>
    <w:rsid w:val="FFDB53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眉 字符"/>
    <w:link w:val="4"/>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16</Pages>
  <Words>12719</Words>
  <Characters>19409</Characters>
  <Lines>135</Lines>
  <Paragraphs>38</Paragraphs>
  <TotalTime>1118</TotalTime>
  <ScaleCrop>false</ScaleCrop>
  <LinksUpToDate>false</LinksUpToDate>
  <CharactersWithSpaces>20705</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2005-12-15T21:44:00Z</dcterms:created>
  <dc:creator>MC SYSTEM</dc:creator>
  <cp:lastModifiedBy>ian</cp:lastModifiedBy>
  <cp:lastPrinted>2023-12-22T22:06:00Z</cp:lastPrinted>
  <dcterms:modified xsi:type="dcterms:W3CDTF">2025-12-17T11:58:03Z</dcterms:modified>
  <dc:title>北京工业大学研究生开题报告</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CE790D4F4D2B0C15BC353E69A1CFDDAB_43</vt:lpwstr>
  </property>
  <property fmtid="{D5CDD505-2E9C-101B-9397-08002B2CF9AE}" pid="4" name="KSOTemplateDocerSaveRecord">
    <vt:lpwstr>eyJoZGlkIjoiMzkwMTBjZTRmMmYwNTFlYzU2MDA1ZDNjYjcwYzc0NDEiLCJ1c2VySWQiOiI0NTk4NDY3NTYifQ==</vt:lpwstr>
  </property>
</Properties>
</file>