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253E4">
      <w:pPr>
        <w:spacing w:line="276" w:lineRule="auto"/>
        <w:jc w:val="center"/>
        <w:rPr>
          <w:rFonts w:ascii="Times New Roman" w:hAnsi="Times New Roman" w:eastAsia="宋体" w:cs="Times New Roman"/>
          <w:b/>
          <w:bCs/>
          <w:sz w:val="32"/>
          <w:szCs w:val="40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40"/>
        </w:rPr>
        <w:t>基于脉搏波和深度学习的心理压力评估方法研究</w:t>
      </w:r>
    </w:p>
    <w:p w14:paraId="0F9C4FC3">
      <w:pPr>
        <w:spacing w:line="276" w:lineRule="auto"/>
        <w:jc w:val="both"/>
        <w:rPr>
          <w:rFonts w:hint="eastAsia" w:ascii="Times New Roman" w:hAnsi="Times New Roman" w:eastAsia="宋体" w:cs="Times New Roman"/>
          <w:b/>
          <w:bCs/>
          <w:sz w:val="32"/>
          <w:szCs w:val="40"/>
          <w:lang w:eastAsia="zh-CN"/>
        </w:rPr>
      </w:pPr>
    </w:p>
    <w:p w14:paraId="6C44D556">
      <w:pPr>
        <w:pStyle w:val="6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总框架图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br w:type="textWrapping"/>
      </w:r>
      <w:r>
        <w:rPr>
          <w:rFonts w:ascii="Times New Roman" w:hAnsi="Times New Roman" w:eastAsia="宋体" w:cs="Times New Roman"/>
          <w:b/>
          <w:bCs/>
          <w:szCs w:val="21"/>
        </w:rPr>
        <w:br w:type="textWrapping"/>
      </w:r>
      <w:r>
        <w:rPr>
          <w:rFonts w:hint="eastAsia" w:ascii="Times New Roman" w:hAnsi="Times New Roman" w:eastAsia="宋体" w:cs="Times New Roman"/>
          <w:b/>
          <w:bCs/>
          <w:sz w:val="32"/>
          <w:szCs w:val="40"/>
          <w:lang w:eastAsia="zh-CN"/>
        </w:rPr>
        <w:drawing>
          <wp:inline distT="0" distB="0" distL="114300" distR="114300">
            <wp:extent cx="5268595" cy="1911350"/>
            <wp:effectExtent l="0" t="0" r="14605" b="19050"/>
            <wp:docPr id="3" name="图片 3" descr="流程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流程图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56EB">
      <w:pPr>
        <w:pStyle w:val="6"/>
        <w:numPr>
          <w:ilvl w:val="0"/>
          <w:numId w:val="1"/>
        </w:numPr>
        <w:spacing w:line="276" w:lineRule="auto"/>
        <w:ind w:firstLineChars="0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当前进度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br w:type="textWrapping"/>
      </w:r>
    </w:p>
    <w:tbl>
      <w:tblPr>
        <w:tblStyle w:val="7"/>
        <w:tblW w:w="492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755"/>
        <w:gridCol w:w="3513"/>
      </w:tblGrid>
      <w:tr w14:paraId="7BF797C5">
        <w:trPr>
          <w:trHeight w:val="340" w:hRule="atLeast"/>
          <w:jc w:val="center"/>
        </w:trPr>
        <w:tc>
          <w:tcPr>
            <w:tcW w:w="1268" w:type="pct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73B3B9C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核心模块</w:t>
            </w:r>
          </w:p>
        </w:tc>
        <w:tc>
          <w:tcPr>
            <w:tcW w:w="1640" w:type="pct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55AA80A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设计要点</w:t>
            </w:r>
          </w:p>
        </w:tc>
        <w:tc>
          <w:tcPr>
            <w:tcW w:w="2091" w:type="pct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60B665D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当前实现状态</w:t>
            </w:r>
          </w:p>
        </w:tc>
      </w:tr>
      <w:tr w14:paraId="4AD54F3B">
        <w:trPr>
          <w:trHeight w:val="340" w:hRule="atLeast"/>
          <w:jc w:val="center"/>
        </w:trPr>
        <w:tc>
          <w:tcPr>
            <w:tcW w:w="12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FB852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PPG-Former</w:t>
            </w:r>
          </w:p>
        </w:tc>
        <w:tc>
          <w:tcPr>
            <w:tcW w:w="164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14BC7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生理周期位置编码、多尺度时频融合、压力感知门控</w:t>
            </w:r>
          </w:p>
        </w:tc>
        <w:tc>
          <w:tcPr>
            <w:tcW w:w="209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0B029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已完成 (代码实现+单流调参+消融实验)</w:t>
            </w:r>
          </w:p>
        </w:tc>
      </w:tr>
      <w:tr w14:paraId="6EFDB356">
        <w:trPr>
          <w:trHeight w:val="340" w:hRule="atLeast"/>
          <w:jc w:val="center"/>
        </w:trPr>
        <w:tc>
          <w:tcPr>
            <w:tcW w:w="12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03FA6B">
            <w:pPr>
              <w:spacing w:line="288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PRV-Encoder</w:t>
            </w:r>
          </w:p>
        </w:tc>
        <w:tc>
          <w:tcPr>
            <w:tcW w:w="164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72C7C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轻量级 CNN-Transformer 混合编码器</w:t>
            </w:r>
          </w:p>
        </w:tc>
        <w:tc>
          <w:tcPr>
            <w:tcW w:w="209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3394F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已完成 (代码实现+单流调参+五折实验)</w:t>
            </w:r>
          </w:p>
        </w:tc>
      </w:tr>
      <w:tr w14:paraId="3E5CC458">
        <w:trPr>
          <w:trHeight w:val="340" w:hRule="atLeast"/>
          <w:jc w:val="center"/>
        </w:trPr>
        <w:tc>
          <w:tcPr>
            <w:tcW w:w="12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42F832">
            <w:pPr>
              <w:spacing w:line="288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Dual-Stream</w:t>
            </w:r>
          </w:p>
        </w:tc>
        <w:tc>
          <w:tcPr>
            <w:tcW w:w="164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F431E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跨模态注意力交互 、自适应权重融合</w:t>
            </w:r>
          </w:p>
        </w:tc>
        <w:tc>
          <w:tcPr>
            <w:tcW w:w="209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9559D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已完成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(代码实现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+消融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实验)</w:t>
            </w:r>
          </w:p>
        </w:tc>
      </w:tr>
      <w:tr w14:paraId="28FF52CF">
        <w:trPr>
          <w:trHeight w:val="340" w:hRule="atLeast"/>
          <w:jc w:val="center"/>
        </w:trPr>
        <w:tc>
          <w:tcPr>
            <w:tcW w:w="12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CA3B88">
            <w:pPr>
              <w:spacing w:line="288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Multi-Task Head</w:t>
            </w:r>
          </w:p>
        </w:tc>
        <w:tc>
          <w:tcPr>
            <w:tcW w:w="164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71B77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基于同方差不确定性的损失加权回归与分类</w:t>
            </w:r>
          </w:p>
        </w:tc>
        <w:tc>
          <w:tcPr>
            <w:tcW w:w="209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B68F8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已完成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(代码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实现+消融实验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3B3BEC49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/>
          <w:bCs/>
          <w:szCs w:val="21"/>
        </w:rPr>
      </w:pPr>
    </w:p>
    <w:p w14:paraId="746D8FA0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Baseline-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CNN+BiLSTM</w:t>
      </w:r>
      <w:r>
        <w:rPr>
          <w:rFonts w:ascii="Times New Roman" w:hAnsi="Times New Roman" w:eastAsia="宋体" w:cs="Times New Roman"/>
          <w:b/>
          <w:bCs/>
          <w:szCs w:val="21"/>
        </w:rPr>
        <w:t>——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五种情绪脉搏波、脉率变异性</w:t>
      </w:r>
      <w:r>
        <w:rPr>
          <w:rFonts w:ascii="Times New Roman" w:hAnsi="Times New Roman" w:eastAsia="宋体" w:cs="Times New Roman"/>
          <w:b/>
          <w:bCs/>
          <w:szCs w:val="21"/>
        </w:rPr>
        <w:t>数据</w:t>
      </w:r>
      <w:r>
        <w:rPr>
          <w:rFonts w:ascii="Times New Roman" w:hAnsi="Times New Roman" w:eastAsia="宋体" w:cs="Times New Roman"/>
          <w:b/>
          <w:bCs/>
          <w:szCs w:val="21"/>
        </w:rPr>
        <w:br w:type="textWrapping"/>
      </w:r>
    </w:p>
    <w:p w14:paraId="6A780DD5">
      <w:pPr>
        <w:pStyle w:val="6"/>
        <w:numPr>
          <w:ilvl w:val="0"/>
          <w:numId w:val="0"/>
        </w:numPr>
        <w:spacing w:line="276" w:lineRule="auto"/>
        <w:ind w:leftChars="0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1.1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不同情绪信号及情绪信号融合的实验结果 (均值±标准差)</w:t>
      </w:r>
    </w:p>
    <w:tbl>
      <w:tblPr>
        <w:tblStyle w:val="7"/>
        <w:tblW w:w="512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164"/>
        <w:gridCol w:w="1163"/>
        <w:gridCol w:w="1309"/>
        <w:gridCol w:w="1164"/>
        <w:gridCol w:w="1154"/>
        <w:gridCol w:w="1176"/>
      </w:tblGrid>
      <w:tr w14:paraId="03F803CD">
        <w:trPr>
          <w:trHeight w:val="340" w:hRule="atLeast"/>
          <w:jc w:val="center"/>
        </w:trPr>
        <w:tc>
          <w:tcPr>
            <w:tcW w:w="915" w:type="pct"/>
            <w:tcBorders>
              <w:top w:val="single" w:color="auto" w:sz="6" w:space="0"/>
            </w:tcBorders>
            <w:vAlign w:val="center"/>
          </w:tcPr>
          <w:p w14:paraId="2C58800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3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5A3473F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PPG</w:t>
            </w:r>
          </w:p>
        </w:tc>
        <w:tc>
          <w:tcPr>
            <w:tcW w:w="1417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1D76280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dPPG</w:t>
            </w:r>
          </w:p>
        </w:tc>
        <w:tc>
          <w:tcPr>
            <w:tcW w:w="1334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3745987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PRV</w:t>
            </w:r>
          </w:p>
        </w:tc>
      </w:tr>
      <w:tr w14:paraId="4D22366E">
        <w:trPr>
          <w:trHeight w:val="340" w:hRule="atLeast"/>
          <w:jc w:val="center"/>
        </w:trPr>
        <w:tc>
          <w:tcPr>
            <w:tcW w:w="915" w:type="pct"/>
            <w:tcBorders>
              <w:bottom w:val="single" w:color="auto" w:sz="4" w:space="0"/>
            </w:tcBorders>
            <w:vAlign w:val="center"/>
          </w:tcPr>
          <w:p w14:paraId="5CB683C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</w:t>
            </w:r>
          </w:p>
        </w:tc>
        <w:tc>
          <w:tcPr>
            <w:tcW w:w="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EA148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6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22517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75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CE3D2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0C83F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66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7E567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7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C9071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</w:tr>
      <w:tr w14:paraId="30AE550B">
        <w:trPr>
          <w:trHeight w:val="340" w:hRule="atLeast"/>
          <w:jc w:val="center"/>
        </w:trPr>
        <w:tc>
          <w:tcPr>
            <w:tcW w:w="915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48EE67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ear</w:t>
            </w:r>
          </w:p>
        </w:tc>
        <w:tc>
          <w:tcPr>
            <w:tcW w:w="667" w:type="pct"/>
            <w:tcBorders>
              <w:top w:val="single" w:color="auto" w:sz="4" w:space="0"/>
            </w:tcBorders>
            <w:vAlign w:val="center"/>
          </w:tcPr>
          <w:p w14:paraId="692C282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0.37</w:t>
            </w:r>
          </w:p>
        </w:tc>
        <w:tc>
          <w:tcPr>
            <w:tcW w:w="666" w:type="pct"/>
            <w:tcBorders>
              <w:top w:val="single" w:color="auto" w:sz="4" w:space="0"/>
            </w:tcBorders>
            <w:vAlign w:val="center"/>
          </w:tcPr>
          <w:p w14:paraId="5E0DB14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6.57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0.31</w:t>
            </w:r>
          </w:p>
        </w:tc>
        <w:tc>
          <w:tcPr>
            <w:tcW w:w="750" w:type="pct"/>
            <w:tcBorders>
              <w:top w:val="single" w:color="auto" w:sz="4" w:space="0"/>
            </w:tcBorders>
            <w:vAlign w:val="center"/>
          </w:tcPr>
          <w:p w14:paraId="096B146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4.88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0.38</w:t>
            </w:r>
          </w:p>
        </w:tc>
        <w:tc>
          <w:tcPr>
            <w:tcW w:w="667" w:type="pct"/>
            <w:tcBorders>
              <w:top w:val="single" w:color="auto" w:sz="4" w:space="0"/>
            </w:tcBorders>
            <w:vAlign w:val="center"/>
          </w:tcPr>
          <w:p w14:paraId="6BF9B07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0.43</w:t>
            </w:r>
          </w:p>
        </w:tc>
        <w:tc>
          <w:tcPr>
            <w:tcW w:w="661" w:type="pct"/>
            <w:tcBorders>
              <w:top w:val="single" w:color="auto" w:sz="4" w:space="0"/>
            </w:tcBorders>
            <w:vAlign w:val="center"/>
          </w:tcPr>
          <w:p w14:paraId="518033F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4.59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0.41</w:t>
            </w:r>
          </w:p>
        </w:tc>
        <w:tc>
          <w:tcPr>
            <w:tcW w:w="673" w:type="pct"/>
            <w:tcBorders>
              <w:top w:val="single" w:color="auto" w:sz="4" w:space="0"/>
            </w:tcBorders>
            <w:vAlign w:val="center"/>
          </w:tcPr>
          <w:p w14:paraId="3E57283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</w:tr>
      <w:tr w14:paraId="0509F522">
        <w:trPr>
          <w:trHeight w:val="340" w:hRule="atLeast"/>
          <w:jc w:val="center"/>
        </w:trPr>
        <w:tc>
          <w:tcPr>
            <w:tcW w:w="915" w:type="pct"/>
            <w:shd w:val="clear" w:color="auto" w:fill="auto"/>
            <w:vAlign w:val="center"/>
          </w:tcPr>
          <w:p w14:paraId="2B014E0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ension</w:t>
            </w:r>
          </w:p>
        </w:tc>
        <w:tc>
          <w:tcPr>
            <w:tcW w:w="667" w:type="pct"/>
            <w:vAlign w:val="center"/>
          </w:tcPr>
          <w:p w14:paraId="6C1B43D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0.35</w:t>
            </w:r>
          </w:p>
        </w:tc>
        <w:tc>
          <w:tcPr>
            <w:tcW w:w="666" w:type="pct"/>
            <w:vAlign w:val="center"/>
          </w:tcPr>
          <w:p w14:paraId="6D07C05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6.61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0.45</w:t>
            </w:r>
          </w:p>
        </w:tc>
        <w:tc>
          <w:tcPr>
            <w:tcW w:w="750" w:type="pct"/>
            <w:vAlign w:val="center"/>
          </w:tcPr>
          <w:p w14:paraId="607D0D9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4.90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0.30</w:t>
            </w:r>
          </w:p>
        </w:tc>
        <w:tc>
          <w:tcPr>
            <w:tcW w:w="667" w:type="pct"/>
            <w:vAlign w:val="center"/>
          </w:tcPr>
          <w:p w14:paraId="387FDD4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0.31</w:t>
            </w:r>
          </w:p>
        </w:tc>
        <w:tc>
          <w:tcPr>
            <w:tcW w:w="661" w:type="pct"/>
            <w:vAlign w:val="center"/>
          </w:tcPr>
          <w:p w14:paraId="771E9C3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4.66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0.35</w:t>
            </w:r>
          </w:p>
        </w:tc>
        <w:tc>
          <w:tcPr>
            <w:tcW w:w="673" w:type="pct"/>
            <w:vAlign w:val="center"/>
          </w:tcPr>
          <w:p w14:paraId="6C5B48E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0.38</w:t>
            </w:r>
          </w:p>
        </w:tc>
      </w:tr>
      <w:tr w14:paraId="71699813">
        <w:trPr>
          <w:trHeight w:val="340" w:hRule="atLeast"/>
          <w:jc w:val="center"/>
        </w:trPr>
        <w:tc>
          <w:tcPr>
            <w:tcW w:w="915" w:type="pct"/>
            <w:shd w:val="clear" w:color="auto" w:fill="auto"/>
            <w:vAlign w:val="center"/>
          </w:tcPr>
          <w:p w14:paraId="6A0DDA0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adness</w:t>
            </w:r>
          </w:p>
        </w:tc>
        <w:tc>
          <w:tcPr>
            <w:tcW w:w="667" w:type="pct"/>
            <w:vAlign w:val="center"/>
          </w:tcPr>
          <w:p w14:paraId="30719BE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5.75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0.37</w:t>
            </w:r>
          </w:p>
        </w:tc>
        <w:tc>
          <w:tcPr>
            <w:tcW w:w="666" w:type="pct"/>
            <w:tcBorders>
              <w:top w:val="single" w:color="FFFFFF" w:themeColor="background1" w:sz="4" w:space="0"/>
            </w:tcBorders>
            <w:vAlign w:val="center"/>
          </w:tcPr>
          <w:p w14:paraId="1177B01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6.69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0.41</w:t>
            </w:r>
          </w:p>
        </w:tc>
        <w:tc>
          <w:tcPr>
            <w:tcW w:w="750" w:type="pct"/>
            <w:tcBorders>
              <w:top w:val="single" w:color="FFFFFF" w:themeColor="background1" w:sz="4" w:space="0"/>
            </w:tcBorders>
            <w:vAlign w:val="center"/>
          </w:tcPr>
          <w:p w14:paraId="3615E4B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4.96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  <w:tc>
          <w:tcPr>
            <w:tcW w:w="667" w:type="pct"/>
            <w:tcBorders>
              <w:top w:val="single" w:color="FFFFFF" w:themeColor="background1" w:sz="4" w:space="0"/>
            </w:tcBorders>
            <w:vAlign w:val="center"/>
          </w:tcPr>
          <w:p w14:paraId="00F444C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  <w:tc>
          <w:tcPr>
            <w:tcW w:w="661" w:type="pct"/>
            <w:tcBorders>
              <w:top w:val="single" w:color="FFFFFF" w:themeColor="background1" w:sz="4" w:space="0"/>
            </w:tcBorders>
            <w:vAlign w:val="center"/>
          </w:tcPr>
          <w:p w14:paraId="480E494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4.69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0.28</w:t>
            </w:r>
          </w:p>
        </w:tc>
        <w:tc>
          <w:tcPr>
            <w:tcW w:w="673" w:type="pct"/>
            <w:tcBorders>
              <w:top w:val="single" w:color="FFFFFF" w:themeColor="background1" w:sz="4" w:space="0"/>
            </w:tcBorders>
            <w:vAlign w:val="center"/>
          </w:tcPr>
          <w:p w14:paraId="671D7DA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0.36</w:t>
            </w:r>
          </w:p>
        </w:tc>
      </w:tr>
      <w:tr w14:paraId="274A6B06">
        <w:trPr>
          <w:trHeight w:val="340" w:hRule="atLeast"/>
          <w:jc w:val="center"/>
        </w:trPr>
        <w:tc>
          <w:tcPr>
            <w:tcW w:w="915" w:type="pct"/>
            <w:shd w:val="clear" w:color="auto" w:fill="auto"/>
            <w:vAlign w:val="center"/>
          </w:tcPr>
          <w:p w14:paraId="7AFC042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appiness</w:t>
            </w:r>
          </w:p>
        </w:tc>
        <w:tc>
          <w:tcPr>
            <w:tcW w:w="667" w:type="pct"/>
            <w:vAlign w:val="center"/>
          </w:tcPr>
          <w:p w14:paraId="3137C10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5.83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0.53</w:t>
            </w:r>
          </w:p>
        </w:tc>
        <w:tc>
          <w:tcPr>
            <w:tcW w:w="666" w:type="pct"/>
            <w:vAlign w:val="center"/>
          </w:tcPr>
          <w:p w14:paraId="42F41AC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6.85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0.55</w:t>
            </w:r>
          </w:p>
        </w:tc>
        <w:tc>
          <w:tcPr>
            <w:tcW w:w="750" w:type="pct"/>
            <w:vAlign w:val="center"/>
          </w:tcPr>
          <w:p w14:paraId="260DA23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4.98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0.35</w:t>
            </w:r>
          </w:p>
        </w:tc>
        <w:tc>
          <w:tcPr>
            <w:tcW w:w="667" w:type="pct"/>
            <w:vAlign w:val="center"/>
          </w:tcPr>
          <w:p w14:paraId="7414672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0.41</w:t>
            </w:r>
          </w:p>
        </w:tc>
        <w:tc>
          <w:tcPr>
            <w:tcW w:w="661" w:type="pct"/>
            <w:vAlign w:val="center"/>
          </w:tcPr>
          <w:p w14:paraId="1F5CD13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4.70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0.38</w:t>
            </w:r>
          </w:p>
        </w:tc>
        <w:tc>
          <w:tcPr>
            <w:tcW w:w="673" w:type="pct"/>
            <w:vAlign w:val="center"/>
          </w:tcPr>
          <w:p w14:paraId="46D2FD4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0.51</w:t>
            </w:r>
          </w:p>
        </w:tc>
      </w:tr>
      <w:tr w14:paraId="7A1FB0C3">
        <w:trPr>
          <w:trHeight w:val="340" w:hRule="atLeast"/>
          <w:jc w:val="center"/>
        </w:trPr>
        <w:tc>
          <w:tcPr>
            <w:tcW w:w="915" w:type="pct"/>
            <w:shd w:val="clear" w:color="auto" w:fill="auto"/>
            <w:vAlign w:val="center"/>
          </w:tcPr>
          <w:p w14:paraId="6CF898C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alm</w:t>
            </w:r>
          </w:p>
        </w:tc>
        <w:tc>
          <w:tcPr>
            <w:tcW w:w="667" w:type="pct"/>
            <w:vAlign w:val="center"/>
          </w:tcPr>
          <w:p w14:paraId="180ABF3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0.41</w:t>
            </w:r>
          </w:p>
        </w:tc>
        <w:tc>
          <w:tcPr>
            <w:tcW w:w="666" w:type="pct"/>
            <w:vAlign w:val="center"/>
          </w:tcPr>
          <w:p w14:paraId="6F56C3F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7.00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0.46</w:t>
            </w:r>
          </w:p>
        </w:tc>
        <w:tc>
          <w:tcPr>
            <w:tcW w:w="750" w:type="pct"/>
            <w:vAlign w:val="center"/>
          </w:tcPr>
          <w:p w14:paraId="4289BB32">
            <w:pPr>
              <w:spacing w:line="312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5.01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  <w:tc>
          <w:tcPr>
            <w:tcW w:w="667" w:type="pct"/>
            <w:vAlign w:val="center"/>
          </w:tcPr>
          <w:p w14:paraId="38DF376B">
            <w:pPr>
              <w:spacing w:line="312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  <w:tc>
          <w:tcPr>
            <w:tcW w:w="661" w:type="pct"/>
            <w:vAlign w:val="center"/>
          </w:tcPr>
          <w:p w14:paraId="3A180067">
            <w:pPr>
              <w:spacing w:line="312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4.82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0.22</w:t>
            </w:r>
          </w:p>
        </w:tc>
        <w:tc>
          <w:tcPr>
            <w:tcW w:w="673" w:type="pct"/>
            <w:vAlign w:val="center"/>
          </w:tcPr>
          <w:p w14:paraId="45D43C72">
            <w:pPr>
              <w:spacing w:line="312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5.78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0.21</w:t>
            </w:r>
          </w:p>
        </w:tc>
      </w:tr>
      <w:tr w14:paraId="7BEF3A6F">
        <w:trPr>
          <w:trHeight w:val="340" w:hRule="atLeast"/>
          <w:jc w:val="center"/>
        </w:trPr>
        <w:tc>
          <w:tcPr>
            <w:tcW w:w="915" w:type="pct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2CCD106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Emotional fusion</w:t>
            </w:r>
          </w:p>
        </w:tc>
        <w:tc>
          <w:tcPr>
            <w:tcW w:w="667" w:type="pct"/>
            <w:tcBorders>
              <w:bottom w:val="single" w:color="auto" w:sz="6" w:space="0"/>
            </w:tcBorders>
            <w:vAlign w:val="center"/>
          </w:tcPr>
          <w:p w14:paraId="51FAA75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5.41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0.24</w:t>
            </w:r>
          </w:p>
        </w:tc>
        <w:tc>
          <w:tcPr>
            <w:tcW w:w="666" w:type="pct"/>
            <w:tcBorders>
              <w:bottom w:val="single" w:color="auto" w:sz="6" w:space="0"/>
            </w:tcBorders>
            <w:vAlign w:val="center"/>
          </w:tcPr>
          <w:p w14:paraId="17F38F3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6.53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0.42</w:t>
            </w:r>
          </w:p>
        </w:tc>
        <w:tc>
          <w:tcPr>
            <w:tcW w:w="750" w:type="pct"/>
            <w:tcBorders>
              <w:bottom w:val="single" w:color="auto" w:sz="6" w:space="0"/>
            </w:tcBorders>
            <w:vAlign w:val="center"/>
          </w:tcPr>
          <w:p w14:paraId="701A15A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4.86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0.20</w:t>
            </w:r>
          </w:p>
        </w:tc>
        <w:tc>
          <w:tcPr>
            <w:tcW w:w="667" w:type="pct"/>
            <w:tcBorders>
              <w:bottom w:val="single" w:color="auto" w:sz="6" w:space="0"/>
            </w:tcBorders>
            <w:vAlign w:val="center"/>
          </w:tcPr>
          <w:p w14:paraId="33BEBAB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5.60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0.20</w:t>
            </w:r>
          </w:p>
        </w:tc>
        <w:tc>
          <w:tcPr>
            <w:tcW w:w="661" w:type="pct"/>
            <w:tcBorders>
              <w:bottom w:val="single" w:color="auto" w:sz="6" w:space="0"/>
            </w:tcBorders>
            <w:vAlign w:val="center"/>
          </w:tcPr>
          <w:p w14:paraId="1DF614C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4.56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0.24</w:t>
            </w:r>
          </w:p>
        </w:tc>
        <w:tc>
          <w:tcPr>
            <w:tcW w:w="673" w:type="pct"/>
            <w:tcBorders>
              <w:bottom w:val="single" w:color="auto" w:sz="6" w:space="0"/>
            </w:tcBorders>
            <w:vAlign w:val="center"/>
          </w:tcPr>
          <w:p w14:paraId="04884C99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5.41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0.27</w:t>
            </w:r>
          </w:p>
        </w:tc>
      </w:tr>
    </w:tbl>
    <w:p w14:paraId="5779E9A8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结果说明：表1.1反映出原始 PPG、差分 PPG（dPPG）和 PRV 三类输入在压力预测中的差异。整体上，dPPG 和 PRV 的 MAE、RMSE 均低于原始 PPG，说明简单 CNN+BiLSTM 基线更容易从变化率特征和脉率变异性特征中获得稳定信息；而原始 PPG 包含更多波形细节，也更容易受到个体差异、幅值漂移和运动噪声影响。</w:t>
      </w:r>
    </w:p>
    <w:p w14:paraId="12AA117E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从五种情绪分别建模与情绪融合结果看，融合情绪数据后的误差整体下降，尤其是 PRV 的 MAE 从各单情绪约 4.59-4.82 降至 4.56，dPPG 的 RMSE 降至 5.60。这表明不同情绪条件下的生理变化存在共享模式，联合训练可以扩大样本规模并提升模型对共性压力表征的学习能力，也为后续多任务学习和情绪辅助建模提供了实验依据。</w:t>
      </w:r>
    </w:p>
    <w:p w14:paraId="24571A22">
      <w:pPr>
        <w:pStyle w:val="6"/>
        <w:widowControl w:val="0"/>
        <w:numPr>
          <w:ilvl w:val="0"/>
          <w:numId w:val="0"/>
        </w:numPr>
        <w:spacing w:line="276" w:lineRule="auto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1.2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不同情绪脉率变异性图像编码实验结果 (均值±标准差)</w:t>
      </w:r>
    </w:p>
    <w:tbl>
      <w:tblPr>
        <w:tblStyle w:val="7"/>
        <w:tblW w:w="512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157"/>
        <w:gridCol w:w="1155"/>
        <w:gridCol w:w="1155"/>
        <w:gridCol w:w="1155"/>
        <w:gridCol w:w="1142"/>
        <w:gridCol w:w="1228"/>
      </w:tblGrid>
      <w:tr w14:paraId="282233C2">
        <w:trPr>
          <w:trHeight w:val="397" w:hRule="exact"/>
          <w:jc w:val="center"/>
        </w:trPr>
        <w:tc>
          <w:tcPr>
            <w:tcW w:w="994" w:type="pct"/>
            <w:tcBorders>
              <w:top w:val="single" w:color="auto" w:sz="6" w:space="0"/>
            </w:tcBorders>
            <w:vAlign w:val="center"/>
          </w:tcPr>
          <w:p w14:paraId="02FB933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5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084C83E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GAF</w:t>
            </w:r>
          </w:p>
        </w:tc>
        <w:tc>
          <w:tcPr>
            <w:tcW w:w="1324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14B35BD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MTF</w:t>
            </w:r>
          </w:p>
        </w:tc>
        <w:tc>
          <w:tcPr>
            <w:tcW w:w="1357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1EDD3AB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RP</w:t>
            </w:r>
          </w:p>
        </w:tc>
      </w:tr>
      <w:tr w14:paraId="4EA23E15">
        <w:trPr>
          <w:trHeight w:val="397" w:hRule="exact"/>
          <w:jc w:val="center"/>
        </w:trPr>
        <w:tc>
          <w:tcPr>
            <w:tcW w:w="994" w:type="pct"/>
            <w:tcBorders>
              <w:bottom w:val="single" w:color="auto" w:sz="4" w:space="0"/>
            </w:tcBorders>
            <w:vAlign w:val="center"/>
          </w:tcPr>
          <w:p w14:paraId="4328529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</w:t>
            </w:r>
          </w:p>
        </w:tc>
        <w:tc>
          <w:tcPr>
            <w:tcW w:w="66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F4949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6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F6224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66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D0669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6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FBFD0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65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22467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70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F4FD3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</w:tr>
      <w:tr w14:paraId="65EFC1E5">
        <w:trPr>
          <w:trHeight w:val="397" w:hRule="exact"/>
          <w:jc w:val="center"/>
        </w:trPr>
        <w:tc>
          <w:tcPr>
            <w:tcW w:w="994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1347A1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ear</w:t>
            </w:r>
          </w:p>
        </w:tc>
        <w:tc>
          <w:tcPr>
            <w:tcW w:w="663" w:type="pct"/>
            <w:tcBorders>
              <w:top w:val="single" w:color="auto" w:sz="4" w:space="0"/>
            </w:tcBorders>
            <w:vAlign w:val="center"/>
          </w:tcPr>
          <w:p w14:paraId="153C31E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0.30</w:t>
            </w:r>
          </w:p>
        </w:tc>
        <w:tc>
          <w:tcPr>
            <w:tcW w:w="662" w:type="pct"/>
            <w:tcBorders>
              <w:top w:val="single" w:color="auto" w:sz="4" w:space="0"/>
            </w:tcBorders>
            <w:vAlign w:val="center"/>
          </w:tcPr>
          <w:p w14:paraId="415410B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  <w:tc>
          <w:tcPr>
            <w:tcW w:w="662" w:type="pct"/>
            <w:tcBorders>
              <w:top w:val="single" w:color="auto" w:sz="4" w:space="0"/>
            </w:tcBorders>
            <w:vAlign w:val="center"/>
          </w:tcPr>
          <w:p w14:paraId="3968AD9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  <w:tc>
          <w:tcPr>
            <w:tcW w:w="662" w:type="pct"/>
            <w:tcBorders>
              <w:top w:val="single" w:color="auto" w:sz="4" w:space="0"/>
            </w:tcBorders>
            <w:vAlign w:val="center"/>
          </w:tcPr>
          <w:p w14:paraId="7FD7EB5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17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0.31</w:t>
            </w:r>
          </w:p>
        </w:tc>
        <w:tc>
          <w:tcPr>
            <w:tcW w:w="654" w:type="pct"/>
            <w:tcBorders>
              <w:top w:val="single" w:color="auto" w:sz="4" w:space="0"/>
            </w:tcBorders>
            <w:vAlign w:val="center"/>
          </w:tcPr>
          <w:p w14:paraId="4B207C0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0.27</w:t>
            </w:r>
          </w:p>
        </w:tc>
        <w:tc>
          <w:tcPr>
            <w:tcW w:w="703" w:type="pct"/>
            <w:tcBorders>
              <w:top w:val="single" w:color="auto" w:sz="4" w:space="0"/>
            </w:tcBorders>
            <w:vAlign w:val="center"/>
          </w:tcPr>
          <w:p w14:paraId="3842637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5.22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</w:tr>
      <w:tr w14:paraId="44E61018">
        <w:trPr>
          <w:trHeight w:val="397" w:hRule="exact"/>
          <w:jc w:val="center"/>
        </w:trPr>
        <w:tc>
          <w:tcPr>
            <w:tcW w:w="994" w:type="pct"/>
            <w:shd w:val="clear" w:color="auto" w:fill="auto"/>
            <w:vAlign w:val="center"/>
          </w:tcPr>
          <w:p w14:paraId="39EE685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ension</w:t>
            </w:r>
          </w:p>
        </w:tc>
        <w:tc>
          <w:tcPr>
            <w:tcW w:w="663" w:type="pct"/>
            <w:vAlign w:val="center"/>
          </w:tcPr>
          <w:p w14:paraId="0A2514D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4.27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0.19</w:t>
            </w:r>
          </w:p>
        </w:tc>
        <w:tc>
          <w:tcPr>
            <w:tcW w:w="662" w:type="pct"/>
            <w:vAlign w:val="center"/>
          </w:tcPr>
          <w:p w14:paraId="4B9D4A0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5.54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0.28</w:t>
            </w:r>
          </w:p>
        </w:tc>
        <w:tc>
          <w:tcPr>
            <w:tcW w:w="662" w:type="pct"/>
            <w:vAlign w:val="center"/>
          </w:tcPr>
          <w:p w14:paraId="38A2ED4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662" w:type="pct"/>
            <w:vAlign w:val="center"/>
          </w:tcPr>
          <w:p w14:paraId="5D75293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24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  <w:tc>
          <w:tcPr>
            <w:tcW w:w="654" w:type="pct"/>
            <w:vAlign w:val="center"/>
          </w:tcPr>
          <w:p w14:paraId="2AA783B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0.19</w:t>
            </w:r>
          </w:p>
        </w:tc>
        <w:tc>
          <w:tcPr>
            <w:tcW w:w="703" w:type="pct"/>
            <w:vAlign w:val="center"/>
          </w:tcPr>
          <w:p w14:paraId="777454C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0.30</w:t>
            </w:r>
          </w:p>
        </w:tc>
      </w:tr>
      <w:tr w14:paraId="32ECCC6C">
        <w:trPr>
          <w:trHeight w:val="397" w:hRule="exact"/>
          <w:jc w:val="center"/>
        </w:trPr>
        <w:tc>
          <w:tcPr>
            <w:tcW w:w="994" w:type="pct"/>
            <w:shd w:val="clear" w:color="auto" w:fill="auto"/>
            <w:vAlign w:val="center"/>
          </w:tcPr>
          <w:p w14:paraId="4904377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adness</w:t>
            </w:r>
          </w:p>
        </w:tc>
        <w:tc>
          <w:tcPr>
            <w:tcW w:w="663" w:type="pct"/>
            <w:vAlign w:val="center"/>
          </w:tcPr>
          <w:p w14:paraId="41D0CCC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4.35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0.19</w:t>
            </w:r>
          </w:p>
        </w:tc>
        <w:tc>
          <w:tcPr>
            <w:tcW w:w="662" w:type="pct"/>
            <w:tcBorders>
              <w:top w:val="single" w:color="FFFFFF" w:themeColor="background1" w:sz="4" w:space="0"/>
            </w:tcBorders>
            <w:vAlign w:val="center"/>
          </w:tcPr>
          <w:p w14:paraId="024C2A5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662" w:type="pct"/>
            <w:tcBorders>
              <w:top w:val="single" w:color="FFFFFF" w:themeColor="background1" w:sz="4" w:space="0"/>
            </w:tcBorders>
            <w:vAlign w:val="center"/>
          </w:tcPr>
          <w:p w14:paraId="1FF9ABD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4.17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0.17</w:t>
            </w:r>
          </w:p>
        </w:tc>
        <w:tc>
          <w:tcPr>
            <w:tcW w:w="662" w:type="pct"/>
            <w:tcBorders>
              <w:top w:val="single" w:color="FFFFFF" w:themeColor="background1" w:sz="4" w:space="0"/>
            </w:tcBorders>
            <w:vAlign w:val="center"/>
          </w:tcPr>
          <w:p w14:paraId="4842003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0.22</w:t>
            </w:r>
          </w:p>
        </w:tc>
        <w:tc>
          <w:tcPr>
            <w:tcW w:w="654" w:type="pct"/>
            <w:tcBorders>
              <w:top w:val="single" w:color="FFFFFF" w:themeColor="background1" w:sz="4" w:space="0"/>
            </w:tcBorders>
            <w:vAlign w:val="center"/>
          </w:tcPr>
          <w:p w14:paraId="2FB4C7F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±0.22</w:t>
            </w:r>
          </w:p>
        </w:tc>
        <w:tc>
          <w:tcPr>
            <w:tcW w:w="703" w:type="pct"/>
            <w:tcBorders>
              <w:top w:val="single" w:color="FFFFFF" w:themeColor="background1" w:sz="4" w:space="0"/>
            </w:tcBorders>
            <w:vAlign w:val="center"/>
          </w:tcPr>
          <w:p w14:paraId="45679C8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5.58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0.26</w:t>
            </w:r>
          </w:p>
        </w:tc>
      </w:tr>
      <w:tr w14:paraId="23E8787B">
        <w:trPr>
          <w:trHeight w:val="397" w:hRule="exact"/>
          <w:jc w:val="center"/>
        </w:trPr>
        <w:tc>
          <w:tcPr>
            <w:tcW w:w="994" w:type="pct"/>
            <w:shd w:val="clear" w:color="auto" w:fill="auto"/>
            <w:vAlign w:val="center"/>
          </w:tcPr>
          <w:p w14:paraId="416B1BD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appiness</w:t>
            </w:r>
          </w:p>
        </w:tc>
        <w:tc>
          <w:tcPr>
            <w:tcW w:w="663" w:type="pct"/>
            <w:vAlign w:val="center"/>
          </w:tcPr>
          <w:p w14:paraId="45188B7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4.42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±0.30</w:t>
            </w:r>
          </w:p>
        </w:tc>
        <w:tc>
          <w:tcPr>
            <w:tcW w:w="662" w:type="pct"/>
            <w:vAlign w:val="center"/>
          </w:tcPr>
          <w:p w14:paraId="59ABCF3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  <w:tc>
          <w:tcPr>
            <w:tcW w:w="662" w:type="pct"/>
            <w:vAlign w:val="center"/>
          </w:tcPr>
          <w:p w14:paraId="6950BDD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0.10</w:t>
            </w:r>
          </w:p>
        </w:tc>
        <w:tc>
          <w:tcPr>
            <w:tcW w:w="662" w:type="pct"/>
            <w:vAlign w:val="center"/>
          </w:tcPr>
          <w:p w14:paraId="598F161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0.10</w:t>
            </w:r>
          </w:p>
        </w:tc>
        <w:tc>
          <w:tcPr>
            <w:tcW w:w="654" w:type="pct"/>
            <w:vAlign w:val="center"/>
          </w:tcPr>
          <w:p w14:paraId="4C22FF6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0.34</w:t>
            </w:r>
          </w:p>
        </w:tc>
        <w:tc>
          <w:tcPr>
            <w:tcW w:w="703" w:type="pct"/>
            <w:vAlign w:val="center"/>
          </w:tcPr>
          <w:p w14:paraId="75ADB43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0.32</w:t>
            </w:r>
          </w:p>
        </w:tc>
      </w:tr>
      <w:tr w14:paraId="6B19372D">
        <w:trPr>
          <w:trHeight w:val="397" w:hRule="exact"/>
          <w:jc w:val="center"/>
        </w:trPr>
        <w:tc>
          <w:tcPr>
            <w:tcW w:w="994" w:type="pct"/>
            <w:shd w:val="clear" w:color="auto" w:fill="auto"/>
            <w:vAlign w:val="center"/>
          </w:tcPr>
          <w:p w14:paraId="2862C4F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alm</w:t>
            </w:r>
          </w:p>
        </w:tc>
        <w:tc>
          <w:tcPr>
            <w:tcW w:w="663" w:type="pct"/>
            <w:vAlign w:val="center"/>
          </w:tcPr>
          <w:p w14:paraId="702A75F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4.45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  <w:tc>
          <w:tcPr>
            <w:tcW w:w="662" w:type="pct"/>
            <w:vAlign w:val="center"/>
          </w:tcPr>
          <w:p w14:paraId="27FB8C5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0.26</w:t>
            </w:r>
          </w:p>
        </w:tc>
        <w:tc>
          <w:tcPr>
            <w:tcW w:w="662" w:type="pct"/>
            <w:vAlign w:val="center"/>
          </w:tcPr>
          <w:p w14:paraId="3DF0CE2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4.44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0.51</w:t>
            </w:r>
          </w:p>
        </w:tc>
        <w:tc>
          <w:tcPr>
            <w:tcW w:w="662" w:type="pct"/>
            <w:vAlign w:val="center"/>
          </w:tcPr>
          <w:p w14:paraId="5A22756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5.51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0.58</w:t>
            </w:r>
          </w:p>
        </w:tc>
        <w:tc>
          <w:tcPr>
            <w:tcW w:w="654" w:type="pct"/>
            <w:vAlign w:val="center"/>
          </w:tcPr>
          <w:p w14:paraId="066E361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4.42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0.24</w:t>
            </w:r>
          </w:p>
        </w:tc>
        <w:tc>
          <w:tcPr>
            <w:tcW w:w="703" w:type="pct"/>
            <w:vAlign w:val="center"/>
          </w:tcPr>
          <w:p w14:paraId="4D1CF61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0.31</w:t>
            </w:r>
          </w:p>
        </w:tc>
      </w:tr>
      <w:tr w14:paraId="4CDBA1DD">
        <w:trPr>
          <w:trHeight w:val="397" w:hRule="exact"/>
          <w:jc w:val="center"/>
        </w:trPr>
        <w:tc>
          <w:tcPr>
            <w:tcW w:w="994" w:type="pct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6A51941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Emotional fusion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663" w:type="pct"/>
            <w:tcBorders>
              <w:bottom w:val="single" w:color="auto" w:sz="6" w:space="0"/>
            </w:tcBorders>
            <w:vAlign w:val="center"/>
          </w:tcPr>
          <w:p w14:paraId="56ABA0A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06</w:t>
            </w:r>
          </w:p>
        </w:tc>
        <w:tc>
          <w:tcPr>
            <w:tcW w:w="662" w:type="pct"/>
            <w:tcBorders>
              <w:bottom w:val="single" w:color="auto" w:sz="6" w:space="0"/>
            </w:tcBorders>
            <w:vAlign w:val="center"/>
          </w:tcPr>
          <w:p w14:paraId="113F268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5.12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07</w:t>
            </w:r>
          </w:p>
        </w:tc>
        <w:tc>
          <w:tcPr>
            <w:tcW w:w="662" w:type="pct"/>
            <w:tcBorders>
              <w:bottom w:val="single" w:color="auto" w:sz="6" w:space="0"/>
            </w:tcBorders>
            <w:vAlign w:val="center"/>
          </w:tcPr>
          <w:p w14:paraId="341DA38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3.86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04</w:t>
            </w:r>
          </w:p>
        </w:tc>
        <w:tc>
          <w:tcPr>
            <w:tcW w:w="662" w:type="pct"/>
            <w:tcBorders>
              <w:bottom w:val="single" w:color="auto" w:sz="6" w:space="0"/>
            </w:tcBorders>
            <w:vAlign w:val="center"/>
          </w:tcPr>
          <w:p w14:paraId="7016A4F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4.7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 xml:space="preserve">4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05</w:t>
            </w:r>
          </w:p>
        </w:tc>
        <w:tc>
          <w:tcPr>
            <w:tcW w:w="654" w:type="pct"/>
            <w:tcBorders>
              <w:bottom w:val="single" w:color="auto" w:sz="6" w:space="0"/>
            </w:tcBorders>
            <w:vAlign w:val="center"/>
          </w:tcPr>
          <w:p w14:paraId="55F1671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3.9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8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703" w:type="pct"/>
            <w:tcBorders>
              <w:bottom w:val="single" w:color="auto" w:sz="6" w:space="0"/>
            </w:tcBorders>
            <w:vAlign w:val="center"/>
          </w:tcPr>
          <w:p w14:paraId="290C02F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96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</w:tr>
    </w:tbl>
    <w:p w14:paraId="75C87A63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ascii="Times New Roman" w:hAnsi="Times New Roman" w:eastAsia="宋体" w:cs="Times New Roman"/>
          <w:b/>
          <w:bCs/>
          <w:szCs w:val="21"/>
        </w:rPr>
      </w:pPr>
    </w:p>
    <w:p w14:paraId="0672587B">
      <w:pPr>
        <w:pStyle w:val="6"/>
        <w:widowControl w:val="0"/>
        <w:numPr>
          <w:ilvl w:val="0"/>
          <w:numId w:val="0"/>
        </w:numPr>
        <w:spacing w:line="276" w:lineRule="auto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1.3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不同情绪离散脉搏波图像编码实验结果 （均值±标准差）</w:t>
      </w:r>
    </w:p>
    <w:tbl>
      <w:tblPr>
        <w:tblStyle w:val="7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159"/>
        <w:gridCol w:w="1162"/>
        <w:gridCol w:w="1104"/>
        <w:gridCol w:w="1130"/>
        <w:gridCol w:w="1164"/>
        <w:gridCol w:w="1104"/>
      </w:tblGrid>
      <w:tr w14:paraId="7A6140C4">
        <w:trPr>
          <w:trHeight w:val="340" w:hRule="atLeast"/>
          <w:jc w:val="center"/>
        </w:trPr>
        <w:tc>
          <w:tcPr>
            <w:tcW w:w="997" w:type="pct"/>
            <w:tcBorders>
              <w:top w:val="single" w:color="auto" w:sz="6" w:space="0"/>
            </w:tcBorders>
            <w:vAlign w:val="center"/>
          </w:tcPr>
          <w:p w14:paraId="5FB3BDA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62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0D8015E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GAF</w:t>
            </w:r>
          </w:p>
        </w:tc>
        <w:tc>
          <w:tcPr>
            <w:tcW w:w="1310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78EDA50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MTF</w:t>
            </w:r>
          </w:p>
        </w:tc>
        <w:tc>
          <w:tcPr>
            <w:tcW w:w="1330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1C6F717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RP</w:t>
            </w:r>
          </w:p>
        </w:tc>
      </w:tr>
      <w:tr w14:paraId="03CBAC31">
        <w:trPr>
          <w:trHeight w:val="340" w:hRule="atLeast"/>
          <w:jc w:val="center"/>
        </w:trPr>
        <w:tc>
          <w:tcPr>
            <w:tcW w:w="997" w:type="pct"/>
            <w:tcBorders>
              <w:bottom w:val="single" w:color="auto" w:sz="4" w:space="0"/>
            </w:tcBorders>
            <w:vAlign w:val="center"/>
          </w:tcPr>
          <w:p w14:paraId="7FFE8B2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</w:t>
            </w:r>
          </w:p>
        </w:tc>
        <w:tc>
          <w:tcPr>
            <w:tcW w:w="6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2E0D7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8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C6AEF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64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46DF1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6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E87F3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68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3D64A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4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4B24B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</w:tr>
      <w:tr w14:paraId="47E3596B">
        <w:trPr>
          <w:trHeight w:val="340" w:hRule="atLeast"/>
          <w:jc w:val="center"/>
        </w:trPr>
        <w:tc>
          <w:tcPr>
            <w:tcW w:w="997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7997A0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ear</w:t>
            </w:r>
          </w:p>
        </w:tc>
        <w:tc>
          <w:tcPr>
            <w:tcW w:w="680" w:type="pct"/>
            <w:tcBorders>
              <w:top w:val="single" w:color="auto" w:sz="4" w:space="0"/>
            </w:tcBorders>
            <w:vAlign w:val="center"/>
          </w:tcPr>
          <w:p w14:paraId="15EAB75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30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0.30</w:t>
            </w:r>
          </w:p>
        </w:tc>
        <w:tc>
          <w:tcPr>
            <w:tcW w:w="682" w:type="pct"/>
            <w:tcBorders>
              <w:top w:val="single" w:color="auto" w:sz="4" w:space="0"/>
            </w:tcBorders>
            <w:vAlign w:val="center"/>
          </w:tcPr>
          <w:p w14:paraId="6888F7F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  <w:tc>
          <w:tcPr>
            <w:tcW w:w="648" w:type="pct"/>
            <w:tcBorders>
              <w:top w:val="single" w:color="auto" w:sz="4" w:space="0"/>
            </w:tcBorders>
            <w:vAlign w:val="center"/>
          </w:tcPr>
          <w:p w14:paraId="69446859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63" w:type="pct"/>
            <w:tcBorders>
              <w:top w:val="single" w:color="auto" w:sz="4" w:space="0"/>
            </w:tcBorders>
            <w:vAlign w:val="center"/>
          </w:tcPr>
          <w:p w14:paraId="0064134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83" w:type="pct"/>
            <w:tcBorders>
              <w:top w:val="single" w:color="auto" w:sz="4" w:space="0"/>
            </w:tcBorders>
            <w:vAlign w:val="center"/>
          </w:tcPr>
          <w:p w14:paraId="66F09FD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48" w:type="pct"/>
            <w:tcBorders>
              <w:top w:val="single" w:color="auto" w:sz="4" w:space="0"/>
            </w:tcBorders>
            <w:vAlign w:val="center"/>
          </w:tcPr>
          <w:p w14:paraId="3830EC3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16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.22</w:t>
            </w:r>
          </w:p>
        </w:tc>
      </w:tr>
      <w:tr w14:paraId="0C222C14">
        <w:trPr>
          <w:trHeight w:val="340" w:hRule="atLeast"/>
          <w:jc w:val="center"/>
        </w:trPr>
        <w:tc>
          <w:tcPr>
            <w:tcW w:w="997" w:type="pct"/>
            <w:shd w:val="clear" w:color="auto" w:fill="auto"/>
            <w:vAlign w:val="center"/>
          </w:tcPr>
          <w:p w14:paraId="77EA2A5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ension</w:t>
            </w:r>
          </w:p>
        </w:tc>
        <w:tc>
          <w:tcPr>
            <w:tcW w:w="680" w:type="pct"/>
            <w:vAlign w:val="center"/>
          </w:tcPr>
          <w:p w14:paraId="6D6869C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31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682" w:type="pct"/>
            <w:vAlign w:val="center"/>
          </w:tcPr>
          <w:p w14:paraId="59B0083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5.54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648" w:type="pct"/>
            <w:vAlign w:val="center"/>
          </w:tcPr>
          <w:p w14:paraId="08E3247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30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663" w:type="pct"/>
            <w:vAlign w:val="center"/>
          </w:tcPr>
          <w:p w14:paraId="0CFB150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83" w:type="pct"/>
            <w:vAlign w:val="center"/>
          </w:tcPr>
          <w:p w14:paraId="4E12846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8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648" w:type="pct"/>
            <w:vAlign w:val="center"/>
          </w:tcPr>
          <w:p w14:paraId="376DD8C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27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</w:tr>
      <w:tr w14:paraId="730FEA3A">
        <w:trPr>
          <w:trHeight w:val="340" w:hRule="atLeast"/>
          <w:jc w:val="center"/>
        </w:trPr>
        <w:tc>
          <w:tcPr>
            <w:tcW w:w="997" w:type="pct"/>
            <w:shd w:val="clear" w:color="auto" w:fill="auto"/>
            <w:vAlign w:val="center"/>
          </w:tcPr>
          <w:p w14:paraId="1601B05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adness</w:t>
            </w:r>
          </w:p>
        </w:tc>
        <w:tc>
          <w:tcPr>
            <w:tcW w:w="680" w:type="pct"/>
            <w:vAlign w:val="center"/>
          </w:tcPr>
          <w:p w14:paraId="59D5DDF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4.35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682" w:type="pct"/>
            <w:vAlign w:val="center"/>
          </w:tcPr>
          <w:p w14:paraId="7CB1B5C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48" w:type="pct"/>
            <w:vAlign w:val="center"/>
          </w:tcPr>
          <w:p w14:paraId="56F414A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33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tcW w:w="663" w:type="pct"/>
            <w:vAlign w:val="center"/>
          </w:tcPr>
          <w:p w14:paraId="6CC89FC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53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  <w:tc>
          <w:tcPr>
            <w:tcW w:w="683" w:type="pct"/>
            <w:vAlign w:val="center"/>
          </w:tcPr>
          <w:p w14:paraId="2595A4A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27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tcPr>
            <w:tcW w:w="648" w:type="pct"/>
            <w:vAlign w:val="center"/>
          </w:tcPr>
          <w:p w14:paraId="78DA8AE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9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</w:tr>
      <w:tr w14:paraId="07D09C48">
        <w:trPr>
          <w:trHeight w:val="340" w:hRule="atLeast"/>
          <w:jc w:val="center"/>
        </w:trPr>
        <w:tc>
          <w:tcPr>
            <w:tcW w:w="997" w:type="pct"/>
            <w:shd w:val="clear" w:color="auto" w:fill="auto"/>
            <w:vAlign w:val="center"/>
          </w:tcPr>
          <w:p w14:paraId="4499AE5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appiness</w:t>
            </w:r>
          </w:p>
        </w:tc>
        <w:tc>
          <w:tcPr>
            <w:tcW w:w="680" w:type="pct"/>
            <w:vAlign w:val="center"/>
          </w:tcPr>
          <w:p w14:paraId="56C19EB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82" w:type="pct"/>
            <w:vAlign w:val="center"/>
          </w:tcPr>
          <w:p w14:paraId="5CF28FE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48" w:type="pct"/>
            <w:vAlign w:val="center"/>
          </w:tcPr>
          <w:p w14:paraId="62859EB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63" w:type="pct"/>
            <w:vAlign w:val="center"/>
          </w:tcPr>
          <w:p w14:paraId="3B25EC5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83" w:type="pct"/>
            <w:vAlign w:val="center"/>
          </w:tcPr>
          <w:p w14:paraId="62E8A76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9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tcPr>
            <w:tcW w:w="648" w:type="pct"/>
            <w:vAlign w:val="center"/>
          </w:tcPr>
          <w:p w14:paraId="126A01B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</w:tr>
      <w:tr w14:paraId="443BEF33">
        <w:trPr>
          <w:trHeight w:val="340" w:hRule="atLeast"/>
          <w:jc w:val="center"/>
        </w:trPr>
        <w:tc>
          <w:tcPr>
            <w:tcW w:w="997" w:type="pct"/>
            <w:shd w:val="clear" w:color="auto" w:fill="auto"/>
            <w:vAlign w:val="center"/>
          </w:tcPr>
          <w:p w14:paraId="69081E9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alm</w:t>
            </w:r>
          </w:p>
        </w:tc>
        <w:tc>
          <w:tcPr>
            <w:tcW w:w="680" w:type="pct"/>
            <w:vAlign w:val="center"/>
          </w:tcPr>
          <w:p w14:paraId="778B708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82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682" w:type="pct"/>
            <w:vAlign w:val="center"/>
          </w:tcPr>
          <w:p w14:paraId="3B69092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6.01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648" w:type="pct"/>
            <w:vAlign w:val="center"/>
          </w:tcPr>
          <w:p w14:paraId="0FA88E7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663" w:type="pct"/>
            <w:vAlign w:val="center"/>
          </w:tcPr>
          <w:p w14:paraId="506DE08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83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683" w:type="pct"/>
            <w:vAlign w:val="center"/>
          </w:tcPr>
          <w:p w14:paraId="32B5F8B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56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49</w:t>
            </w:r>
          </w:p>
        </w:tc>
        <w:tc>
          <w:tcPr>
            <w:tcW w:w="648" w:type="pct"/>
            <w:vAlign w:val="center"/>
          </w:tcPr>
          <w:p w14:paraId="0A1434D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44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</w:t>
            </w:r>
          </w:p>
        </w:tc>
      </w:tr>
      <w:tr w14:paraId="1B12F12C">
        <w:trPr>
          <w:trHeight w:val="340" w:hRule="atLeast"/>
          <w:jc w:val="center"/>
        </w:trPr>
        <w:tc>
          <w:tcPr>
            <w:tcW w:w="997" w:type="pct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5DD3423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Emotional fusion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680" w:type="pct"/>
            <w:tcBorders>
              <w:bottom w:val="single" w:color="auto" w:sz="6" w:space="0"/>
            </w:tcBorders>
            <w:vAlign w:val="center"/>
          </w:tcPr>
          <w:p w14:paraId="0CA08B8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27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682" w:type="pct"/>
            <w:tcBorders>
              <w:bottom w:val="single" w:color="auto" w:sz="6" w:space="0"/>
            </w:tcBorders>
            <w:vAlign w:val="center"/>
          </w:tcPr>
          <w:p w14:paraId="0614A4F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40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48" w:type="pct"/>
            <w:tcBorders>
              <w:bottom w:val="single" w:color="auto" w:sz="6" w:space="0"/>
            </w:tcBorders>
            <w:vAlign w:val="center"/>
          </w:tcPr>
          <w:p w14:paraId="176C6DF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4.17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0.16</w:t>
            </w:r>
          </w:p>
        </w:tc>
        <w:tc>
          <w:tcPr>
            <w:tcW w:w="663" w:type="pct"/>
            <w:tcBorders>
              <w:bottom w:val="single" w:color="auto" w:sz="6" w:space="0"/>
            </w:tcBorders>
            <w:vAlign w:val="center"/>
          </w:tcPr>
          <w:p w14:paraId="35C4986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5.18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0.15</w:t>
            </w:r>
          </w:p>
        </w:tc>
        <w:tc>
          <w:tcPr>
            <w:tcW w:w="683" w:type="pct"/>
            <w:tcBorders>
              <w:bottom w:val="single" w:color="auto" w:sz="6" w:space="0"/>
            </w:tcBorders>
            <w:vAlign w:val="center"/>
          </w:tcPr>
          <w:p w14:paraId="5BAC609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3.98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0.11</w:t>
            </w:r>
          </w:p>
        </w:tc>
        <w:tc>
          <w:tcPr>
            <w:tcW w:w="648" w:type="pct"/>
            <w:tcBorders>
              <w:bottom w:val="single" w:color="auto" w:sz="6" w:space="0"/>
            </w:tcBorders>
            <w:vAlign w:val="center"/>
          </w:tcPr>
          <w:p w14:paraId="7F026CC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4.79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0.22</w:t>
            </w:r>
          </w:p>
        </w:tc>
      </w:tr>
    </w:tbl>
    <w:p w14:paraId="3AFBB4C2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</w:p>
    <w:p w14:paraId="1DDCD9F0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6B31836E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PRV-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Former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（轻量级CNN-Transformer）——五种情绪脉率变异性数据</w:t>
      </w:r>
    </w:p>
    <w:p w14:paraId="39D1E8C8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szCs w:val="21"/>
        </w:rPr>
      </w:pPr>
    </w:p>
    <w:p w14:paraId="57B79B36">
      <w:pPr>
        <w:pStyle w:val="6"/>
        <w:numPr>
          <w:ilvl w:val="0"/>
          <w:numId w:val="0"/>
        </w:numPr>
        <w:spacing w:line="276" w:lineRule="auto"/>
        <w:ind w:leftChars="0"/>
        <w:jc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表2.1 基于脉率变异性信号的PRV-Former实验的五折及其均值（均值±标准差）</w:t>
      </w:r>
    </w:p>
    <w:tbl>
      <w:tblPr>
        <w:tblStyle w:val="3"/>
        <w:tblW w:w="50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193"/>
        <w:gridCol w:w="1234"/>
        <w:gridCol w:w="1255"/>
        <w:gridCol w:w="1200"/>
        <w:gridCol w:w="1322"/>
        <w:gridCol w:w="1301"/>
      </w:tblGrid>
      <w:tr w14:paraId="7AE20231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6AE5CF7A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413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989FE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7F1B9E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52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002557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41B4E68E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2B6A941F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94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6B5E71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1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590D0D1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3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1A0288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F80953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70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6E150E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5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0370B8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3D7C3669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14282180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694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7325E8C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5.02 </w:t>
            </w:r>
          </w:p>
        </w:tc>
        <w:tc>
          <w:tcPr>
            <w:tcW w:w="71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53E5C71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6.36</w:t>
            </w:r>
          </w:p>
        </w:tc>
        <w:tc>
          <w:tcPr>
            <w:tcW w:w="73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851F29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5.07</w:t>
            </w:r>
          </w:p>
        </w:tc>
        <w:tc>
          <w:tcPr>
            <w:tcW w:w="69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40EE9F30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6.46</w:t>
            </w:r>
          </w:p>
        </w:tc>
        <w:tc>
          <w:tcPr>
            <w:tcW w:w="77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173FC002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4.91</w:t>
            </w:r>
          </w:p>
        </w:tc>
        <w:tc>
          <w:tcPr>
            <w:tcW w:w="75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482B6D03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6.18</w:t>
            </w:r>
          </w:p>
        </w:tc>
      </w:tr>
      <w:tr w14:paraId="061663B1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7FE67995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89956A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4.78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FDEEA1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6.21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949379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5.17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2B555E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6.76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D5D806D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5.19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E9CB47F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6.53</w:t>
            </w:r>
          </w:p>
        </w:tc>
      </w:tr>
      <w:tr w14:paraId="408DF29D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4E16E486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3902BB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4.99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06FF9C7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6.46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3BD9B2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4.94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54B280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6.22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FF6E577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5.31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6E7389F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6.83</w:t>
            </w:r>
          </w:p>
        </w:tc>
      </w:tr>
      <w:tr w14:paraId="0FBF9846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16C1CC9F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876F99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4.88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9F2E66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6.25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0E0D36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5.14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C12B41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6.51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86DB37F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5.25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AD589BD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6.65</w:t>
            </w:r>
          </w:p>
        </w:tc>
      </w:tr>
      <w:tr w14:paraId="2533BB31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04858890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9B2E5E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4.73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4812F16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6.03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4D839A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5.14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E4AB68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6.56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C414EB9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5.20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D3DA070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6.64</w:t>
            </w:r>
          </w:p>
        </w:tc>
      </w:tr>
      <w:tr w14:paraId="4E3BB42A">
        <w:trPr>
          <w:trHeight w:val="433" w:hRule="atLeast"/>
        </w:trPr>
        <w:tc>
          <w:tcPr>
            <w:tcW w:w="628" w:type="pct"/>
            <w:tcBorders>
              <w:top w:val="nil"/>
              <w:left w:val="nil"/>
              <w:bottom w:val="single" w:color="auto" w:sz="4" w:space="0"/>
            </w:tcBorders>
          </w:tcPr>
          <w:p w14:paraId="03B3A149">
            <w:pPr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Mean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  <w:t>±Sd</w:t>
            </w:r>
          </w:p>
        </w:tc>
        <w:tc>
          <w:tcPr>
            <w:tcW w:w="694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710B8D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4.88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0.11</w:t>
            </w:r>
          </w:p>
        </w:tc>
        <w:tc>
          <w:tcPr>
            <w:tcW w:w="71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B512E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6.26±0.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731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DA19EA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5.09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08</w:t>
            </w:r>
          </w:p>
        </w:tc>
        <w:tc>
          <w:tcPr>
            <w:tcW w:w="69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C9A126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6.50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770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8F7A5A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</w:rPr>
              <w:t>5.17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757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4587EA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6.56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±0.22</w:t>
            </w:r>
          </w:p>
        </w:tc>
      </w:tr>
    </w:tbl>
    <w:p w14:paraId="28E42B05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结果说明：PRV-Former 在测试集上取得 MAE 4.33、RMSE 5.61，相比表1.1中的基线 PRV（MAE 4.56、RMSE 5.41）在 MAE 上有所改善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，性能提升了约 5%</w:t>
      </w:r>
      <w:r>
        <w:rPr>
          <w:rFonts w:hint="eastAsia" w:ascii="Times New Roman" w:hAnsi="Times New Roman" w:eastAsia="宋体" w:cs="Times New Roman"/>
          <w:szCs w:val="21"/>
        </w:rPr>
        <w:t>，但 RMSE 略高。MAE 的下降说明轻量级 CNN-Transformer 能够更稳定地拟合大多数样本的压力水平；RMSE 未同步降低，说明少数误差较大的样本仍然存在，可能与 PRV 序列较短、个体心率变异差异较大有关。</w:t>
      </w:r>
    </w:p>
    <w:p w14:paraId="25D7C962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szCs w:val="21"/>
        </w:rPr>
        <w:t>结合代码实现，PRV 分支通过一维卷积提取局部节律变化，再使用注意力池化形成全局表示。这种结构参数量较小，适合处理稀疏的 PRV 序列，但由于 PRV 已经是从 PPG 派生出的高阶特征，原始波形的形态信息有所损失，因此其性能提升空间有限，更适合作为后续双流模型中的互补模态。</w:t>
      </w:r>
    </w:p>
    <w:p w14:paraId="73436DDF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727835" cy="960120"/>
            <wp:effectExtent l="0" t="0" r="24765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D362">
      <w:pPr>
        <w:spacing w:line="360" w:lineRule="auto"/>
        <w:jc w:val="both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图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2.1</w:t>
      </w:r>
      <w:r>
        <w:rPr>
          <w:rFonts w:hint="eastAsia" w:ascii="Times New Roman" w:hAnsi="Times New Roman" w:eastAsia="宋体" w:cs="Times New Roman"/>
          <w:szCs w:val="21"/>
        </w:rPr>
        <w:t xml:space="preserve"> PRV-Forme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Cs w:val="21"/>
        </w:rPr>
        <w:t>的训练曲线和评估误差曲线：LOSS、MAE、RMSE</w:t>
      </w:r>
      <w:r>
        <w:rPr>
          <w:rFonts w:ascii="Times New Roman" w:hAnsi="Times New Roman" w:eastAsia="宋体" w:cs="Times New Roman"/>
          <w:szCs w:val="21"/>
        </w:rPr>
        <w:br w:type="textWrapping"/>
      </w:r>
    </w:p>
    <w:p w14:paraId="2B93A208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PPG-Former</w:t>
      </w:r>
    </w:p>
    <w:p w14:paraId="498A3ABF">
      <w:pPr>
        <w:pStyle w:val="6"/>
        <w:numPr>
          <w:ilvl w:val="0"/>
          <w:numId w:val="0"/>
        </w:numPr>
        <w:spacing w:line="276" w:lineRule="auto"/>
        <w:ind w:leftChars="0"/>
        <w:jc w:val="both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749925" cy="2496820"/>
            <wp:effectExtent l="0" t="0" r="0" b="17780"/>
            <wp:docPr id="2" name="图片 2" descr="PPG-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PG-Form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723B">
      <w:pPr>
        <w:pStyle w:val="6"/>
        <w:numPr>
          <w:ilvl w:val="0"/>
          <w:numId w:val="0"/>
        </w:numPr>
        <w:spacing w:line="276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PPG-Former结构</w:t>
      </w:r>
    </w:p>
    <w:p w14:paraId="64682B47">
      <w:pPr>
        <w:pStyle w:val="6"/>
        <w:numPr>
          <w:ilvl w:val="0"/>
          <w:numId w:val="0"/>
        </w:numPr>
        <w:spacing w:line="276" w:lineRule="auto"/>
        <w:ind w:leftChars="0"/>
        <w:jc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表3.1 基于脉搏波信号的PPG-Former实验的五折及其均值（均值±标准差）</w:t>
      </w:r>
    </w:p>
    <w:tbl>
      <w:tblPr>
        <w:tblStyle w:val="3"/>
        <w:tblW w:w="50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193"/>
        <w:gridCol w:w="1234"/>
        <w:gridCol w:w="1255"/>
        <w:gridCol w:w="1200"/>
        <w:gridCol w:w="1322"/>
        <w:gridCol w:w="1301"/>
      </w:tblGrid>
      <w:tr w14:paraId="2EF1E820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12D22B2C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413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63AF96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CFFA2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52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D6B82B6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799FF123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22336C4C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94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BEFA75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1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B53735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3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2ED1AC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AA343D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70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17D158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5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939C88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2135EF68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69EE6299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694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49F7539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4.87 </w:t>
            </w:r>
          </w:p>
        </w:tc>
        <w:tc>
          <w:tcPr>
            <w:tcW w:w="71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7AF0775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6.22</w:t>
            </w:r>
          </w:p>
        </w:tc>
        <w:tc>
          <w:tcPr>
            <w:tcW w:w="73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38E1CD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5.02</w:t>
            </w:r>
          </w:p>
        </w:tc>
        <w:tc>
          <w:tcPr>
            <w:tcW w:w="69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38D3707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6.43</w:t>
            </w:r>
          </w:p>
        </w:tc>
        <w:tc>
          <w:tcPr>
            <w:tcW w:w="77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721B890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 xml:space="preserve">5.01 </w:t>
            </w:r>
          </w:p>
        </w:tc>
        <w:tc>
          <w:tcPr>
            <w:tcW w:w="75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5784139D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6.26</w:t>
            </w:r>
          </w:p>
        </w:tc>
      </w:tr>
      <w:tr w14:paraId="4EF78EAB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099E0FCB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98EFC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4.78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C757CF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6.18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53424E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5.08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B88CEF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6.64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C8DF767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5.08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6768450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6.42</w:t>
            </w:r>
          </w:p>
        </w:tc>
      </w:tr>
      <w:tr w14:paraId="297F7D6D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42CB1D8A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F45C60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4.90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56C6AE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6.11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BE628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5.21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180FFC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6.19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B22F624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5.31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49F18F4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6.56</w:t>
            </w:r>
          </w:p>
        </w:tc>
      </w:tr>
      <w:tr w14:paraId="3F9BB4A7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2DBE8816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4E8E41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4.86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20FD0A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6.22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D96ADB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5.13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6F1470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6.50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6B31A29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5.21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D4E9F6C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6.62</w:t>
            </w:r>
          </w:p>
        </w:tc>
      </w:tr>
      <w:tr w14:paraId="1346ACC7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605FE5ED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63612E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4.94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B5050C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6.16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584BE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5.12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108BAC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6.48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B4BFD6C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5.10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9A66CF1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6.45</w:t>
            </w:r>
          </w:p>
        </w:tc>
      </w:tr>
      <w:tr w14:paraId="64AAAD75">
        <w:trPr>
          <w:trHeight w:val="433" w:hRule="atLeast"/>
        </w:trPr>
        <w:tc>
          <w:tcPr>
            <w:tcW w:w="628" w:type="pct"/>
            <w:tcBorders>
              <w:top w:val="nil"/>
              <w:left w:val="nil"/>
              <w:bottom w:val="single" w:color="auto" w:sz="4" w:space="0"/>
            </w:tcBorders>
          </w:tcPr>
          <w:p w14:paraId="423C633B">
            <w:pPr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Mean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  <w:t>±Sd</w:t>
            </w:r>
          </w:p>
        </w:tc>
        <w:tc>
          <w:tcPr>
            <w:tcW w:w="694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8F37F3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4.87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71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8DC8A2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6.18±0.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04</w:t>
            </w:r>
          </w:p>
        </w:tc>
        <w:tc>
          <w:tcPr>
            <w:tcW w:w="731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DDE7FC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5.11 ± 0.0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69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ADF856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6.45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770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105D37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</w:rPr>
              <w:t>5.14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757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13E402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6.46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±0.12</w:t>
            </w:r>
          </w:p>
        </w:tc>
      </w:tr>
    </w:tbl>
    <w:p w14:paraId="06F821B3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结果说明：PPG-Former 在测试集上取得 MAE 4.19、RMSE 5.45，优于 PRV-Former 的 MAE 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Cs w:val="21"/>
        </w:rPr>
        <w:t>4.33。该结果说明原始 PPG 波形中包含比 PRV 更丰富的压力相关信息，如脉搏波形形态、上升沿和下降沿变化、周期稳定性以及局部时频模式等。模型通过卷积降采样、Transformer 编码、注意力池化和多尺度卷积分支，可以同时提取局部形态和较长范围的时序依赖。</w:t>
      </w:r>
    </w:p>
    <w:p w14:paraId="79CCD147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与设计目标一致，PPG-Former 不只是直接套用通用时序模型，而是在代码中加入生理周期编码、频域摘要和压力感知门控。测试结果相较基线 PPG（MAE 5.41）明显降低，说明面向 PPG 信号特点设计的结构能够缓解原始波形噪声大、序列长、个体差异明显的问题。</w:t>
      </w:r>
    </w:p>
    <w:p w14:paraId="7A606C0F">
      <w:pPr>
        <w:pStyle w:val="6"/>
        <w:numPr>
          <w:ilvl w:val="0"/>
          <w:numId w:val="0"/>
        </w:numPr>
        <w:spacing w:line="276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78BA17">
      <w:pPr>
        <w:pStyle w:val="6"/>
        <w:numPr>
          <w:ilvl w:val="0"/>
          <w:numId w:val="0"/>
        </w:numPr>
        <w:spacing w:line="276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C35B55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1727835" cy="960120"/>
            <wp:effectExtent l="0" t="0" r="2476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59485"/>
            <wp:effectExtent l="0" t="0" r="24765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DF830">
      <w:pPr>
        <w:pStyle w:val="6"/>
        <w:numPr>
          <w:ilvl w:val="0"/>
          <w:numId w:val="0"/>
        </w:numPr>
        <w:spacing w:line="276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75744AE">
      <w:pPr>
        <w:spacing w:line="360" w:lineRule="auto"/>
        <w:jc w:val="both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</w:rPr>
        <w:t>图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3.1 </w:t>
      </w:r>
      <w:r>
        <w:rPr>
          <w:rFonts w:hint="eastAsia" w:ascii="Times New Roman" w:hAnsi="Times New Roman" w:eastAsia="宋体" w:cs="Times New Roman"/>
          <w:szCs w:val="21"/>
        </w:rPr>
        <w:t>PPG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-Former</w:t>
      </w:r>
      <w:r>
        <w:rPr>
          <w:rFonts w:hint="eastAsia" w:ascii="Times New Roman" w:hAnsi="Times New Roman" w:eastAsia="宋体" w:cs="Times New Roman"/>
          <w:szCs w:val="21"/>
        </w:rPr>
        <w:t>的训练曲线和评估误差曲线：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LOSS、MAE、RMSE</w:t>
      </w:r>
    </w:p>
    <w:p w14:paraId="42A7752A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/>
          <w:bCs/>
          <w:szCs w:val="21"/>
        </w:rPr>
      </w:pPr>
    </w:p>
    <w:p w14:paraId="4647F3D4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/>
          <w:bCs/>
          <w:szCs w:val="21"/>
        </w:rPr>
      </w:pPr>
    </w:p>
    <w:p w14:paraId="43C40C30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消融实验 1</w:t>
      </w:r>
      <w:r>
        <w:rPr>
          <w:rFonts w:hint="eastAsia" w:ascii="Times New Roman" w:hAnsi="Times New Roman" w:eastAsia="宋体" w:cs="Times New Roman"/>
          <w:b/>
          <w:bCs/>
          <w:szCs w:val="21"/>
          <w:lang w:eastAsia="zh-CN"/>
        </w:rPr>
        <w:t>：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PPG-Former 模块消融</w:t>
      </w:r>
      <w:r>
        <w:rPr>
          <w:rFonts w:hint="eastAsia" w:ascii="Times New Roman" w:hAnsi="Times New Roman" w:eastAsia="宋体" w:cs="Times New Roman"/>
          <w:b/>
          <w:bCs/>
          <w:szCs w:val="21"/>
        </w:rPr>
        <w:br w:type="textWrapping"/>
      </w:r>
    </w:p>
    <w:p w14:paraId="664327A7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4.1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基于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脉搏波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信号的注意力消融实验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五折及其均值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（均值±标准差）</w:t>
      </w:r>
    </w:p>
    <w:tbl>
      <w:tblPr>
        <w:tblStyle w:val="3"/>
        <w:tblW w:w="50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193"/>
        <w:gridCol w:w="1234"/>
        <w:gridCol w:w="1255"/>
        <w:gridCol w:w="1200"/>
        <w:gridCol w:w="1322"/>
        <w:gridCol w:w="1301"/>
      </w:tblGrid>
      <w:tr w14:paraId="0564C6BB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5ADA072D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413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0127DD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7DDAD98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52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3FC891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0298C633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79121D78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94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A304F6B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1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C4784E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3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303828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52B77F5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70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6ACB8C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5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C21398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65919F25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23F574B9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w/o生理周期编码</w:t>
            </w:r>
          </w:p>
        </w:tc>
        <w:tc>
          <w:tcPr>
            <w:tcW w:w="694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C77132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3.75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± 0.1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</w:t>
            </w:r>
          </w:p>
        </w:tc>
        <w:tc>
          <w:tcPr>
            <w:tcW w:w="71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27BC27A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5.07±0.07</w:t>
            </w:r>
          </w:p>
        </w:tc>
        <w:tc>
          <w:tcPr>
            <w:tcW w:w="73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3E14DC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4.22±0.19</w:t>
            </w:r>
          </w:p>
        </w:tc>
        <w:tc>
          <w:tcPr>
            <w:tcW w:w="69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1A0401D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5.54±0.19</w:t>
            </w:r>
          </w:p>
        </w:tc>
        <w:tc>
          <w:tcPr>
            <w:tcW w:w="77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370E6978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4.37 ±0.20</w:t>
            </w:r>
          </w:p>
        </w:tc>
        <w:tc>
          <w:tcPr>
            <w:tcW w:w="75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254CBF6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5.72±0.23</w:t>
            </w:r>
          </w:p>
        </w:tc>
      </w:tr>
      <w:tr w14:paraId="08EE4D9B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67A043BC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w/o频域分支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41B2F4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3.85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0.1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8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316F32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5.18 ± 0.2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1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D7039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4.26 ± 0.0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8F998E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5.62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10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E7AF8D1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4.42 ± 0.14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FFB5784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5.78 ± 0.24</w:t>
            </w:r>
          </w:p>
        </w:tc>
      </w:tr>
      <w:tr w14:paraId="1961C80E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04ED2C5D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w/o压力感知门控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AC9F92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3.76 ± 0.13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980443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5.09±0.13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AE2B80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4.29 ± 0.05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20AB927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5.61±0.12 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52031A5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4.38 ± 0.17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CB7F760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5.73 ± 0.27</w:t>
            </w:r>
          </w:p>
        </w:tc>
      </w:tr>
      <w:tr w14:paraId="3C848372">
        <w:trPr>
          <w:trHeight w:val="433" w:hRule="atLeast"/>
        </w:trPr>
        <w:tc>
          <w:tcPr>
            <w:tcW w:w="628" w:type="pct"/>
            <w:tcBorders>
              <w:top w:val="nil"/>
              <w:left w:val="nil"/>
              <w:bottom w:val="single" w:color="auto" w:sz="4" w:space="0"/>
            </w:tcBorders>
          </w:tcPr>
          <w:p w14:paraId="0835BEBB">
            <w:pPr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PPG-Former</w:t>
            </w:r>
          </w:p>
        </w:tc>
        <w:tc>
          <w:tcPr>
            <w:tcW w:w="1193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28DEAC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3.63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0.08</w:t>
            </w:r>
          </w:p>
        </w:tc>
        <w:tc>
          <w:tcPr>
            <w:tcW w:w="1234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23798B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4.88±0.11</w:t>
            </w:r>
          </w:p>
        </w:tc>
        <w:tc>
          <w:tcPr>
            <w:tcW w:w="1255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8CD5A5A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4.07 ± 0.07</w:t>
            </w:r>
          </w:p>
        </w:tc>
        <w:tc>
          <w:tcPr>
            <w:tcW w:w="1200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C2C4D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5.34 ± 0.05</w:t>
            </w:r>
          </w:p>
        </w:tc>
        <w:tc>
          <w:tcPr>
            <w:tcW w:w="1322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3ABA24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</w:rPr>
              <w:t>4.19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±0.18</w:t>
            </w:r>
          </w:p>
        </w:tc>
        <w:tc>
          <w:tcPr>
            <w:tcW w:w="1301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5B9C98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5.45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±0.23</w:t>
            </w:r>
          </w:p>
        </w:tc>
      </w:tr>
    </w:tbl>
    <w:p w14:paraId="530429CD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11E5CCBA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820A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4.1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PPG-Former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w/o生理周期编码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37EB73A2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7731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4.2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PPG-Former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w/o频域分支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5868F716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A0B7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4.3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PPG-Former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w/o压力感知门控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681BCE4C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6447C1CB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结果说明：表4.1显示，完整 PPG-Former 在测试集上取得 MAE 4.19、RMSE 5.45，均优于三个去除模块后的消融版本。去除生理周期编码后，测试 MAE 升至 4.37；去除频域分支后，MAE 升至 4.42；去除压力感知门控后，MAE 升至 4.38。说明这三个模块都对原始 PPG 波形的压力预测有正向作用，其中频域分支去除后的误差最高，表明压力状态不仅体现在时域波形形态中，也会反映在节律和频率成分变化中。</w:t>
      </w:r>
    </w:p>
    <w:p w14:paraId="49684536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7DC88E3F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从代码实现看，PPG-Former 首先通过两层一维卷积对原始 PPG 序列进行降采样和局部特征提取，然后引入 PhysioCycleEncoding 将 60-100 bpm 范围内的心跳周期先验加入 token 表示，使模型更容易捕捉脉搏信号的周期性规律。随后，Transformer 编码器用于建模较长范围的时序依赖，注意力池化用于汇聚关键时间片段，多尺度卷积分支用于提取不同感受野下的局部形态特征。频域分支通过 frequency_summary 提取序列的频率摘要，补充时域模型难以直接表达的节律变化；压力感知门控则根据不同分支特征自适应分配权重，抑制噪声或弱相关特征。消融实验中任一模块被移除都会导致测试误差上升，说明 PPG-Former 的性能并非来自单一结构，而是由生理周期先验、时频联合建模和自适应特征选择共同带来的。</w:t>
      </w:r>
    </w:p>
    <w:p w14:paraId="46CB0A42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12E998C4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通过对 PPG-Former 的消融实验，验证了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PPG-Former组件的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有效性：</w:t>
      </w:r>
    </w:p>
    <w:p w14:paraId="3D31ABDC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1、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生理周期位置编码：移除后 MAE 从 4.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19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升至 4.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37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（性能下降约 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4.3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%）。证明复合编码策略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由“绝对位置编码”和“生理先验编码”通过可学习参数加权而成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比标准位置编码更有效，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引入心跳周期先验能有效引导模型关注生理节律。</w:t>
      </w:r>
    </w:p>
    <w:p w14:paraId="4E5DF3A3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2、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频域分支：移除后 MAE 升至 4.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。说明频域中的能量分布对压力识别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也有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作用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t>（增强特定频率成分）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。</w:t>
      </w:r>
    </w:p>
    <w:p w14:paraId="656A4C75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3、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压力感知门控：移除后性能亦有下降，证明了其在抑制运动伪影和噪声方面的鲁棒性。</w:t>
      </w:r>
    </w:p>
    <w:p w14:paraId="627AF7B5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t>移除各模块后误差均有显著上升，但波动较大，且各模块的具体贡献度尚不明确，仍需调整。</w:t>
      </w:r>
    </w:p>
    <w:p w14:paraId="08917BA6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05EBFB01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总结：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对比表2.1（PRV-Encoder）与表3.1（PPG_Former）可以发现，在本阶段的实验中，处理原始波形的 PPG-Former表现略优于基于 PRV 的轻量级网络。这一现象在预期之内：PRV 信号序列短、是稀疏的、且已是预先提取的高阶统计特征，数据维度低；而原始 PPG 波形作为原始特征，序列长、包含丰富形态信息，需要复杂模型提取特征，PPG-Former 需在庞大的时频空间内学习特征映射，表现会优于PRV轻量级模型。表4.1的消融实验证明，PPG-Former 内部设计的三个核心模块均发挥了显著且不可替代的降差作用。</w:t>
      </w:r>
    </w:p>
    <w:p w14:paraId="4A86FF6B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</w:p>
    <w:p w14:paraId="542652D6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其他消融实验：</w:t>
      </w:r>
    </w:p>
    <w:p w14:paraId="40E0685B">
      <w:pPr>
        <w:pStyle w:val="6"/>
        <w:numPr>
          <w:ilvl w:val="0"/>
          <w:numId w:val="0"/>
        </w:numPr>
        <w:spacing w:line="276" w:lineRule="auto"/>
        <w:ind w:leftChars="0"/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1、</w:t>
      </w:r>
      <w:r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  <w:t>多种多尺度模型VGGNet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、Inception 、Res2Net-13</w:t>
      </w:r>
    </w:p>
    <w:p w14:paraId="261CA71E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2、拆开双重门控：w/o 通道门控（只保留一维卷积的时间过滤）和 w/o 时间门控（只保留 MLP 的通道过滤）</w:t>
      </w:r>
    </w:p>
    <w:p w14:paraId="02A9FFDF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3、生理周期编码固定α</w:t>
      </w:r>
    </w:p>
    <w:p w14:paraId="7A9EED3B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ascii="Times New Roman" w:hAnsi="Times New Roman" w:eastAsia="宋体" w:cs="Times New Roman"/>
          <w:b/>
          <w:bCs/>
          <w:szCs w:val="21"/>
        </w:rPr>
      </w:pPr>
    </w:p>
    <w:p w14:paraId="3AEBBFA7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PFDM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（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PPG-Former Dual Stream MultiTask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）——五种情绪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PPG和PRV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数据</w:t>
      </w:r>
    </w:p>
    <w:p w14:paraId="6768DF52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szCs w:val="21"/>
        </w:rPr>
      </w:pPr>
    </w:p>
    <w:p w14:paraId="4F448288">
      <w:pPr>
        <w:spacing w:line="360" w:lineRule="auto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表</w:t>
      </w:r>
      <w:r>
        <w:rPr>
          <w:rFonts w:hint="eastAsia" w:ascii="Times New Roman" w:hAnsi="Times New Roman" w:eastAsia="宋体" w:cs="Times New Roman"/>
          <w:lang w:val="en-US" w:eastAsia="zh-CN"/>
        </w:rPr>
        <w:t>5.1</w:t>
      </w:r>
      <w:r>
        <w:rPr>
          <w:rFonts w:ascii="Times New Roman" w:hAnsi="Times New Roman" w:eastAsia="宋体" w:cs="Times New Roman"/>
        </w:rPr>
        <w:t xml:space="preserve"> 基于</w:t>
      </w:r>
      <w:r>
        <w:rPr>
          <w:rFonts w:hint="eastAsia" w:ascii="Times New Roman" w:hAnsi="Times New Roman" w:eastAsia="宋体" w:cs="Times New Roman"/>
          <w:lang w:val="en-US" w:eastAsia="zh-CN"/>
        </w:rPr>
        <w:t>PPG和PRV</w:t>
      </w:r>
      <w:r>
        <w:rPr>
          <w:rFonts w:ascii="Times New Roman" w:hAnsi="Times New Roman" w:eastAsia="宋体" w:cs="Times New Roman"/>
        </w:rPr>
        <w:t>的</w:t>
      </w:r>
      <w:r>
        <w:rPr>
          <w:rFonts w:hint="eastAsia" w:ascii="Times New Roman" w:hAnsi="Times New Roman" w:eastAsia="宋体" w:cs="Times New Roman"/>
        </w:rPr>
        <w:t>PFDM</w:t>
      </w:r>
      <w:r>
        <w:rPr>
          <w:rFonts w:ascii="Times New Roman" w:hAnsi="Times New Roman" w:eastAsia="宋体" w:cs="Times New Roman"/>
        </w:rPr>
        <w:t>实验</w:t>
      </w:r>
      <w:r>
        <w:rPr>
          <w:rFonts w:hint="eastAsia" w:ascii="Times New Roman" w:hAnsi="Times New Roman" w:eastAsia="宋体" w:cs="Times New Roman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</w:rPr>
        <w:t>五折及其均值</w:t>
      </w:r>
      <w:r>
        <w:rPr>
          <w:rFonts w:ascii="Times New Roman" w:hAnsi="Times New Roman" w:eastAsia="宋体" w:cs="Times New Roman"/>
        </w:rPr>
        <w:t>（均值</w:t>
      </w:r>
      <w:r>
        <w:rPr>
          <w:rFonts w:ascii="Times New Roman" w:hAnsi="Times New Roman" w:eastAsia="宋体" w:cs="Times New Roman"/>
          <w:color w:val="000000"/>
          <w:szCs w:val="21"/>
        </w:rPr>
        <w:t>±</w:t>
      </w:r>
      <w:r>
        <w:rPr>
          <w:rFonts w:ascii="Times New Roman" w:hAnsi="Times New Roman" w:eastAsia="宋体" w:cs="Times New Roman"/>
        </w:rPr>
        <w:t>标准差）</w:t>
      </w:r>
    </w:p>
    <w:tbl>
      <w:tblPr>
        <w:tblStyle w:val="3"/>
        <w:tblW w:w="50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193"/>
        <w:gridCol w:w="1234"/>
        <w:gridCol w:w="1255"/>
        <w:gridCol w:w="1200"/>
        <w:gridCol w:w="1322"/>
        <w:gridCol w:w="1301"/>
      </w:tblGrid>
      <w:tr w14:paraId="1E5326CA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4AE5E8E1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413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3A878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3443EBE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52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91EA69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5CC0FE30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6FE88FEC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94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BA881B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1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7CB4519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3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559740E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7E663DA4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70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71D0537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5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BBFB6B8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6C32793F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3C9EB1AD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694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A78709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4.91</w:t>
            </w:r>
          </w:p>
        </w:tc>
        <w:tc>
          <w:tcPr>
            <w:tcW w:w="71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588A5B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6.17</w:t>
            </w:r>
          </w:p>
        </w:tc>
        <w:tc>
          <w:tcPr>
            <w:tcW w:w="73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12F105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5.11</w:t>
            </w:r>
          </w:p>
        </w:tc>
        <w:tc>
          <w:tcPr>
            <w:tcW w:w="69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5A3B2A2A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6.43</w:t>
            </w:r>
          </w:p>
        </w:tc>
        <w:tc>
          <w:tcPr>
            <w:tcW w:w="77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002602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4.91</w:t>
            </w:r>
          </w:p>
        </w:tc>
        <w:tc>
          <w:tcPr>
            <w:tcW w:w="75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54E6AB6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6.11</w:t>
            </w:r>
          </w:p>
        </w:tc>
      </w:tr>
      <w:tr w14:paraId="5735747C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63684C31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2FD227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4.77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B973D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6.03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7F20DF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5.23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5A19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6.64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9853D7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5.21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D99DB2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6.43</w:t>
            </w:r>
          </w:p>
        </w:tc>
      </w:tr>
      <w:tr w14:paraId="6AF729A3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649504E0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37986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4.85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1EB9D1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6.22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F604D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5.08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681959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6.21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C8709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5.29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11F31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  <w:t>6.70</w:t>
            </w:r>
          </w:p>
        </w:tc>
      </w:tr>
      <w:tr w14:paraId="56C67789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1A0E43C6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7384CC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4.71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70B575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6.12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37CF14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5.13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29937F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6.57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242FD1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5.24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B2A83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  <w:t>6.66</w:t>
            </w:r>
          </w:p>
        </w:tc>
      </w:tr>
      <w:tr w14:paraId="3215AADB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56F887C6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96D1B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4.77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2235ED0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5.98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851F13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5.12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92A24FA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6.42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C319F0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5.19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C61B27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  <w:t>6.55</w:t>
            </w:r>
          </w:p>
        </w:tc>
      </w:tr>
      <w:tr w14:paraId="5D7C294B">
        <w:trPr>
          <w:trHeight w:val="433" w:hRule="atLeast"/>
        </w:trPr>
        <w:tc>
          <w:tcPr>
            <w:tcW w:w="628" w:type="pct"/>
            <w:tcBorders>
              <w:top w:val="nil"/>
              <w:left w:val="nil"/>
              <w:bottom w:val="single" w:color="auto" w:sz="4" w:space="0"/>
            </w:tcBorders>
          </w:tcPr>
          <w:p w14:paraId="33AA2551">
            <w:pPr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Mean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  <w:t>±Sd</w:t>
            </w:r>
          </w:p>
        </w:tc>
        <w:tc>
          <w:tcPr>
            <w:tcW w:w="694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C72B13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4.80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07</w:t>
            </w:r>
          </w:p>
        </w:tc>
        <w:tc>
          <w:tcPr>
            <w:tcW w:w="71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18CA08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6.11±0.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09</w:t>
            </w:r>
          </w:p>
        </w:tc>
        <w:tc>
          <w:tcPr>
            <w:tcW w:w="731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13B34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5.13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05</w:t>
            </w:r>
          </w:p>
        </w:tc>
        <w:tc>
          <w:tcPr>
            <w:tcW w:w="69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897979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6.45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770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896E20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5.17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757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3FFA66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6.49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±0.21</w:t>
            </w:r>
          </w:p>
        </w:tc>
      </w:tr>
    </w:tbl>
    <w:p w14:paraId="62880043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结果说明：PFDM 双流模型在表2.1中取得测试集 MAE 4.10、RMSE 5.41，是当前表格中优于单独 PPG-Former 和 PRV-Former 的结果。该结果说明 PPG 与 PRV 虽来自同一脉搏信号，但提供的信息层次不同：PPG 保留原始波形细节，PRV 更直接反映心率节律和自主神经活动。双流结构将两类信息同时输入模型，可以形成互补。</w:t>
      </w:r>
    </w:p>
    <w:p w14:paraId="17062776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从代码实现看，PFDM 采用 PPG 编码器和 PRV 编码器分别提取特征，再通过 cross_attention 进行双向跨模态交互：PPG token 查询 PRV token，PRV token 也反向查询 PPG token。相比简单拼接，这种方式能够让两个模态在特征层面进行对齐和筛选，使模型更关注与压力变化相关的跨模态一致信息。</w:t>
      </w:r>
    </w:p>
    <w:p w14:paraId="155D1EF5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6297AA0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727835" cy="960120"/>
            <wp:effectExtent l="0" t="0" r="24765" b="50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08A2">
      <w:pPr>
        <w:pStyle w:val="6"/>
        <w:numPr>
          <w:ilvl w:val="0"/>
          <w:numId w:val="0"/>
        </w:numPr>
        <w:spacing w:line="276" w:lineRule="auto"/>
        <w:ind w:leftChars="0"/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</w:rPr>
        <w:t>图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5.1</w:t>
      </w:r>
      <w:r>
        <w:rPr>
          <w:rFonts w:hint="eastAsia" w:ascii="Times New Roman" w:hAnsi="Times New Roman" w:eastAsia="宋体" w:cs="Times New Roman"/>
          <w:szCs w:val="21"/>
        </w:rPr>
        <w:t xml:space="preserve"> P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FDM</w:t>
      </w:r>
      <w:r>
        <w:rPr>
          <w:rFonts w:hint="eastAsia" w:ascii="Times New Roman" w:hAnsi="Times New Roman" w:eastAsia="宋体" w:cs="Times New Roman"/>
          <w:szCs w:val="21"/>
        </w:rPr>
        <w:t>的训练曲线和评估误差曲线：LOSS、MAE、RMSE</w:t>
      </w:r>
      <w:r>
        <w:rPr>
          <w:rFonts w:ascii="Times New Roman" w:hAnsi="Times New Roman" w:eastAsia="宋体" w:cs="Times New Roman"/>
          <w:szCs w:val="21"/>
        </w:rPr>
        <w:br w:type="textWrapping"/>
      </w:r>
    </w:p>
    <w:p w14:paraId="34C205F0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消融实验 2：双流融合消融</w:t>
      </w:r>
    </w:p>
    <w:p w14:paraId="4B82F39C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/>
          <w:bCs/>
          <w:szCs w:val="21"/>
        </w:rPr>
      </w:pPr>
      <w:r>
        <w:drawing>
          <wp:inline distT="0" distB="0" distL="114300" distR="114300">
            <wp:extent cx="5758815" cy="4256405"/>
            <wp:effectExtent l="0" t="0" r="6985" b="0"/>
            <wp:docPr id="15" name="图片 15" descr="双流融合模块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双流融合模块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bCs/>
          <w:szCs w:val="21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验证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PPG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波形与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PRV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节律的协同效果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t>。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.1 基于PPG和PRV的双流融合消融实验的五折及其均值（均值±标准差）</w:t>
      </w:r>
    </w:p>
    <w:tbl>
      <w:tblPr>
        <w:tblStyle w:val="3"/>
        <w:tblW w:w="5171" w:type="pct"/>
        <w:tblInd w:w="-2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193"/>
        <w:gridCol w:w="1234"/>
        <w:gridCol w:w="1255"/>
        <w:gridCol w:w="1200"/>
        <w:gridCol w:w="1322"/>
        <w:gridCol w:w="1301"/>
      </w:tblGrid>
      <w:tr w14:paraId="0B96E10B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</w:tcPr>
          <w:p w14:paraId="40AC3DD7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376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443227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392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AEAA7B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48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7A90A9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249664F6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</w:tcPr>
          <w:p w14:paraId="5648A5B9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76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548619D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9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6E6D9C0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1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32D0816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80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388775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49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F1C85E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3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D1E650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1E1D5BAE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  <w:vAlign w:val="top"/>
          </w:tcPr>
          <w:p w14:paraId="4CB98B52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仅 PPG</w:t>
            </w:r>
          </w:p>
        </w:tc>
        <w:tc>
          <w:tcPr>
            <w:tcW w:w="676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34B7A9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3.63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0.08</w:t>
            </w:r>
          </w:p>
        </w:tc>
        <w:tc>
          <w:tcPr>
            <w:tcW w:w="699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F7BD46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4.88±0.11</w:t>
            </w:r>
          </w:p>
        </w:tc>
        <w:tc>
          <w:tcPr>
            <w:tcW w:w="71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F1E023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4.07 ± 0.07</w:t>
            </w:r>
          </w:p>
        </w:tc>
        <w:tc>
          <w:tcPr>
            <w:tcW w:w="68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3B307FD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5.34 ± 0.05</w:t>
            </w:r>
          </w:p>
        </w:tc>
        <w:tc>
          <w:tcPr>
            <w:tcW w:w="749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779A59C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4.19±0.18</w:t>
            </w:r>
          </w:p>
        </w:tc>
        <w:tc>
          <w:tcPr>
            <w:tcW w:w="73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57118E1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5.45±0.23</w:t>
            </w:r>
          </w:p>
        </w:tc>
      </w:tr>
      <w:tr w14:paraId="263E8352">
        <w:trPr>
          <w:trHeight w:val="397" w:hRule="atLeast"/>
        </w:trPr>
        <w:tc>
          <w:tcPr>
            <w:tcW w:w="743" w:type="pct"/>
            <w:tcBorders>
              <w:top w:val="nil"/>
              <w:left w:val="nil"/>
              <w:bottom w:val="nil"/>
            </w:tcBorders>
            <w:vAlign w:val="top"/>
          </w:tcPr>
          <w:p w14:paraId="680562C2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仅 PRV</w:t>
            </w:r>
          </w:p>
        </w:tc>
        <w:tc>
          <w:tcPr>
            <w:tcW w:w="676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5C8DB0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3.90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0.11</w:t>
            </w:r>
          </w:p>
        </w:tc>
        <w:tc>
          <w:tcPr>
            <w:tcW w:w="69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B2E223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5.16±0.08</w:t>
            </w:r>
          </w:p>
        </w:tc>
        <w:tc>
          <w:tcPr>
            <w:tcW w:w="71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3014C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4.24 ± 0.17</w:t>
            </w:r>
          </w:p>
        </w:tc>
        <w:tc>
          <w:tcPr>
            <w:tcW w:w="68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57EE70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5.56 ± 0.22</w:t>
            </w:r>
          </w:p>
        </w:tc>
        <w:tc>
          <w:tcPr>
            <w:tcW w:w="74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2453F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4.33±0.17</w:t>
            </w:r>
          </w:p>
        </w:tc>
        <w:tc>
          <w:tcPr>
            <w:tcW w:w="73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669D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5.61±0.21</w:t>
            </w:r>
          </w:p>
        </w:tc>
      </w:tr>
      <w:tr w14:paraId="4E34F642">
        <w:trPr>
          <w:trHeight w:val="397" w:hRule="atLeast"/>
        </w:trPr>
        <w:tc>
          <w:tcPr>
            <w:tcW w:w="743" w:type="pct"/>
            <w:tcBorders>
              <w:top w:val="nil"/>
              <w:left w:val="nil"/>
              <w:bottom w:val="nil"/>
            </w:tcBorders>
            <w:vAlign w:val="top"/>
          </w:tcPr>
          <w:p w14:paraId="55A4B6AA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特征拼接</w:t>
            </w:r>
          </w:p>
        </w:tc>
        <w:tc>
          <w:tcPr>
            <w:tcW w:w="676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ABF3C7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3.57 ± 0.12</w:t>
            </w:r>
          </w:p>
        </w:tc>
        <w:tc>
          <w:tcPr>
            <w:tcW w:w="69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BD0B03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4.83±0.13</w:t>
            </w:r>
          </w:p>
        </w:tc>
        <w:tc>
          <w:tcPr>
            <w:tcW w:w="71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7C064B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4.07 ± 0.05</w:t>
            </w:r>
          </w:p>
        </w:tc>
        <w:tc>
          <w:tcPr>
            <w:tcW w:w="68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244CBE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5.33±0.11 </w:t>
            </w:r>
          </w:p>
        </w:tc>
        <w:tc>
          <w:tcPr>
            <w:tcW w:w="74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C4F5D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4.16 ± 0.16</w:t>
            </w:r>
          </w:p>
        </w:tc>
        <w:tc>
          <w:tcPr>
            <w:tcW w:w="73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E40BD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lang w:val="en-US" w:eastAsia="zh-CN"/>
              </w:rPr>
              <w:t>5.44 ± 0.26</w:t>
            </w:r>
          </w:p>
        </w:tc>
      </w:tr>
      <w:tr w14:paraId="6DDAC99D">
        <w:trPr>
          <w:trHeight w:val="397" w:hRule="atLeast"/>
        </w:trPr>
        <w:tc>
          <w:tcPr>
            <w:tcW w:w="743" w:type="pct"/>
            <w:tcBorders>
              <w:top w:val="nil"/>
              <w:left w:val="nil"/>
              <w:bottom w:val="nil"/>
            </w:tcBorders>
            <w:vAlign w:val="top"/>
          </w:tcPr>
          <w:p w14:paraId="2C48702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单向注意力</w:t>
            </w:r>
          </w:p>
        </w:tc>
        <w:tc>
          <w:tcPr>
            <w:tcW w:w="676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8EE81C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7 ± 0.1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7</w:t>
            </w:r>
          </w:p>
        </w:tc>
        <w:tc>
          <w:tcPr>
            <w:tcW w:w="69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DD55D4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5.16±0.19</w:t>
            </w:r>
          </w:p>
        </w:tc>
        <w:tc>
          <w:tcPr>
            <w:tcW w:w="71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3A4DA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4.39 ± 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13</w:t>
            </w:r>
          </w:p>
        </w:tc>
        <w:tc>
          <w:tcPr>
            <w:tcW w:w="68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E45E538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5.74±0.13 </w:t>
            </w:r>
          </w:p>
        </w:tc>
        <w:tc>
          <w:tcPr>
            <w:tcW w:w="74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C9D9D3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4.48 ± 0.1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9</w:t>
            </w:r>
          </w:p>
        </w:tc>
        <w:tc>
          <w:tcPr>
            <w:tcW w:w="73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1A414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lang w:val="en-US" w:eastAsia="zh-CN"/>
              </w:rPr>
              <w:t>5.82 ± 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lang w:val="en-US" w:eastAsia="zh-CN"/>
              </w:rPr>
              <w:t>19</w:t>
            </w:r>
          </w:p>
        </w:tc>
      </w:tr>
      <w:tr w14:paraId="24A9E3FA">
        <w:trPr>
          <w:trHeight w:val="433" w:hRule="atLeast"/>
        </w:trPr>
        <w:tc>
          <w:tcPr>
            <w:tcW w:w="743" w:type="pct"/>
            <w:tcBorders>
              <w:top w:val="nil"/>
              <w:left w:val="nil"/>
              <w:bottom w:val="single" w:color="auto" w:sz="4" w:space="0"/>
            </w:tcBorders>
          </w:tcPr>
          <w:p w14:paraId="783FC782">
            <w:pPr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双向跨模态注意力</w:t>
            </w:r>
          </w:p>
        </w:tc>
        <w:tc>
          <w:tcPr>
            <w:tcW w:w="676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25517D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3.48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699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93B591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4.77±0.1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711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1957B4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680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5201D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749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328CF6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</w:rPr>
              <w:t>4.1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737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98B9F9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5.41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±0.13</w:t>
            </w:r>
          </w:p>
        </w:tc>
      </w:tr>
    </w:tbl>
    <w:p w14:paraId="228AC33D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结果说明：双流融合消融显示，双向跨模态注意力的测试 MAE 为 4.10，优于仅 PPG（4.19）、仅 PRV（4.33）和特征拼接（4.16），说明两种生理表征之间确实存在互补关系，且跨模态注意力比静态拼接更适合建模这种互补关系。特征拼接虽然能利用双模态信息，但无法显式判断哪些时间片段或特征维度应相互参考，因此提升幅度有限。</w:t>
      </w:r>
    </w:p>
    <w:p w14:paraId="79B5AEE0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单向注意力结果较差（MAE 4.48），说明只让 PPG 查询 PRV 会造成信息流不平衡：PRV 的节律信息参与增强 PPG 表征，但 PRV 分支无法从原始 PPG 波形中反向获得形态补充。双向注意力同时保留两条信息流，更符合“原始波形与衍生特征深度交互”的设计思路。</w:t>
      </w:r>
    </w:p>
    <w:p w14:paraId="509DCB26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4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4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4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86B0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6.1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特征拼接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4B375827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4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4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4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B06A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6.2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单向注意力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6B9362CB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727835" cy="960120"/>
            <wp:effectExtent l="0" t="0" r="24765" b="5080"/>
            <wp:docPr id="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14FB3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6.3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双向跨模态注意力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0B52CCC7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ascii="Times New Roman" w:hAnsi="Times New Roman" w:eastAsia="宋体" w:cs="Times New Roman"/>
          <w:b/>
          <w:bCs/>
          <w:szCs w:val="21"/>
        </w:rPr>
      </w:pPr>
    </w:p>
    <w:p w14:paraId="134DA417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 xml:space="preserve">消融实验 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：多任务不确定性加权消融</w:t>
      </w:r>
    </w:p>
    <w:p w14:paraId="50267C71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测试基于同方差不确定性的损失函数加权，以此解决压力回归与情绪分类任务中的标签不平衡问题。核心在于自动学习参数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(压力参数和情绪参数)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来平衡损失。</w:t>
      </w:r>
    </w:p>
    <w:p w14:paraId="75ECEF20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7BA727A8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.1 基于PPG和PRV的多任务不确定性加权消融实验的五折及其均值（均值±标准差）</w:t>
      </w:r>
    </w:p>
    <w:tbl>
      <w:tblPr>
        <w:tblStyle w:val="3"/>
        <w:tblW w:w="5171" w:type="pct"/>
        <w:tblInd w:w="-2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193"/>
        <w:gridCol w:w="1234"/>
        <w:gridCol w:w="1255"/>
        <w:gridCol w:w="1200"/>
        <w:gridCol w:w="1322"/>
        <w:gridCol w:w="1301"/>
      </w:tblGrid>
      <w:tr w14:paraId="35D33E0E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</w:tcPr>
          <w:p w14:paraId="160401D8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376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A3B402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392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71B3E0C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48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DCD1B1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5B552D3C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</w:tcPr>
          <w:p w14:paraId="751E3488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76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2D37780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9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D5C974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1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5BA919A4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80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C56593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49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2D89F7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3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4124E3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6E27920D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  <w:vAlign w:val="top"/>
          </w:tcPr>
          <w:p w14:paraId="71028D74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单任务压力</w:t>
            </w:r>
          </w:p>
        </w:tc>
        <w:tc>
          <w:tcPr>
            <w:tcW w:w="676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D838A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3.51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± 0.29</w:t>
            </w:r>
          </w:p>
        </w:tc>
        <w:tc>
          <w:tcPr>
            <w:tcW w:w="699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D1A035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5.02±0.34</w:t>
            </w:r>
          </w:p>
        </w:tc>
        <w:tc>
          <w:tcPr>
            <w:tcW w:w="71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2EB01B1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4.32±0.27</w:t>
            </w:r>
          </w:p>
        </w:tc>
        <w:tc>
          <w:tcPr>
            <w:tcW w:w="68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234D9B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5.96±0.44</w:t>
            </w:r>
          </w:p>
        </w:tc>
        <w:tc>
          <w:tcPr>
            <w:tcW w:w="749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1D90A07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4.41 ±0.10</w:t>
            </w:r>
          </w:p>
        </w:tc>
        <w:tc>
          <w:tcPr>
            <w:tcW w:w="73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3740EC6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6.00±0.16</w:t>
            </w:r>
          </w:p>
        </w:tc>
      </w:tr>
      <w:tr w14:paraId="59C32E7A">
        <w:trPr>
          <w:trHeight w:val="397" w:hRule="atLeast"/>
        </w:trPr>
        <w:tc>
          <w:tcPr>
            <w:tcW w:w="743" w:type="pct"/>
            <w:tcBorders>
              <w:top w:val="nil"/>
              <w:left w:val="nil"/>
              <w:bottom w:val="nil"/>
            </w:tcBorders>
            <w:vAlign w:val="top"/>
          </w:tcPr>
          <w:p w14:paraId="47A4A092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多任务固定权重</w:t>
            </w:r>
          </w:p>
        </w:tc>
        <w:tc>
          <w:tcPr>
            <w:tcW w:w="676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8962F0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3.47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0.1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8</w:t>
            </w:r>
          </w:p>
        </w:tc>
        <w:tc>
          <w:tcPr>
            <w:tcW w:w="69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6200A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5.00 ± 0.2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8</w:t>
            </w:r>
          </w:p>
        </w:tc>
        <w:tc>
          <w:tcPr>
            <w:tcW w:w="71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5D57C7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4.27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19</w:t>
            </w:r>
          </w:p>
        </w:tc>
        <w:tc>
          <w:tcPr>
            <w:tcW w:w="68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8E04C1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5.93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31</w:t>
            </w:r>
          </w:p>
        </w:tc>
        <w:tc>
          <w:tcPr>
            <w:tcW w:w="74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33D44D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4.38 ± 0.08</w:t>
            </w:r>
          </w:p>
        </w:tc>
        <w:tc>
          <w:tcPr>
            <w:tcW w:w="73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405B7F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5.98 ± 0.14</w:t>
            </w:r>
          </w:p>
        </w:tc>
      </w:tr>
      <w:tr w14:paraId="369E49EB">
        <w:trPr>
          <w:trHeight w:val="397" w:hRule="atLeast"/>
        </w:trPr>
        <w:tc>
          <w:tcPr>
            <w:tcW w:w="743" w:type="pct"/>
            <w:tcBorders>
              <w:top w:val="nil"/>
              <w:left w:val="nil"/>
            </w:tcBorders>
            <w:vAlign w:val="top"/>
          </w:tcPr>
          <w:p w14:paraId="1137F9EA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不确定性加权</w:t>
            </w:r>
          </w:p>
        </w:tc>
        <w:tc>
          <w:tcPr>
            <w:tcW w:w="1193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66A8A3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3.48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34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124C18A8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4.77±0.1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55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530F187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00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073B5817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322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2C9B0E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</w:rPr>
              <w:t>4.1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1301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5D33407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5.41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±0.13</w:t>
            </w:r>
          </w:p>
        </w:tc>
      </w:tr>
    </w:tbl>
    <w:p w14:paraId="753932D9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结果说明：多任务消融表明，不确定性加权模型的测试 MAE 为 4.10、RMSE 为 5.41，明显优于单任务压力回归和固定权重多任务学习。单任务模型只优化压力预测，无法利用情绪标签中包含的心理状态信息；固定权重多任务虽然引入了情绪分类辅助任务，但不同任务的损失尺度和学习难度不同，固定比例可能使某一任务主导训练。</w:t>
      </w:r>
    </w:p>
    <w:p w14:paraId="27ADDDD1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代码中的 uncertainty 模式通过可学习的 log_vars 自动调整压力回归、情绪分类和辅助任务损失的相对权重，使模型根据任务不确定性分配训练关注度。该结果支持开题报告中的假设：压力水平与情绪状态存在相关性，利用情绪任务作为辅助监督可以提升共享特征的泛化能力，并减少单一压力回归任务的过拟合风险。</w:t>
      </w:r>
    </w:p>
    <w:p w14:paraId="0A8F3954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6DF8575C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5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5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5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D44F4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7.1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单任务压力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2603CC8D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6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6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6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D480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7.2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单向注意力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04747729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65783D03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3F44B6F1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</w:p>
    <w:p w14:paraId="1C9093B7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br w:type="textWrapping"/>
      </w:r>
    </w:p>
    <w:p w14:paraId="4D2830FC">
      <w:pPr>
        <w:spacing w:line="360" w:lineRule="auto"/>
        <w:jc w:val="both"/>
        <w:rPr>
          <w:rFonts w:ascii="Times New Roman" w:hAnsi="Times New Roman" w:eastAsia="宋体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4A6DBE"/>
    <w:multiLevelType w:val="multilevel"/>
    <w:tmpl w:val="5F4A6DBE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0B3"/>
    <w:rsid w:val="00002B33"/>
    <w:rsid w:val="00007DB8"/>
    <w:rsid w:val="000347CC"/>
    <w:rsid w:val="00035C51"/>
    <w:rsid w:val="0004336E"/>
    <w:rsid w:val="000563F7"/>
    <w:rsid w:val="000602FB"/>
    <w:rsid w:val="000752F7"/>
    <w:rsid w:val="00081838"/>
    <w:rsid w:val="00095E2E"/>
    <w:rsid w:val="00097234"/>
    <w:rsid w:val="000A1B7F"/>
    <w:rsid w:val="000B1DBD"/>
    <w:rsid w:val="000C0E55"/>
    <w:rsid w:val="000C215C"/>
    <w:rsid w:val="000C63BA"/>
    <w:rsid w:val="000E1E2A"/>
    <w:rsid w:val="000E7666"/>
    <w:rsid w:val="000F1603"/>
    <w:rsid w:val="000F79D9"/>
    <w:rsid w:val="000F7B6A"/>
    <w:rsid w:val="001012D7"/>
    <w:rsid w:val="0010196C"/>
    <w:rsid w:val="00107433"/>
    <w:rsid w:val="00107F60"/>
    <w:rsid w:val="001202BB"/>
    <w:rsid w:val="00127BB7"/>
    <w:rsid w:val="00130215"/>
    <w:rsid w:val="00131E8B"/>
    <w:rsid w:val="0013759E"/>
    <w:rsid w:val="001458D0"/>
    <w:rsid w:val="00154FFB"/>
    <w:rsid w:val="0016293D"/>
    <w:rsid w:val="00165897"/>
    <w:rsid w:val="00166525"/>
    <w:rsid w:val="001768DD"/>
    <w:rsid w:val="00184AC2"/>
    <w:rsid w:val="00190E4B"/>
    <w:rsid w:val="001967D2"/>
    <w:rsid w:val="001A0E5D"/>
    <w:rsid w:val="001A2C29"/>
    <w:rsid w:val="001A4F80"/>
    <w:rsid w:val="001B0C70"/>
    <w:rsid w:val="001C1708"/>
    <w:rsid w:val="001C5BD4"/>
    <w:rsid w:val="001D18E4"/>
    <w:rsid w:val="001E227C"/>
    <w:rsid w:val="001E59A1"/>
    <w:rsid w:val="001E6F63"/>
    <w:rsid w:val="001E76A1"/>
    <w:rsid w:val="001F0292"/>
    <w:rsid w:val="001F711D"/>
    <w:rsid w:val="00206E88"/>
    <w:rsid w:val="0021048C"/>
    <w:rsid w:val="00210AEF"/>
    <w:rsid w:val="00212D2A"/>
    <w:rsid w:val="002147F9"/>
    <w:rsid w:val="00221210"/>
    <w:rsid w:val="00226472"/>
    <w:rsid w:val="002335CB"/>
    <w:rsid w:val="00237E11"/>
    <w:rsid w:val="00240B3A"/>
    <w:rsid w:val="00253376"/>
    <w:rsid w:val="00255EA9"/>
    <w:rsid w:val="0028245F"/>
    <w:rsid w:val="002830FD"/>
    <w:rsid w:val="002850C5"/>
    <w:rsid w:val="002929E8"/>
    <w:rsid w:val="00294C0C"/>
    <w:rsid w:val="002959EF"/>
    <w:rsid w:val="002A1966"/>
    <w:rsid w:val="002A38D6"/>
    <w:rsid w:val="002A459F"/>
    <w:rsid w:val="002A6A7E"/>
    <w:rsid w:val="002B7B98"/>
    <w:rsid w:val="002C13AE"/>
    <w:rsid w:val="002C1ED2"/>
    <w:rsid w:val="002D0365"/>
    <w:rsid w:val="002D3552"/>
    <w:rsid w:val="002D3AA5"/>
    <w:rsid w:val="002E16EA"/>
    <w:rsid w:val="002F0C12"/>
    <w:rsid w:val="002F28D9"/>
    <w:rsid w:val="002F2EC7"/>
    <w:rsid w:val="002F73D6"/>
    <w:rsid w:val="00307017"/>
    <w:rsid w:val="00310ECF"/>
    <w:rsid w:val="0031488D"/>
    <w:rsid w:val="00320406"/>
    <w:rsid w:val="00330439"/>
    <w:rsid w:val="003435D9"/>
    <w:rsid w:val="00344D4A"/>
    <w:rsid w:val="003524F4"/>
    <w:rsid w:val="003751CD"/>
    <w:rsid w:val="00377522"/>
    <w:rsid w:val="00380189"/>
    <w:rsid w:val="00382847"/>
    <w:rsid w:val="003927BD"/>
    <w:rsid w:val="003A01E3"/>
    <w:rsid w:val="003A0B9D"/>
    <w:rsid w:val="003A464E"/>
    <w:rsid w:val="003C44AD"/>
    <w:rsid w:val="003E5E62"/>
    <w:rsid w:val="003E7659"/>
    <w:rsid w:val="003E7A49"/>
    <w:rsid w:val="004002A3"/>
    <w:rsid w:val="004041EF"/>
    <w:rsid w:val="00411A7D"/>
    <w:rsid w:val="004145D7"/>
    <w:rsid w:val="00431506"/>
    <w:rsid w:val="00437873"/>
    <w:rsid w:val="004473AB"/>
    <w:rsid w:val="00454914"/>
    <w:rsid w:val="0047345F"/>
    <w:rsid w:val="00473464"/>
    <w:rsid w:val="00485C7C"/>
    <w:rsid w:val="00487906"/>
    <w:rsid w:val="004967FA"/>
    <w:rsid w:val="004A1DE6"/>
    <w:rsid w:val="004A4548"/>
    <w:rsid w:val="004B2B8A"/>
    <w:rsid w:val="004B3C8E"/>
    <w:rsid w:val="004B4847"/>
    <w:rsid w:val="004C6035"/>
    <w:rsid w:val="004C63AE"/>
    <w:rsid w:val="004E2171"/>
    <w:rsid w:val="004F7B06"/>
    <w:rsid w:val="00504956"/>
    <w:rsid w:val="00512042"/>
    <w:rsid w:val="00520CF8"/>
    <w:rsid w:val="005272AF"/>
    <w:rsid w:val="005353B1"/>
    <w:rsid w:val="00552F7D"/>
    <w:rsid w:val="00554FA6"/>
    <w:rsid w:val="00561808"/>
    <w:rsid w:val="00562EB8"/>
    <w:rsid w:val="00573313"/>
    <w:rsid w:val="00575F1F"/>
    <w:rsid w:val="0058050E"/>
    <w:rsid w:val="0058167B"/>
    <w:rsid w:val="00582857"/>
    <w:rsid w:val="00587F4D"/>
    <w:rsid w:val="0059287C"/>
    <w:rsid w:val="00593A0A"/>
    <w:rsid w:val="00593E05"/>
    <w:rsid w:val="005A17BA"/>
    <w:rsid w:val="005A7231"/>
    <w:rsid w:val="005B591A"/>
    <w:rsid w:val="005B5E90"/>
    <w:rsid w:val="005B694D"/>
    <w:rsid w:val="005C37B3"/>
    <w:rsid w:val="005D18FA"/>
    <w:rsid w:val="005E46B1"/>
    <w:rsid w:val="005E7CC6"/>
    <w:rsid w:val="006009B1"/>
    <w:rsid w:val="006076BF"/>
    <w:rsid w:val="00612265"/>
    <w:rsid w:val="00615507"/>
    <w:rsid w:val="0062059E"/>
    <w:rsid w:val="00620B27"/>
    <w:rsid w:val="006277D1"/>
    <w:rsid w:val="00640261"/>
    <w:rsid w:val="00647E62"/>
    <w:rsid w:val="00655E7B"/>
    <w:rsid w:val="00692D6E"/>
    <w:rsid w:val="006960E1"/>
    <w:rsid w:val="00697002"/>
    <w:rsid w:val="00697075"/>
    <w:rsid w:val="006A13D8"/>
    <w:rsid w:val="006A335F"/>
    <w:rsid w:val="006A7ADA"/>
    <w:rsid w:val="006B109B"/>
    <w:rsid w:val="006B4D51"/>
    <w:rsid w:val="006C0B77"/>
    <w:rsid w:val="006C2191"/>
    <w:rsid w:val="006C7C27"/>
    <w:rsid w:val="006D1785"/>
    <w:rsid w:val="006D2170"/>
    <w:rsid w:val="006D478D"/>
    <w:rsid w:val="006E06C5"/>
    <w:rsid w:val="006E3B9D"/>
    <w:rsid w:val="006E43E7"/>
    <w:rsid w:val="006F48F9"/>
    <w:rsid w:val="00703BFC"/>
    <w:rsid w:val="0071684B"/>
    <w:rsid w:val="007211BC"/>
    <w:rsid w:val="007279EF"/>
    <w:rsid w:val="00732F41"/>
    <w:rsid w:val="007477CA"/>
    <w:rsid w:val="007505D0"/>
    <w:rsid w:val="00753243"/>
    <w:rsid w:val="00770120"/>
    <w:rsid w:val="00772793"/>
    <w:rsid w:val="00777BFA"/>
    <w:rsid w:val="00782955"/>
    <w:rsid w:val="007914FB"/>
    <w:rsid w:val="0079258F"/>
    <w:rsid w:val="007A6101"/>
    <w:rsid w:val="007A6FE1"/>
    <w:rsid w:val="007C2FBB"/>
    <w:rsid w:val="007E36AE"/>
    <w:rsid w:val="007E42AB"/>
    <w:rsid w:val="007F25AB"/>
    <w:rsid w:val="007F2D9C"/>
    <w:rsid w:val="007F42F1"/>
    <w:rsid w:val="007F569F"/>
    <w:rsid w:val="007F7C95"/>
    <w:rsid w:val="008068B6"/>
    <w:rsid w:val="0081158F"/>
    <w:rsid w:val="00814980"/>
    <w:rsid w:val="008153F6"/>
    <w:rsid w:val="008314F2"/>
    <w:rsid w:val="008319DB"/>
    <w:rsid w:val="008321F9"/>
    <w:rsid w:val="0084436D"/>
    <w:rsid w:val="00845AE6"/>
    <w:rsid w:val="00845EFC"/>
    <w:rsid w:val="00846FED"/>
    <w:rsid w:val="00855DE8"/>
    <w:rsid w:val="00863FBC"/>
    <w:rsid w:val="0086732C"/>
    <w:rsid w:val="0087308B"/>
    <w:rsid w:val="008740C1"/>
    <w:rsid w:val="00890A80"/>
    <w:rsid w:val="008A0DC3"/>
    <w:rsid w:val="008A4233"/>
    <w:rsid w:val="008A5FFC"/>
    <w:rsid w:val="008B2EBF"/>
    <w:rsid w:val="008B5AB7"/>
    <w:rsid w:val="008B7368"/>
    <w:rsid w:val="008C5034"/>
    <w:rsid w:val="008D0DF4"/>
    <w:rsid w:val="008E03B7"/>
    <w:rsid w:val="008E6AA3"/>
    <w:rsid w:val="008F68B8"/>
    <w:rsid w:val="009107B4"/>
    <w:rsid w:val="009203D9"/>
    <w:rsid w:val="0093584F"/>
    <w:rsid w:val="00945CB4"/>
    <w:rsid w:val="0095168F"/>
    <w:rsid w:val="00960A37"/>
    <w:rsid w:val="00963E4E"/>
    <w:rsid w:val="00964EE3"/>
    <w:rsid w:val="00965C65"/>
    <w:rsid w:val="009759AE"/>
    <w:rsid w:val="00975E7F"/>
    <w:rsid w:val="009852F1"/>
    <w:rsid w:val="00990F3F"/>
    <w:rsid w:val="00991555"/>
    <w:rsid w:val="00991C94"/>
    <w:rsid w:val="009A3C81"/>
    <w:rsid w:val="009A749A"/>
    <w:rsid w:val="009B29A0"/>
    <w:rsid w:val="009B5F63"/>
    <w:rsid w:val="009B6AC9"/>
    <w:rsid w:val="009C5479"/>
    <w:rsid w:val="009C7E26"/>
    <w:rsid w:val="009D2CF8"/>
    <w:rsid w:val="009F06C3"/>
    <w:rsid w:val="009F0E9A"/>
    <w:rsid w:val="009F3DF3"/>
    <w:rsid w:val="009F5C8B"/>
    <w:rsid w:val="00A03B6D"/>
    <w:rsid w:val="00A0654F"/>
    <w:rsid w:val="00A06FF6"/>
    <w:rsid w:val="00A13A65"/>
    <w:rsid w:val="00A140F7"/>
    <w:rsid w:val="00A169AD"/>
    <w:rsid w:val="00A2367B"/>
    <w:rsid w:val="00A4718E"/>
    <w:rsid w:val="00A61AE0"/>
    <w:rsid w:val="00A67B13"/>
    <w:rsid w:val="00A74B27"/>
    <w:rsid w:val="00A74DC8"/>
    <w:rsid w:val="00A7549B"/>
    <w:rsid w:val="00A80895"/>
    <w:rsid w:val="00A80AC2"/>
    <w:rsid w:val="00A90B44"/>
    <w:rsid w:val="00A91ABD"/>
    <w:rsid w:val="00AA1397"/>
    <w:rsid w:val="00AA6534"/>
    <w:rsid w:val="00AA7968"/>
    <w:rsid w:val="00AB18B6"/>
    <w:rsid w:val="00AB432E"/>
    <w:rsid w:val="00AC4F07"/>
    <w:rsid w:val="00AC52B1"/>
    <w:rsid w:val="00AE4418"/>
    <w:rsid w:val="00AF2E4C"/>
    <w:rsid w:val="00AF3A5C"/>
    <w:rsid w:val="00AF4193"/>
    <w:rsid w:val="00AF6A1C"/>
    <w:rsid w:val="00B125EE"/>
    <w:rsid w:val="00B22B32"/>
    <w:rsid w:val="00B26E14"/>
    <w:rsid w:val="00B27559"/>
    <w:rsid w:val="00B347EE"/>
    <w:rsid w:val="00B4087B"/>
    <w:rsid w:val="00B4403B"/>
    <w:rsid w:val="00B6637B"/>
    <w:rsid w:val="00B73E09"/>
    <w:rsid w:val="00B818BC"/>
    <w:rsid w:val="00B852B7"/>
    <w:rsid w:val="00B956E2"/>
    <w:rsid w:val="00B95A21"/>
    <w:rsid w:val="00B97C2E"/>
    <w:rsid w:val="00BA54C8"/>
    <w:rsid w:val="00BB4915"/>
    <w:rsid w:val="00BC6653"/>
    <w:rsid w:val="00BC6E12"/>
    <w:rsid w:val="00BD0723"/>
    <w:rsid w:val="00BD1146"/>
    <w:rsid w:val="00BE2FA9"/>
    <w:rsid w:val="00BE6A94"/>
    <w:rsid w:val="00BE789D"/>
    <w:rsid w:val="00BF31AD"/>
    <w:rsid w:val="00BF49B8"/>
    <w:rsid w:val="00C0397F"/>
    <w:rsid w:val="00C11458"/>
    <w:rsid w:val="00C17D3B"/>
    <w:rsid w:val="00C303C7"/>
    <w:rsid w:val="00C335AC"/>
    <w:rsid w:val="00C36C5C"/>
    <w:rsid w:val="00C37584"/>
    <w:rsid w:val="00C41645"/>
    <w:rsid w:val="00C429C3"/>
    <w:rsid w:val="00C50751"/>
    <w:rsid w:val="00C56E85"/>
    <w:rsid w:val="00C578D6"/>
    <w:rsid w:val="00C61557"/>
    <w:rsid w:val="00C617BF"/>
    <w:rsid w:val="00C65C56"/>
    <w:rsid w:val="00C712AB"/>
    <w:rsid w:val="00C7144C"/>
    <w:rsid w:val="00C74EDF"/>
    <w:rsid w:val="00C74FC7"/>
    <w:rsid w:val="00C8092F"/>
    <w:rsid w:val="00C83379"/>
    <w:rsid w:val="00C90FBC"/>
    <w:rsid w:val="00C95706"/>
    <w:rsid w:val="00CB42CF"/>
    <w:rsid w:val="00CB6FA8"/>
    <w:rsid w:val="00CC295A"/>
    <w:rsid w:val="00CE33DB"/>
    <w:rsid w:val="00CF1BBC"/>
    <w:rsid w:val="00CF26AD"/>
    <w:rsid w:val="00CF6697"/>
    <w:rsid w:val="00D01968"/>
    <w:rsid w:val="00D25EF1"/>
    <w:rsid w:val="00D3208E"/>
    <w:rsid w:val="00D339BC"/>
    <w:rsid w:val="00D45315"/>
    <w:rsid w:val="00D5532D"/>
    <w:rsid w:val="00D70429"/>
    <w:rsid w:val="00D70E7F"/>
    <w:rsid w:val="00D731EC"/>
    <w:rsid w:val="00D73F84"/>
    <w:rsid w:val="00D82B5E"/>
    <w:rsid w:val="00D864E8"/>
    <w:rsid w:val="00D86F6E"/>
    <w:rsid w:val="00D929C9"/>
    <w:rsid w:val="00D93D4F"/>
    <w:rsid w:val="00D96D1C"/>
    <w:rsid w:val="00D97BF3"/>
    <w:rsid w:val="00DA7B2E"/>
    <w:rsid w:val="00DB7D83"/>
    <w:rsid w:val="00DC1576"/>
    <w:rsid w:val="00DD1C91"/>
    <w:rsid w:val="00DF55C8"/>
    <w:rsid w:val="00E0374C"/>
    <w:rsid w:val="00E04F60"/>
    <w:rsid w:val="00E073AF"/>
    <w:rsid w:val="00E25147"/>
    <w:rsid w:val="00E26612"/>
    <w:rsid w:val="00E33131"/>
    <w:rsid w:val="00E43D3D"/>
    <w:rsid w:val="00E62B9D"/>
    <w:rsid w:val="00E63363"/>
    <w:rsid w:val="00E85669"/>
    <w:rsid w:val="00E86333"/>
    <w:rsid w:val="00E87368"/>
    <w:rsid w:val="00EA29AD"/>
    <w:rsid w:val="00EA4BBD"/>
    <w:rsid w:val="00EC7243"/>
    <w:rsid w:val="00EE0CBD"/>
    <w:rsid w:val="00EE29B0"/>
    <w:rsid w:val="00EE3903"/>
    <w:rsid w:val="00EE57D1"/>
    <w:rsid w:val="00EF104A"/>
    <w:rsid w:val="00EF2253"/>
    <w:rsid w:val="00F044D9"/>
    <w:rsid w:val="00F052AB"/>
    <w:rsid w:val="00F11476"/>
    <w:rsid w:val="00F14FD5"/>
    <w:rsid w:val="00F23CAB"/>
    <w:rsid w:val="00F269EE"/>
    <w:rsid w:val="00F43853"/>
    <w:rsid w:val="00F55E97"/>
    <w:rsid w:val="00F6240C"/>
    <w:rsid w:val="00F73DA7"/>
    <w:rsid w:val="00F74A99"/>
    <w:rsid w:val="00F82959"/>
    <w:rsid w:val="00F86DC5"/>
    <w:rsid w:val="00F87494"/>
    <w:rsid w:val="00FA2B1A"/>
    <w:rsid w:val="00FA3032"/>
    <w:rsid w:val="00FA377B"/>
    <w:rsid w:val="00FB2561"/>
    <w:rsid w:val="00FB50B3"/>
    <w:rsid w:val="00FB7634"/>
    <w:rsid w:val="00FC63A1"/>
    <w:rsid w:val="00FC692C"/>
    <w:rsid w:val="00FD1424"/>
    <w:rsid w:val="00FD6749"/>
    <w:rsid w:val="00FE2F68"/>
    <w:rsid w:val="00FF4478"/>
    <w:rsid w:val="00FF5869"/>
    <w:rsid w:val="1F6E7FB4"/>
    <w:rsid w:val="259FBA87"/>
    <w:rsid w:val="3B7B0A35"/>
    <w:rsid w:val="3DD755BA"/>
    <w:rsid w:val="3DFE08C2"/>
    <w:rsid w:val="3EBB9928"/>
    <w:rsid w:val="3FF7DB72"/>
    <w:rsid w:val="557BC8E0"/>
    <w:rsid w:val="5D47B85E"/>
    <w:rsid w:val="5E7BE106"/>
    <w:rsid w:val="67A79BC4"/>
    <w:rsid w:val="6E5F04AD"/>
    <w:rsid w:val="6EBD827B"/>
    <w:rsid w:val="6EFEC614"/>
    <w:rsid w:val="6F7D78DE"/>
    <w:rsid w:val="729C3096"/>
    <w:rsid w:val="75FC1FDA"/>
    <w:rsid w:val="76FEAC14"/>
    <w:rsid w:val="77AF5052"/>
    <w:rsid w:val="77FBA0D2"/>
    <w:rsid w:val="7CFB056A"/>
    <w:rsid w:val="7DBF68F7"/>
    <w:rsid w:val="7DC723BD"/>
    <w:rsid w:val="7F5D926C"/>
    <w:rsid w:val="7FB75C43"/>
    <w:rsid w:val="7FD3A0DE"/>
    <w:rsid w:val="7FFF7B8C"/>
    <w:rsid w:val="9BEF2A3F"/>
    <w:rsid w:val="A7E99D24"/>
    <w:rsid w:val="B1DC3957"/>
    <w:rsid w:val="BACF4BFC"/>
    <w:rsid w:val="DD0B3D46"/>
    <w:rsid w:val="DDA61B89"/>
    <w:rsid w:val="EAE7BB97"/>
    <w:rsid w:val="F77DBC9D"/>
    <w:rsid w:val="F9D8E552"/>
    <w:rsid w:val="F9FD6DD1"/>
    <w:rsid w:val="FA768088"/>
    <w:rsid w:val="FB738391"/>
    <w:rsid w:val="FBFD18E7"/>
    <w:rsid w:val="FD9E385E"/>
    <w:rsid w:val="FFDF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22"/>
    <w:rPr>
      <w:b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table" w:customStyle="1" w:styleId="7">
    <w:name w:val="网格型8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3354</Words>
  <Characters>6341</Characters>
  <Lines>218</Lines>
  <Paragraphs>153</Paragraphs>
  <TotalTime>209</TotalTime>
  <ScaleCrop>false</ScaleCrop>
  <LinksUpToDate>false</LinksUpToDate>
  <CharactersWithSpaces>9542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2024-05-03T05:06:00Z</dcterms:created>
  <dc:creator>x663</dc:creator>
  <cp:lastModifiedBy>ian</cp:lastModifiedBy>
  <dcterms:modified xsi:type="dcterms:W3CDTF">2026-06-19T21:57:23Z</dcterms:modified>
  <cp:revision>428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5644193F9B794550EE91E069C8D1D1D0_42</vt:lpwstr>
  </property>
</Properties>
</file>