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FitPilot Agent系统优化改进方案</w:t>
      </w:r>
    </w:p>
    <w:p>
      <w:pPr>
        <w:pStyle w:val="Heading2"/>
      </w:pPr>
      <w:r>
        <w:t>一、项目背景</w:t>
      </w:r>
    </w:p>
    <w:p>
      <w:r>
        <w:t>FitPilot 面向健身知识问答、训练计划与膳食任务执行场景，构建状态化 Agent 系统。本方案基于现有工作流、RAG、工具执行和评测体系，进一步优化长会话上下文管理、KV Cache友好上下文装配以及多Agent意图编排。</w:t>
      </w:r>
    </w:p>
    <w:p>
      <w:pPr>
        <w:pStyle w:val="Heading2"/>
      </w:pPr>
      <w:r>
        <w:t>二、上下文控制优化方案</w:t>
      </w:r>
    </w:p>
    <w:p>
      <w:r>
        <w:t>针对长对话历史不断累积导致上下文膨胀的问题，设计分层记忆机制：近期重要对话保留在活跃上下文，历史内容存入 PostgreSQL 并生成摘要向量索引；根据当前问题召回相关历史，同时补充邻近轮次保证语义连贯，在降低 Token 消耗的同时保持历史可追溯。</w:t>
      </w:r>
    </w:p>
    <w:p>
      <w:pPr>
        <w:pStyle w:val="Heading2"/>
      </w:pPr>
      <w:r>
        <w:t>三、KV Cache友好的上下文装配策略</w:t>
      </w:r>
    </w:p>
    <w:p>
      <w:r>
        <w:t>针对动态检索和上下文重组导致前缀缓存失效的问题，将模型约束、高复用工具 Schema 与权限边界保持为稳定前缀，近期会话采用 Append-Only 追加，新检索内容尽量后置。进一步将历史片段选择建模为带 Token 预算的有序路径优化问题，以片段相关性作为收益，以片段长度、跨片段间隔和前缀分叉成本作为代价，通过应用层上下文组织提高推理引擎 Prefix Cache 复用率。</w:t>
      </w:r>
    </w:p>
    <w:p>
      <w:pPr>
        <w:pStyle w:val="Heading2"/>
      </w:pPr>
      <w:r>
        <w:t>四、Agent意图编排优化方案</w:t>
      </w:r>
    </w:p>
    <w:p>
      <w:r>
        <w:t>设计渐进式三层意图路由：首先判断请求进入确定性工作流、单Agent推理或多Agent协作；复杂任务抽取实体、约束和依赖关系，构建任务DAG；根据Agent能力动态分配执行，并进行结果汇总、一致性校验和失败后的局部重规划。</w:t>
      </w:r>
    </w:p>
    <w:p>
      <w:pPr>
        <w:pStyle w:val="Heading2"/>
      </w:pPr>
      <w:r>
        <w:t>五、评测体系扩展</w:t>
      </w:r>
    </w:p>
    <w:p>
      <w:r>
        <w:t>增加长上下文、KV Cache和路由专项评测：上下文Token降低比例、固定预算下相关历史召回率、Long Context QA准确率、Context Diff Ratio、Longest Common Prefix比例、Prefill时间、TTFT、Router Accuracy、错误路由率和无效工具调用率。</w:t>
      </w:r>
    </w:p>
    <w:p>
      <w:pPr>
        <w:pStyle w:val="Heading2"/>
      </w:pPr>
      <w:r>
        <w:t>六、已有评测指标</w:t>
      </w:r>
    </w:p>
    <w:p>
      <w:r>
        <w:t>已有结果包括：历史上下文占用减少35.63%；16K上下文窗口内相关历史对话召回率87.08%；Agent路由准确率97.55%；拒答检测召回率73.33%；RAG检索300条用例命中率97.67%，Hit@1达到89.00%。</w:t>
      </w:r>
    </w:p>
    <w:p>
      <w:pPr>
        <w:pStyle w:val="Heading2"/>
      </w:pPr>
      <w:r>
        <w:t>七、整体技术路线</w:t>
      </w:r>
    </w:p>
    <w:p>
      <w:r>
        <w:t>用户请求 → 多层意图路由 → 任务拆解与Agent调度 → 上下文工作集构建 → 知识检索/工具执行 → 状态持久化 → 结果校验。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