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rFonts w:ascii="Arial" w:hAnsi="Arial" w:eastAsia="Arial"/>
          <w:b/>
          <w:color w:val="0B2545"/>
          <w:sz w:val="40"/>
        </w:rPr>
        <w:t>ConsensusScope EMNLP Demo Screencast Script</w:t>
      </w:r>
    </w:p>
    <w:p>
      <w:pPr>
        <w:spacing w:after="200"/>
        <w:jc w:val="center"/>
      </w:pPr>
      <w:r>
        <w:rPr>
          <w:rFonts w:ascii="Arial" w:hAnsi="Arial" w:eastAsia="Arial"/>
          <w:color w:val="555555"/>
          <w:sz w:val="22"/>
        </w:rPr>
        <w:t>English version · 2 minutes 30 seconds · with screen actions</w:t>
      </w:r>
    </w:p>
    <w:p>
      <w:pPr>
        <w:spacing w:after="100"/>
      </w:pPr>
      <w:r>
        <w:rPr>
          <w:rFonts w:ascii="Arial" w:hAnsi="Arial" w:eastAsia="Arial"/>
          <w:b/>
          <w:sz w:val="20"/>
        </w:rPr>
        <w:t xml:space="preserve">Recording target: </w:t>
      </w:r>
      <w:r>
        <w:rPr>
          <w:rFonts w:ascii="Arial" w:hAnsi="Arial" w:eastAsia="Arial"/>
          <w:sz w:val="20"/>
        </w:rPr>
        <w:t>International conference submission. Use English narration. Keep the final video at or below 2 minutes 30 seconds.</w:t>
      </w:r>
    </w:p>
    <w:p>
      <w:pPr>
        <w:spacing w:after="100"/>
      </w:pPr>
      <w:r>
        <w:rPr>
          <w:rFonts w:ascii="Arial" w:hAnsi="Arial" w:eastAsia="Arial"/>
          <w:b/>
          <w:sz w:val="20"/>
        </w:rPr>
        <w:t xml:space="preserve">Main message: </w:t>
      </w:r>
      <w:r>
        <w:rPr>
          <w:rFonts w:ascii="Arial" w:hAnsi="Arial" w:eastAsia="Arial"/>
          <w:sz w:val="20"/>
        </w:rPr>
        <w:t>Multi-model agreement is useful evidence, but it is not proof of correctness. ConsensusScope exposes when to accept, inspect, or route a multi-LLM decision for human review.</w:t>
      </w:r>
    </w:p>
    <w:p>
      <w:pPr>
        <w:pStyle w:val="Heading1"/>
      </w:pPr>
      <w:r>
        <w:t>1. Page-by-page Recording Plan</w:t>
      </w:r>
    </w:p>
    <w:tbl>
      <w:tblPr>
        <w:tblStyle w:val="TableGrid"/>
        <w:tblW w:type="dxa" w:w="9360"/>
        <w:tblLayout w:type="fixed"/>
        <w:tblLook w:firstColumn="1" w:firstRow="1" w:lastColumn="0" w:lastRow="0" w:noHBand="0" w:noVBand="1" w:val="04A0"/>
        <w:tblInd w:w="120" w:type="dxa"/>
      </w:tblPr>
      <w:tblGrid>
        <w:gridCol w:w="2448"/>
        <w:gridCol w:w="2448"/>
        <w:gridCol w:w="2448"/>
        <w:gridCol w:w="2448"/>
      </w:tblGrid>
      <w:tr>
        <w:tc>
          <w:tcPr>
            <w:tcW w:type="dxa" w:w="1152"/>
            <w:vAlign w:val="center"/>
            <w:tcMar>
              <w:top w:w="80" w:type="dxa"/>
              <w:start w:w="120" w:type="dxa"/>
              <w:bottom w:w="80" w:type="dxa"/>
              <w:end w:w="120" w:type="dxa"/>
            </w:tcMar>
            <w:shd w:fill="E8EEF5"/>
          </w:tcPr>
          <w:p>
            <w:pPr>
              <w:spacing w:after="0" w:line="259" w:lineRule="auto"/>
            </w:pPr>
            <w:r/>
            <w:r>
              <w:rPr>
                <w:rFonts w:ascii="Arial" w:hAnsi="Arial" w:eastAsia="Arial"/>
                <w:b/>
                <w:sz w:val="18"/>
              </w:rPr>
              <w:t>Time</w:t>
            </w:r>
          </w:p>
        </w:tc>
        <w:tc>
          <w:tcPr>
            <w:tcW w:type="dxa" w:w="1872"/>
            <w:vAlign w:val="center"/>
            <w:tcMar>
              <w:top w:w="80" w:type="dxa"/>
              <w:start w:w="120" w:type="dxa"/>
              <w:bottom w:w="80" w:type="dxa"/>
              <w:end w:w="120" w:type="dxa"/>
            </w:tcMar>
            <w:shd w:fill="E8EEF5"/>
          </w:tcPr>
          <w:p>
            <w:pPr>
              <w:spacing w:after="0" w:line="259" w:lineRule="auto"/>
            </w:pPr>
            <w:r/>
            <w:r>
              <w:rPr>
                <w:rFonts w:ascii="Arial" w:hAnsi="Arial" w:eastAsia="Arial"/>
                <w:b/>
                <w:sz w:val="18"/>
              </w:rPr>
              <w:t>Page</w:t>
            </w:r>
          </w:p>
        </w:tc>
        <w:tc>
          <w:tcPr>
            <w:tcW w:type="dxa" w:w="4176"/>
            <w:vAlign w:val="center"/>
            <w:tcMar>
              <w:top w:w="80" w:type="dxa"/>
              <w:start w:w="120" w:type="dxa"/>
              <w:bottom w:w="80" w:type="dxa"/>
              <w:end w:w="120" w:type="dxa"/>
            </w:tcMar>
            <w:shd w:fill="E8EEF5"/>
          </w:tcPr>
          <w:p>
            <w:pPr>
              <w:spacing w:after="0" w:line="259" w:lineRule="auto"/>
            </w:pPr>
            <w:r/>
            <w:r>
              <w:rPr>
                <w:rFonts w:ascii="Arial" w:hAnsi="Arial" w:eastAsia="Arial"/>
                <w:b/>
                <w:sz w:val="18"/>
              </w:rPr>
              <w:t>Screen Action</w:t>
            </w:r>
          </w:p>
        </w:tc>
        <w:tc>
          <w:tcPr>
            <w:tcW w:type="dxa" w:w="1872"/>
            <w:vAlign w:val="center"/>
            <w:tcMar>
              <w:top w:w="80" w:type="dxa"/>
              <w:start w:w="120" w:type="dxa"/>
              <w:bottom w:w="80" w:type="dxa"/>
              <w:end w:w="120" w:type="dxa"/>
            </w:tcMar>
            <w:shd w:fill="E8EEF5"/>
          </w:tcPr>
          <w:p>
            <w:pPr>
              <w:spacing w:after="0" w:line="259" w:lineRule="auto"/>
            </w:pPr>
            <w:r/>
            <w:r>
              <w:rPr>
                <w:rFonts w:ascii="Arial" w:hAnsi="Arial" w:eastAsia="Arial"/>
                <w:b/>
                <w:sz w:val="18"/>
              </w:rPr>
              <w:t>Narration Focus</w:t>
            </w:r>
          </w:p>
        </w:tc>
      </w:tr>
      <w:tr>
        <w:tc>
          <w:tcPr>
            <w:tcW w:type="dxa" w:w="1152"/>
            <w:vAlign w:val="center"/>
            <w:tcMar>
              <w:top w:w="80" w:type="dxa"/>
              <w:start w:w="120" w:type="dxa"/>
              <w:bottom w:w="80" w:type="dxa"/>
              <w:end w:w="120" w:type="dxa"/>
            </w:tcMar>
          </w:tcPr>
          <w:p>
            <w:pPr>
              <w:spacing w:after="0" w:line="259" w:lineRule="auto"/>
            </w:pPr>
            <w:r/>
            <w:r>
              <w:rPr>
                <w:rFonts w:ascii="Arial" w:hAnsi="Arial" w:eastAsia="Arial"/>
                <w:b w:val="0"/>
                <w:sz w:val="18"/>
              </w:rPr>
              <w:t>0:00-0:20</w:t>
            </w:r>
          </w:p>
        </w:tc>
        <w:tc>
          <w:tcPr>
            <w:tcW w:type="dxa" w:w="1872"/>
            <w:vAlign w:val="center"/>
            <w:tcMar>
              <w:top w:w="80" w:type="dxa"/>
              <w:start w:w="120" w:type="dxa"/>
              <w:bottom w:w="80" w:type="dxa"/>
              <w:end w:w="120" w:type="dxa"/>
            </w:tcMar>
          </w:tcPr>
          <w:p>
            <w:pPr>
              <w:spacing w:after="0" w:line="259" w:lineRule="auto"/>
            </w:pPr>
            <w:r/>
            <w:r>
              <w:rPr>
                <w:rFonts w:ascii="Arial" w:hAnsi="Arial" w:eastAsia="Arial"/>
                <w:b w:val="0"/>
                <w:sz w:val="18"/>
              </w:rPr>
              <w:t>Page 1</w:t>
            </w:r>
          </w:p>
        </w:tc>
        <w:tc>
          <w:tcPr>
            <w:tcW w:type="dxa" w:w="4176"/>
            <w:vAlign w:val="center"/>
            <w:tcMar>
              <w:top w:w="80" w:type="dxa"/>
              <w:start w:w="120" w:type="dxa"/>
              <w:bottom w:w="80" w:type="dxa"/>
              <w:end w:w="120" w:type="dxa"/>
            </w:tcMar>
          </w:tcPr>
          <w:p>
            <w:pPr>
              <w:spacing w:after="0" w:line="259" w:lineRule="auto"/>
            </w:pPr>
            <w:r/>
            <w:r>
              <w:rPr>
                <w:rFonts w:ascii="Arial" w:hAnsi="Arial" w:eastAsia="Arial"/>
                <w:b w:val="0"/>
                <w:sz w:val="18"/>
              </w:rPr>
              <w:t>Open Home / System Overview. Keep the pointer near the title and pipeline.</w:t>
            </w:r>
          </w:p>
        </w:tc>
        <w:tc>
          <w:tcPr>
            <w:tcW w:type="dxa" w:w="1872"/>
            <w:vAlign w:val="center"/>
            <w:tcMar>
              <w:top w:w="80" w:type="dxa"/>
              <w:start w:w="120" w:type="dxa"/>
              <w:bottom w:w="80" w:type="dxa"/>
              <w:end w:w="120" w:type="dxa"/>
            </w:tcMar>
          </w:tcPr>
          <w:p>
            <w:pPr>
              <w:spacing w:after="0" w:line="259" w:lineRule="auto"/>
            </w:pPr>
            <w:r/>
            <w:r>
              <w:rPr>
                <w:rFonts w:ascii="Arial" w:hAnsi="Arial" w:eastAsia="Arial"/>
                <w:b w:val="0"/>
                <w:sz w:val="18"/>
              </w:rPr>
              <w:t>Problem and premise</w:t>
            </w:r>
          </w:p>
        </w:tc>
      </w:tr>
      <w:tr>
        <w:tc>
          <w:tcPr>
            <w:tcW w:type="dxa" w:w="1152"/>
            <w:vAlign w:val="center"/>
            <w:tcMar>
              <w:top w:w="80" w:type="dxa"/>
              <w:start w:w="120" w:type="dxa"/>
              <w:bottom w:w="80" w:type="dxa"/>
              <w:end w:w="120" w:type="dxa"/>
            </w:tcMar>
          </w:tcPr>
          <w:p>
            <w:pPr>
              <w:spacing w:after="0" w:line="259" w:lineRule="auto"/>
            </w:pPr>
            <w:r/>
            <w:r>
              <w:rPr>
                <w:rFonts w:ascii="Arial" w:hAnsi="Arial" w:eastAsia="Arial"/>
                <w:b w:val="0"/>
                <w:sz w:val="18"/>
              </w:rPr>
              <w:t>0:20-0:45</w:t>
            </w:r>
          </w:p>
        </w:tc>
        <w:tc>
          <w:tcPr>
            <w:tcW w:type="dxa" w:w="1872"/>
            <w:vAlign w:val="center"/>
            <w:tcMar>
              <w:top w:w="80" w:type="dxa"/>
              <w:start w:w="120" w:type="dxa"/>
              <w:bottom w:w="80" w:type="dxa"/>
              <w:end w:w="120" w:type="dxa"/>
            </w:tcMar>
          </w:tcPr>
          <w:p>
            <w:pPr>
              <w:spacing w:after="0" w:line="259" w:lineRule="auto"/>
            </w:pPr>
            <w:r/>
            <w:r>
              <w:rPr>
                <w:rFonts w:ascii="Arial" w:hAnsi="Arial" w:eastAsia="Arial"/>
                <w:b w:val="0"/>
                <w:sz w:val="18"/>
              </w:rPr>
              <w:t>Page 2</w:t>
            </w:r>
          </w:p>
        </w:tc>
        <w:tc>
          <w:tcPr>
            <w:tcW w:type="dxa" w:w="4176"/>
            <w:vAlign w:val="center"/>
            <w:tcMar>
              <w:top w:w="80" w:type="dxa"/>
              <w:start w:w="120" w:type="dxa"/>
              <w:bottom w:w="80" w:type="dxa"/>
              <w:end w:w="120" w:type="dxa"/>
            </w:tcMar>
          </w:tcPr>
          <w:p>
            <w:pPr>
              <w:spacing w:after="0" w:line="259" w:lineRule="auto"/>
            </w:pPr>
            <w:r/>
            <w:r>
              <w:rPr>
                <w:rFonts w:ascii="Arial" w:hAnsi="Arial" w:eastAsia="Arial"/>
                <w:b w:val="0"/>
                <w:sz w:val="18"/>
              </w:rPr>
              <w:t>Show API Configuration. Then click Live Question Mode and show task input.</w:t>
            </w:r>
          </w:p>
        </w:tc>
        <w:tc>
          <w:tcPr>
            <w:tcW w:type="dxa" w:w="1872"/>
            <w:vAlign w:val="center"/>
            <w:tcMar>
              <w:top w:w="80" w:type="dxa"/>
              <w:start w:w="120" w:type="dxa"/>
              <w:bottom w:w="80" w:type="dxa"/>
              <w:end w:w="120" w:type="dxa"/>
            </w:tcMar>
          </w:tcPr>
          <w:p>
            <w:pPr>
              <w:spacing w:after="0" w:line="259" w:lineRule="auto"/>
            </w:pPr>
            <w:r/>
            <w:r>
              <w:rPr>
                <w:rFonts w:ascii="Arial" w:hAnsi="Arial" w:eastAsia="Arial"/>
                <w:b w:val="0"/>
                <w:sz w:val="18"/>
              </w:rPr>
              <w:t>Live workflow and API safety</w:t>
            </w:r>
          </w:p>
        </w:tc>
      </w:tr>
      <w:tr>
        <w:tc>
          <w:tcPr>
            <w:tcW w:type="dxa" w:w="1152"/>
            <w:vAlign w:val="center"/>
            <w:tcMar>
              <w:top w:w="80" w:type="dxa"/>
              <w:start w:w="120" w:type="dxa"/>
              <w:bottom w:w="80" w:type="dxa"/>
              <w:end w:w="120" w:type="dxa"/>
            </w:tcMar>
          </w:tcPr>
          <w:p>
            <w:pPr>
              <w:spacing w:after="0" w:line="259" w:lineRule="auto"/>
            </w:pPr>
            <w:r/>
            <w:r>
              <w:rPr>
                <w:rFonts w:ascii="Arial" w:hAnsi="Arial" w:eastAsia="Arial"/>
                <w:b w:val="0"/>
                <w:sz w:val="18"/>
              </w:rPr>
              <w:t>0:45-1:10</w:t>
            </w:r>
          </w:p>
        </w:tc>
        <w:tc>
          <w:tcPr>
            <w:tcW w:type="dxa" w:w="1872"/>
            <w:vAlign w:val="center"/>
            <w:tcMar>
              <w:top w:w="80" w:type="dxa"/>
              <w:start w:w="120" w:type="dxa"/>
              <w:bottom w:w="80" w:type="dxa"/>
              <w:end w:w="120" w:type="dxa"/>
            </w:tcMar>
          </w:tcPr>
          <w:p>
            <w:pPr>
              <w:spacing w:after="0" w:line="259" w:lineRule="auto"/>
            </w:pPr>
            <w:r/>
            <w:r>
              <w:rPr>
                <w:rFonts w:ascii="Arial" w:hAnsi="Arial" w:eastAsia="Arial"/>
                <w:b w:val="0"/>
                <w:sz w:val="18"/>
              </w:rPr>
              <w:t>Page 3</w:t>
            </w:r>
          </w:p>
        </w:tc>
        <w:tc>
          <w:tcPr>
            <w:tcW w:type="dxa" w:w="4176"/>
            <w:vAlign w:val="center"/>
            <w:tcMar>
              <w:top w:w="80" w:type="dxa"/>
              <w:start w:w="120" w:type="dxa"/>
              <w:bottom w:w="80" w:type="dxa"/>
              <w:end w:w="120" w:type="dxa"/>
            </w:tcMar>
          </w:tcPr>
          <w:p>
            <w:pPr>
              <w:spacing w:after="0" w:line="259" w:lineRule="auto"/>
            </w:pPr>
            <w:r/>
            <w:r>
              <w:rPr>
                <w:rFonts w:ascii="Arial" w:hAnsi="Arial" w:eastAsia="Arial"/>
                <w:b w:val="0"/>
                <w:sz w:val="18"/>
              </w:rPr>
              <w:t>Click Sample Audit Mode. Select a saved benchmark sample and show model outputs.</w:t>
            </w:r>
          </w:p>
        </w:tc>
        <w:tc>
          <w:tcPr>
            <w:tcW w:type="dxa" w:w="1872"/>
            <w:vAlign w:val="center"/>
            <w:tcMar>
              <w:top w:w="80" w:type="dxa"/>
              <w:start w:w="120" w:type="dxa"/>
              <w:bottom w:w="80" w:type="dxa"/>
              <w:end w:w="120" w:type="dxa"/>
            </w:tcMar>
          </w:tcPr>
          <w:p>
            <w:pPr>
              <w:spacing w:after="0" w:line="259" w:lineRule="auto"/>
            </w:pPr>
            <w:r/>
            <w:r>
              <w:rPr>
                <w:rFonts w:ascii="Arial" w:hAnsi="Arial" w:eastAsia="Arial"/>
                <w:b w:val="0"/>
                <w:sz w:val="18"/>
              </w:rPr>
              <w:t>Structured traces</w:t>
            </w:r>
          </w:p>
        </w:tc>
      </w:tr>
      <w:tr>
        <w:tc>
          <w:tcPr>
            <w:tcW w:type="dxa" w:w="1152"/>
            <w:vAlign w:val="center"/>
            <w:tcMar>
              <w:top w:w="80" w:type="dxa"/>
              <w:start w:w="120" w:type="dxa"/>
              <w:bottom w:w="80" w:type="dxa"/>
              <w:end w:w="120" w:type="dxa"/>
            </w:tcMar>
          </w:tcPr>
          <w:p>
            <w:pPr>
              <w:spacing w:after="0" w:line="259" w:lineRule="auto"/>
            </w:pPr>
            <w:r/>
            <w:r>
              <w:rPr>
                <w:rFonts w:ascii="Arial" w:hAnsi="Arial" w:eastAsia="Arial"/>
                <w:b w:val="0"/>
                <w:sz w:val="18"/>
              </w:rPr>
              <w:t>1:10-1:35</w:t>
            </w:r>
          </w:p>
        </w:tc>
        <w:tc>
          <w:tcPr>
            <w:tcW w:type="dxa" w:w="1872"/>
            <w:vAlign w:val="center"/>
            <w:tcMar>
              <w:top w:w="80" w:type="dxa"/>
              <w:start w:w="120" w:type="dxa"/>
              <w:bottom w:w="80" w:type="dxa"/>
              <w:end w:w="120" w:type="dxa"/>
            </w:tcMar>
          </w:tcPr>
          <w:p>
            <w:pPr>
              <w:spacing w:after="0" w:line="259" w:lineRule="auto"/>
            </w:pPr>
            <w:r/>
            <w:r>
              <w:rPr>
                <w:rFonts w:ascii="Arial" w:hAnsi="Arial" w:eastAsia="Arial"/>
                <w:b w:val="0"/>
                <w:sz w:val="18"/>
              </w:rPr>
              <w:t>Page 4</w:t>
            </w:r>
          </w:p>
        </w:tc>
        <w:tc>
          <w:tcPr>
            <w:tcW w:type="dxa" w:w="4176"/>
            <w:vAlign w:val="center"/>
            <w:tcMar>
              <w:top w:w="80" w:type="dxa"/>
              <w:start w:w="120" w:type="dxa"/>
              <w:bottom w:w="80" w:type="dxa"/>
              <w:end w:w="120" w:type="dxa"/>
            </w:tcMar>
          </w:tcPr>
          <w:p>
            <w:pPr>
              <w:spacing w:after="0" w:line="259" w:lineRule="auto"/>
            </w:pPr>
            <w:r/>
            <w:r>
              <w:rPr>
                <w:rFonts w:ascii="Arial" w:hAnsi="Arial" w:eastAsia="Arial"/>
                <w:b w:val="0"/>
                <w:sz w:val="18"/>
              </w:rPr>
              <w:t>Click Adjudication Comparison. Point to majority vote, fixed judge, dynamic judge.</w:t>
            </w:r>
          </w:p>
        </w:tc>
        <w:tc>
          <w:tcPr>
            <w:tcW w:type="dxa" w:w="1872"/>
            <w:vAlign w:val="center"/>
            <w:tcMar>
              <w:top w:w="80" w:type="dxa"/>
              <w:start w:w="120" w:type="dxa"/>
              <w:bottom w:w="80" w:type="dxa"/>
              <w:end w:w="120" w:type="dxa"/>
            </w:tcMar>
          </w:tcPr>
          <w:p>
            <w:pPr>
              <w:spacing w:after="0" w:line="259" w:lineRule="auto"/>
            </w:pPr>
            <w:r/>
            <w:r>
              <w:rPr>
                <w:rFonts w:ascii="Arial" w:hAnsi="Arial" w:eastAsia="Arial"/>
                <w:b w:val="0"/>
                <w:sz w:val="18"/>
              </w:rPr>
              <w:t>Adjudication layer</w:t>
            </w:r>
          </w:p>
        </w:tc>
      </w:tr>
      <w:tr>
        <w:tc>
          <w:tcPr>
            <w:tcW w:type="dxa" w:w="1152"/>
            <w:vAlign w:val="center"/>
            <w:tcMar>
              <w:top w:w="80" w:type="dxa"/>
              <w:start w:w="120" w:type="dxa"/>
              <w:bottom w:w="80" w:type="dxa"/>
              <w:end w:w="120" w:type="dxa"/>
            </w:tcMar>
          </w:tcPr>
          <w:p>
            <w:pPr>
              <w:spacing w:after="0" w:line="259" w:lineRule="auto"/>
            </w:pPr>
            <w:r/>
            <w:r>
              <w:rPr>
                <w:rFonts w:ascii="Arial" w:hAnsi="Arial" w:eastAsia="Arial"/>
                <w:b w:val="0"/>
                <w:sz w:val="18"/>
              </w:rPr>
              <w:t>1:35-2:00</w:t>
            </w:r>
          </w:p>
        </w:tc>
        <w:tc>
          <w:tcPr>
            <w:tcW w:type="dxa" w:w="1872"/>
            <w:vAlign w:val="center"/>
            <w:tcMar>
              <w:top w:w="80" w:type="dxa"/>
              <w:start w:w="120" w:type="dxa"/>
              <w:bottom w:w="80" w:type="dxa"/>
              <w:end w:w="120" w:type="dxa"/>
            </w:tcMar>
          </w:tcPr>
          <w:p>
            <w:pPr>
              <w:spacing w:after="0" w:line="259" w:lineRule="auto"/>
            </w:pPr>
            <w:r/>
            <w:r>
              <w:rPr>
                <w:rFonts w:ascii="Arial" w:hAnsi="Arial" w:eastAsia="Arial"/>
                <w:b w:val="0"/>
                <w:sz w:val="18"/>
              </w:rPr>
              <w:t>Page 5</w:t>
            </w:r>
          </w:p>
        </w:tc>
        <w:tc>
          <w:tcPr>
            <w:tcW w:type="dxa" w:w="4176"/>
            <w:vAlign w:val="center"/>
            <w:tcMar>
              <w:top w:w="80" w:type="dxa"/>
              <w:start w:w="120" w:type="dxa"/>
              <w:bottom w:w="80" w:type="dxa"/>
              <w:end w:w="120" w:type="dxa"/>
            </w:tcMar>
          </w:tcPr>
          <w:p>
            <w:pPr>
              <w:spacing w:after="0" w:line="259" w:lineRule="auto"/>
            </w:pPr>
            <w:r/>
            <w:r>
              <w:rPr>
                <w:rFonts w:ascii="Arial" w:hAnsi="Arial" w:eastAsia="Arial"/>
                <w:b w:val="0"/>
                <w:sz w:val="18"/>
              </w:rPr>
              <w:t>Click Risk Dashboard. Point to low-risk accuracy and high-risk error rate.</w:t>
            </w:r>
          </w:p>
        </w:tc>
        <w:tc>
          <w:tcPr>
            <w:tcW w:type="dxa" w:w="1872"/>
            <w:vAlign w:val="center"/>
            <w:tcMar>
              <w:top w:w="80" w:type="dxa"/>
              <w:start w:w="120" w:type="dxa"/>
              <w:bottom w:w="80" w:type="dxa"/>
              <w:end w:w="120" w:type="dxa"/>
            </w:tcMar>
          </w:tcPr>
          <w:p>
            <w:pPr>
              <w:spacing w:after="0" w:line="259" w:lineRule="auto"/>
            </w:pPr>
            <w:r/>
            <w:r>
              <w:rPr>
                <w:rFonts w:ascii="Arial" w:hAnsi="Arial" w:eastAsia="Arial"/>
                <w:b w:val="0"/>
                <w:sz w:val="18"/>
              </w:rPr>
              <w:t>Risk stratification</w:t>
            </w:r>
          </w:p>
        </w:tc>
      </w:tr>
      <w:tr>
        <w:tc>
          <w:tcPr>
            <w:tcW w:type="dxa" w:w="1152"/>
            <w:vAlign w:val="center"/>
            <w:tcMar>
              <w:top w:w="80" w:type="dxa"/>
              <w:start w:w="120" w:type="dxa"/>
              <w:bottom w:w="80" w:type="dxa"/>
              <w:end w:w="120" w:type="dxa"/>
            </w:tcMar>
          </w:tcPr>
          <w:p>
            <w:pPr>
              <w:spacing w:after="0" w:line="259" w:lineRule="auto"/>
            </w:pPr>
            <w:r/>
            <w:r>
              <w:rPr>
                <w:rFonts w:ascii="Arial" w:hAnsi="Arial" w:eastAsia="Arial"/>
                <w:b w:val="0"/>
                <w:sz w:val="18"/>
              </w:rPr>
              <w:t>2:00-2:20</w:t>
            </w:r>
          </w:p>
        </w:tc>
        <w:tc>
          <w:tcPr>
            <w:tcW w:type="dxa" w:w="1872"/>
            <w:vAlign w:val="center"/>
            <w:tcMar>
              <w:top w:w="80" w:type="dxa"/>
              <w:start w:w="120" w:type="dxa"/>
              <w:bottom w:w="80" w:type="dxa"/>
              <w:end w:w="120" w:type="dxa"/>
            </w:tcMar>
          </w:tcPr>
          <w:p>
            <w:pPr>
              <w:spacing w:after="0" w:line="259" w:lineRule="auto"/>
            </w:pPr>
            <w:r/>
            <w:r>
              <w:rPr>
                <w:rFonts w:ascii="Arial" w:hAnsi="Arial" w:eastAsia="Arial"/>
                <w:b w:val="0"/>
                <w:sz w:val="18"/>
              </w:rPr>
              <w:t>Page 7/8</w:t>
            </w:r>
          </w:p>
        </w:tc>
        <w:tc>
          <w:tcPr>
            <w:tcW w:type="dxa" w:w="4176"/>
            <w:vAlign w:val="center"/>
            <w:tcMar>
              <w:top w:w="80" w:type="dxa"/>
              <w:start w:w="120" w:type="dxa"/>
              <w:bottom w:w="80" w:type="dxa"/>
              <w:end w:w="120" w:type="dxa"/>
            </w:tcMar>
          </w:tcPr>
          <w:p>
            <w:pPr>
              <w:spacing w:after="0" w:line="259" w:lineRule="auto"/>
            </w:pPr>
            <w:r/>
            <w:r>
              <w:rPr>
                <w:rFonts w:ascii="Arial" w:hAnsi="Arial" w:eastAsia="Arial"/>
                <w:b w:val="0"/>
                <w:sz w:val="18"/>
              </w:rPr>
              <w:t>Click Case Explorer, then Report Export. Show case inspection and download buttons.</w:t>
            </w:r>
          </w:p>
        </w:tc>
        <w:tc>
          <w:tcPr>
            <w:tcW w:type="dxa" w:w="1872"/>
            <w:vAlign w:val="center"/>
            <w:tcMar>
              <w:top w:w="80" w:type="dxa"/>
              <w:start w:w="120" w:type="dxa"/>
              <w:bottom w:w="80" w:type="dxa"/>
              <w:end w:w="120" w:type="dxa"/>
            </w:tcMar>
          </w:tcPr>
          <w:p>
            <w:pPr>
              <w:spacing w:after="0" w:line="259" w:lineRule="auto"/>
            </w:pPr>
            <w:r/>
            <w:r>
              <w:rPr>
                <w:rFonts w:ascii="Arial" w:hAnsi="Arial" w:eastAsia="Arial"/>
                <w:b w:val="0"/>
                <w:sz w:val="18"/>
              </w:rPr>
              <w:t>Audit and export</w:t>
            </w:r>
          </w:p>
        </w:tc>
      </w:tr>
      <w:tr>
        <w:tc>
          <w:tcPr>
            <w:tcW w:type="dxa" w:w="1152"/>
            <w:vAlign w:val="center"/>
            <w:tcMar>
              <w:top w:w="80" w:type="dxa"/>
              <w:start w:w="120" w:type="dxa"/>
              <w:bottom w:w="80" w:type="dxa"/>
              <w:end w:w="120" w:type="dxa"/>
            </w:tcMar>
          </w:tcPr>
          <w:p>
            <w:pPr>
              <w:spacing w:after="0" w:line="259" w:lineRule="auto"/>
            </w:pPr>
            <w:r/>
            <w:r>
              <w:rPr>
                <w:rFonts w:ascii="Arial" w:hAnsi="Arial" w:eastAsia="Arial"/>
                <w:b w:val="0"/>
                <w:sz w:val="18"/>
              </w:rPr>
              <w:t>2:20-2:30</w:t>
            </w:r>
          </w:p>
        </w:tc>
        <w:tc>
          <w:tcPr>
            <w:tcW w:type="dxa" w:w="1872"/>
            <w:vAlign w:val="center"/>
            <w:tcMar>
              <w:top w:w="80" w:type="dxa"/>
              <w:start w:w="120" w:type="dxa"/>
              <w:bottom w:w="80" w:type="dxa"/>
              <w:end w:w="120" w:type="dxa"/>
            </w:tcMar>
          </w:tcPr>
          <w:p>
            <w:pPr>
              <w:spacing w:after="0" w:line="259" w:lineRule="auto"/>
            </w:pPr>
            <w:r/>
            <w:r>
              <w:rPr>
                <w:rFonts w:ascii="Arial" w:hAnsi="Arial" w:eastAsia="Arial"/>
                <w:b w:val="0"/>
                <w:sz w:val="18"/>
              </w:rPr>
              <w:t>Page 1</w:t>
            </w:r>
          </w:p>
        </w:tc>
        <w:tc>
          <w:tcPr>
            <w:tcW w:type="dxa" w:w="4176"/>
            <w:vAlign w:val="center"/>
            <w:tcMar>
              <w:top w:w="80" w:type="dxa"/>
              <w:start w:w="120" w:type="dxa"/>
              <w:bottom w:w="80" w:type="dxa"/>
              <w:end w:w="120" w:type="dxa"/>
            </w:tcMar>
          </w:tcPr>
          <w:p>
            <w:pPr>
              <w:spacing w:after="0" w:line="259" w:lineRule="auto"/>
            </w:pPr>
            <w:r/>
            <w:r>
              <w:rPr>
                <w:rFonts w:ascii="Arial" w:hAnsi="Arial" w:eastAsia="Arial"/>
                <w:b w:val="0"/>
                <w:sz w:val="18"/>
              </w:rPr>
              <w:t>Return to Home. Stop moving the mouse and close with one sentence.</w:t>
            </w:r>
          </w:p>
        </w:tc>
        <w:tc>
          <w:tcPr>
            <w:tcW w:type="dxa" w:w="1872"/>
            <w:vAlign w:val="center"/>
            <w:tcMar>
              <w:top w:w="80" w:type="dxa"/>
              <w:start w:w="120" w:type="dxa"/>
              <w:bottom w:w="80" w:type="dxa"/>
              <w:end w:w="120" w:type="dxa"/>
            </w:tcMar>
          </w:tcPr>
          <w:p>
            <w:pPr>
              <w:spacing w:after="0" w:line="259" w:lineRule="auto"/>
            </w:pPr>
            <w:r/>
            <w:r>
              <w:rPr>
                <w:rFonts w:ascii="Arial" w:hAnsi="Arial" w:eastAsia="Arial"/>
                <w:b w:val="0"/>
                <w:sz w:val="18"/>
              </w:rPr>
              <w:t>Conclusion</w:t>
            </w:r>
          </w:p>
        </w:tc>
      </w:tr>
    </w:tbl>
    <w:p/>
    <w:p>
      <w:pPr>
        <w:pStyle w:val="Heading1"/>
      </w:pPr>
      <w:r>
        <w:t>2. Full English Narration Script</w:t>
      </w:r>
    </w:p>
    <w:p>
      <w:pPr>
        <w:pStyle w:val="Heading2"/>
      </w:pPr>
      <w:r>
        <w:rPr>
          <w:rFonts w:ascii="Arial" w:hAnsi="Arial" w:eastAsia="Arial"/>
          <w:b/>
          <w:sz w:val="24"/>
        </w:rPr>
        <w:t>0:00-0:20  Opening</w:t>
      </w:r>
    </w:p>
    <w:p>
      <w:pPr>
        <w:spacing w:after="40"/>
      </w:pPr>
      <w:r>
        <w:rPr>
          <w:rFonts w:ascii="Arial" w:hAnsi="Arial" w:eastAsia="Arial"/>
          <w:b/>
          <w:sz w:val="20"/>
        </w:rPr>
        <w:t>Screen actions:</w:t>
      </w:r>
    </w:p>
    <w:p>
      <w:pPr>
        <w:pStyle w:val="ListBullet"/>
        <w:spacing w:after="40"/>
      </w:pPr>
      <w:r>
        <w:rPr>
          <w:rFonts w:ascii="Arial" w:hAnsi="Arial" w:eastAsia="Arial"/>
          <w:sz w:val="18"/>
        </w:rPr>
        <w:t>Click Page 1: Home / System Overview in the sidebar.</w:t>
      </w:r>
    </w:p>
    <w:p>
      <w:pPr>
        <w:pStyle w:val="ListBullet"/>
        <w:spacing w:after="40"/>
      </w:pPr>
      <w:r>
        <w:rPr>
          <w:rFonts w:ascii="Arial" w:hAnsi="Arial" w:eastAsia="Arial"/>
          <w:sz w:val="18"/>
        </w:rPr>
        <w:t>Keep the pointer near the title ConsensusScope.</w:t>
      </w:r>
    </w:p>
    <w:p>
      <w:pPr>
        <w:pStyle w:val="ListBullet"/>
        <w:spacing w:after="40"/>
      </w:pPr>
      <w:r>
        <w:rPr>
          <w:rFonts w:ascii="Arial" w:hAnsi="Arial" w:eastAsia="Arial"/>
          <w:sz w:val="18"/>
        </w:rPr>
        <w:t>Briefly move the pointer over the system pipeline.</w:t>
      </w:r>
    </w:p>
    <w:p>
      <w:pPr>
        <w:spacing w:before="40" w:after="160"/>
        <w:ind w:left="216" w:right="72"/>
        <w:shd w:fill="F4F6F9"/>
      </w:pPr>
      <w:r>
        <w:rPr>
          <w:rFonts w:ascii="Arial" w:hAnsi="Arial" w:eastAsia="Arial"/>
          <w:b/>
          <w:sz w:val="20"/>
        </w:rPr>
        <w:t xml:space="preserve">Narration: </w:t>
      </w:r>
      <w:r>
        <w:rPr>
          <w:rFonts w:ascii="Arial" w:hAnsi="Arial" w:eastAsia="Arial"/>
          <w:sz w:val="20"/>
        </w:rPr>
        <w:t>ConsensusScope is an interactive observability tool for risk-aware multi-LLM adjudication. It starts from a simple premise: multi-model agreement is useful evidence, but agreement alone is not proof of correctness.</w:t>
      </w:r>
    </w:p>
    <w:p>
      <w:pPr>
        <w:pStyle w:val="Heading2"/>
      </w:pPr>
      <w:r>
        <w:rPr>
          <w:rFonts w:ascii="Arial" w:hAnsi="Arial" w:eastAsia="Arial"/>
          <w:b/>
          <w:sz w:val="24"/>
        </w:rPr>
        <w:t>0:20-0:45  API configuration and live mode</w:t>
      </w:r>
    </w:p>
    <w:p>
      <w:pPr>
        <w:spacing w:after="40"/>
      </w:pPr>
      <w:r>
        <w:rPr>
          <w:rFonts w:ascii="Arial" w:hAnsi="Arial" w:eastAsia="Arial"/>
          <w:b/>
          <w:sz w:val="20"/>
        </w:rPr>
        <w:t>Screen actions:</w:t>
      </w:r>
    </w:p>
    <w:p>
      <w:pPr>
        <w:pStyle w:val="ListBullet"/>
        <w:spacing w:after="40"/>
      </w:pPr>
      <w:r>
        <w:rPr>
          <w:rFonts w:ascii="Arial" w:hAnsi="Arial" w:eastAsia="Arial"/>
          <w:sz w:val="18"/>
        </w:rPr>
        <w:t>Move to the sidebar API Configuration panel.</w:t>
      </w:r>
    </w:p>
    <w:p>
      <w:pPr>
        <w:pStyle w:val="ListBullet"/>
        <w:spacing w:after="40"/>
      </w:pPr>
      <w:r>
        <w:rPr>
          <w:rFonts w:ascii="Arial" w:hAnsi="Arial" w:eastAsia="Arial"/>
          <w:sz w:val="18"/>
        </w:rPr>
        <w:t>Show Mode A and Mode B without typing any real API key.</w:t>
      </w:r>
    </w:p>
    <w:p>
      <w:pPr>
        <w:pStyle w:val="ListBullet"/>
        <w:spacing w:after="40"/>
      </w:pPr>
      <w:r>
        <w:rPr>
          <w:rFonts w:ascii="Arial" w:hAnsi="Arial" w:eastAsia="Arial"/>
          <w:sz w:val="18"/>
        </w:rPr>
        <w:t>Click Page 2: Live Question Mode.</w:t>
      </w:r>
    </w:p>
    <w:p>
      <w:pPr>
        <w:pStyle w:val="ListBullet"/>
        <w:spacing w:after="40"/>
      </w:pPr>
      <w:r>
        <w:rPr>
          <w:rFonts w:ascii="Arial" w:hAnsi="Arial" w:eastAsia="Arial"/>
          <w:sz w:val="18"/>
        </w:rPr>
        <w:t>Show the task-type selector, question input, model selection area, and Run Live Comparison button.</w:t>
      </w:r>
    </w:p>
    <w:p>
      <w:pPr>
        <w:spacing w:before="40" w:after="160"/>
        <w:ind w:left="216" w:right="72"/>
        <w:shd w:fill="F4F6F9"/>
      </w:pPr>
      <w:r>
        <w:rPr>
          <w:rFonts w:ascii="Arial" w:hAnsi="Arial" w:eastAsia="Arial"/>
          <w:b/>
          <w:sz w:val="20"/>
        </w:rPr>
        <w:t xml:space="preserve">Narration: </w:t>
      </w:r>
      <w:r>
        <w:rPr>
          <w:rFonts w:ascii="Arial" w:hAnsi="Arial" w:eastAsia="Arial"/>
          <w:sz w:val="20"/>
        </w:rPr>
        <w:t>The system supports two API modes. Mode A is for controlled local demos using configured environment variables or deployment secrets. Mode B is for public deployment, where users provide their own temporary API keys. API keys are not written into the paper and are not hard-coded in the repository.</w:t>
      </w:r>
    </w:p>
    <w:p>
      <w:pPr>
        <w:pStyle w:val="Heading2"/>
      </w:pPr>
      <w:r>
        <w:rPr>
          <w:rFonts w:ascii="Arial" w:hAnsi="Arial" w:eastAsia="Arial"/>
          <w:b/>
          <w:sz w:val="24"/>
        </w:rPr>
        <w:t>0:45-1:10  Structured multi-model traces</w:t>
      </w:r>
    </w:p>
    <w:p>
      <w:pPr>
        <w:spacing w:after="40"/>
      </w:pPr>
      <w:r>
        <w:rPr>
          <w:rFonts w:ascii="Arial" w:hAnsi="Arial" w:eastAsia="Arial"/>
          <w:b/>
          <w:sz w:val="20"/>
        </w:rPr>
        <w:t>Screen actions:</w:t>
      </w:r>
    </w:p>
    <w:p>
      <w:pPr>
        <w:pStyle w:val="ListBullet"/>
        <w:spacing w:after="40"/>
      </w:pPr>
      <w:r>
        <w:rPr>
          <w:rFonts w:ascii="Arial" w:hAnsi="Arial" w:eastAsia="Arial"/>
          <w:sz w:val="18"/>
        </w:rPr>
        <w:t>Click Page 3: Sample Audit Mode.</w:t>
      </w:r>
    </w:p>
    <w:p>
      <w:pPr>
        <w:pStyle w:val="ListBullet"/>
        <w:spacing w:after="40"/>
      </w:pPr>
      <w:r>
        <w:rPr>
          <w:rFonts w:ascii="Arial" w:hAnsi="Arial" w:eastAsia="Arial"/>
          <w:sz w:val="18"/>
        </w:rPr>
        <w:t>Select a dataset such as FEVER or CommonsenseQA.</w:t>
      </w:r>
    </w:p>
    <w:p>
      <w:pPr>
        <w:pStyle w:val="ListBullet"/>
        <w:spacing w:after="40"/>
      </w:pPr>
      <w:r>
        <w:rPr>
          <w:rFonts w:ascii="Arial" w:hAnsi="Arial" w:eastAsia="Arial"/>
          <w:sz w:val="18"/>
        </w:rPr>
        <w:t>Select a sample ID and scroll to the model-output area.</w:t>
      </w:r>
    </w:p>
    <w:p>
      <w:pPr>
        <w:pStyle w:val="ListBullet"/>
        <w:spacing w:after="40"/>
      </w:pPr>
      <w:r>
        <w:rPr>
          <w:rFonts w:ascii="Arial" w:hAnsi="Arial" w:eastAsia="Arial"/>
          <w:sz w:val="18"/>
        </w:rPr>
        <w:t>Point to answer, reason, confidence, and evidence fields.</w:t>
      </w:r>
    </w:p>
    <w:p>
      <w:pPr>
        <w:spacing w:before="40" w:after="160"/>
        <w:ind w:left="216" w:right="72"/>
        <w:shd w:fill="F4F6F9"/>
      </w:pPr>
      <w:r>
        <w:rPr>
          <w:rFonts w:ascii="Arial" w:hAnsi="Arial" w:eastAsia="Arial"/>
          <w:b/>
          <w:sz w:val="20"/>
        </w:rPr>
        <w:t xml:space="preserve">Narration: </w:t>
      </w:r>
      <w:r>
        <w:rPr>
          <w:rFonts w:ascii="Arial" w:hAnsi="Arial" w:eastAsia="Arial"/>
          <w:sz w:val="20"/>
        </w:rPr>
        <w:t>Each model output is stored in a unified schema, including answer, rationale, confidence, evidence, raw output, and parse metadata. This lets us inspect not only the final answer, but also whether models agree, whether evidence is available, and whether confidence signals are reliable.</w:t>
      </w:r>
    </w:p>
    <w:p>
      <w:pPr>
        <w:pStyle w:val="Heading2"/>
      </w:pPr>
      <w:r>
        <w:rPr>
          <w:rFonts w:ascii="Arial" w:hAnsi="Arial" w:eastAsia="Arial"/>
          <w:b/>
          <w:sz w:val="24"/>
        </w:rPr>
        <w:t>1:10-1:35  Adjudication comparison</w:t>
      </w:r>
    </w:p>
    <w:p>
      <w:pPr>
        <w:spacing w:after="40"/>
      </w:pPr>
      <w:r>
        <w:rPr>
          <w:rFonts w:ascii="Arial" w:hAnsi="Arial" w:eastAsia="Arial"/>
          <w:b/>
          <w:sz w:val="20"/>
        </w:rPr>
        <w:t>Screen actions:</w:t>
      </w:r>
    </w:p>
    <w:p>
      <w:pPr>
        <w:pStyle w:val="ListBullet"/>
        <w:spacing w:after="40"/>
      </w:pPr>
      <w:r>
        <w:rPr>
          <w:rFonts w:ascii="Arial" w:hAnsi="Arial" w:eastAsia="Arial"/>
          <w:sz w:val="18"/>
        </w:rPr>
        <w:t>Click Page 4: Adjudication Comparison.</w:t>
      </w:r>
    </w:p>
    <w:p>
      <w:pPr>
        <w:pStyle w:val="ListBullet"/>
        <w:spacing w:after="40"/>
      </w:pPr>
      <w:r>
        <w:rPr>
          <w:rFonts w:ascii="Arial" w:hAnsi="Arial" w:eastAsia="Arial"/>
          <w:sz w:val="18"/>
        </w:rPr>
        <w:t>Point first to Majority Vote.</w:t>
      </w:r>
    </w:p>
    <w:p>
      <w:pPr>
        <w:pStyle w:val="ListBullet"/>
        <w:spacing w:after="40"/>
      </w:pPr>
      <w:r>
        <w:rPr>
          <w:rFonts w:ascii="Arial" w:hAnsi="Arial" w:eastAsia="Arial"/>
          <w:sz w:val="18"/>
        </w:rPr>
        <w:t>Move to Fixed Judge.</w:t>
      </w:r>
    </w:p>
    <w:p>
      <w:pPr>
        <w:pStyle w:val="ListBullet"/>
        <w:spacing w:after="40"/>
      </w:pPr>
      <w:r>
        <w:rPr>
          <w:rFonts w:ascii="Arial" w:hAnsi="Arial" w:eastAsia="Arial"/>
          <w:sz w:val="18"/>
        </w:rPr>
        <w:t>Move to Dynamic Rule-Based Judge.</w:t>
      </w:r>
    </w:p>
    <w:p>
      <w:pPr>
        <w:spacing w:before="40" w:after="160"/>
        <w:ind w:left="216" w:right="72"/>
        <w:shd w:fill="F4F6F9"/>
      </w:pPr>
      <w:r>
        <w:rPr>
          <w:rFonts w:ascii="Arial" w:hAnsi="Arial" w:eastAsia="Arial"/>
          <w:b/>
          <w:sz w:val="20"/>
        </w:rPr>
        <w:t xml:space="preserve">Narration: </w:t>
      </w:r>
      <w:r>
        <w:rPr>
          <w:rFonts w:ascii="Arial" w:hAnsi="Arial" w:eastAsia="Arial"/>
          <w:sz w:val="20"/>
        </w:rPr>
        <w:t>ConsensusScope compares three adjudication strategies. Majority vote is the frequency-based baseline. The fixed judge uses a configured judge model, by default deepseek-chat, and it does not see the gold answer. The rule-based dynamic judge uses deploy-time signals such as agreement rate, answer diversity, confidence distribution, evidence availability, minority warnings, and parse errors.</w:t>
      </w:r>
    </w:p>
    <w:p>
      <w:pPr>
        <w:pStyle w:val="Heading2"/>
      </w:pPr>
      <w:r>
        <w:rPr>
          <w:rFonts w:ascii="Arial" w:hAnsi="Arial" w:eastAsia="Arial"/>
          <w:b/>
          <w:sz w:val="24"/>
        </w:rPr>
        <w:t>1:35-2:00  Risk dashboard and evaluation</w:t>
      </w:r>
    </w:p>
    <w:p>
      <w:pPr>
        <w:spacing w:after="40"/>
      </w:pPr>
      <w:r>
        <w:rPr>
          <w:rFonts w:ascii="Arial" w:hAnsi="Arial" w:eastAsia="Arial"/>
          <w:b/>
          <w:sz w:val="20"/>
        </w:rPr>
        <w:t>Screen actions:</w:t>
      </w:r>
    </w:p>
    <w:p>
      <w:pPr>
        <w:pStyle w:val="ListBullet"/>
        <w:spacing w:after="40"/>
      </w:pPr>
      <w:r>
        <w:rPr>
          <w:rFonts w:ascii="Arial" w:hAnsi="Arial" w:eastAsia="Arial"/>
          <w:sz w:val="18"/>
        </w:rPr>
        <w:t>Click Page 5: Risk Dashboard.</w:t>
      </w:r>
    </w:p>
    <w:p>
      <w:pPr>
        <w:pStyle w:val="ListBullet"/>
        <w:spacing w:after="40"/>
      </w:pPr>
      <w:r>
        <w:rPr>
          <w:rFonts w:ascii="Arial" w:hAnsi="Arial" w:eastAsia="Arial"/>
          <w:sz w:val="18"/>
        </w:rPr>
        <w:t>Point to the low, medium, and high risk levels.</w:t>
      </w:r>
    </w:p>
    <w:p>
      <w:pPr>
        <w:pStyle w:val="ListBullet"/>
        <w:spacing w:after="40"/>
      </w:pPr>
      <w:r>
        <w:rPr>
          <w:rFonts w:ascii="Arial" w:hAnsi="Arial" w:eastAsia="Arial"/>
          <w:sz w:val="18"/>
        </w:rPr>
        <w:t>Pause near the low-risk accuracy number.</w:t>
      </w:r>
    </w:p>
    <w:p>
      <w:pPr>
        <w:pStyle w:val="ListBullet"/>
        <w:spacing w:after="40"/>
      </w:pPr>
      <w:r>
        <w:rPr>
          <w:rFonts w:ascii="Arial" w:hAnsi="Arial" w:eastAsia="Arial"/>
          <w:sz w:val="18"/>
        </w:rPr>
        <w:t>Pause near the high-risk error-rate number.</w:t>
      </w:r>
    </w:p>
    <w:p>
      <w:pPr>
        <w:spacing w:before="40" w:after="160"/>
        <w:ind w:left="216" w:right="72"/>
        <w:shd w:fill="F4F6F9"/>
      </w:pPr>
      <w:r>
        <w:rPr>
          <w:rFonts w:ascii="Arial" w:hAnsi="Arial" w:eastAsia="Arial"/>
          <w:b/>
          <w:sz w:val="20"/>
        </w:rPr>
        <w:t xml:space="preserve">Narration: </w:t>
      </w:r>
      <w:r>
        <w:rPr>
          <w:rFonts w:ascii="Arial" w:hAnsi="Arial" w:eastAsia="Arial"/>
          <w:sz w:val="20"/>
        </w:rPr>
        <w:t>In the 1000-sample pilot, we avoid a single mixed macro-F1 score because TruthfulQA, FEVER, and CommonsenseQA have different answer spaces. The key result is risk stratification: low-risk dynamic decisions reach 91.8 percent accuracy, while high-risk decisions concentrate errors with a 95.2 percent error rate.</w:t>
      </w:r>
    </w:p>
    <w:p>
      <w:pPr>
        <w:pStyle w:val="Heading2"/>
      </w:pPr>
      <w:r>
        <w:rPr>
          <w:rFonts w:ascii="Arial" w:hAnsi="Arial" w:eastAsia="Arial"/>
          <w:b/>
          <w:sz w:val="24"/>
        </w:rPr>
        <w:t>2:00-2:20  Case explorer and report export</w:t>
      </w:r>
    </w:p>
    <w:p>
      <w:pPr>
        <w:spacing w:after="40"/>
      </w:pPr>
      <w:r>
        <w:rPr>
          <w:rFonts w:ascii="Arial" w:hAnsi="Arial" w:eastAsia="Arial"/>
          <w:b/>
          <w:sz w:val="20"/>
        </w:rPr>
        <w:t>Screen actions:</w:t>
      </w:r>
    </w:p>
    <w:p>
      <w:pPr>
        <w:pStyle w:val="ListBullet"/>
        <w:spacing w:after="40"/>
      </w:pPr>
      <w:r>
        <w:rPr>
          <w:rFonts w:ascii="Arial" w:hAnsi="Arial" w:eastAsia="Arial"/>
          <w:sz w:val="18"/>
        </w:rPr>
        <w:t>Click Page 7: Case Explorer.</w:t>
      </w:r>
    </w:p>
    <w:p>
      <w:pPr>
        <w:pStyle w:val="ListBullet"/>
        <w:spacing w:after="40"/>
      </w:pPr>
      <w:r>
        <w:rPr>
          <w:rFonts w:ascii="Arial" w:hAnsi="Arial" w:eastAsia="Arial"/>
          <w:sz w:val="18"/>
        </w:rPr>
        <w:t>Open the Inspect case selector and choose one case.</w:t>
      </w:r>
    </w:p>
    <w:p>
      <w:pPr>
        <w:pStyle w:val="ListBullet"/>
        <w:spacing w:after="40"/>
      </w:pPr>
      <w:r>
        <w:rPr>
          <w:rFonts w:ascii="Arial" w:hAnsi="Arial" w:eastAsia="Arial"/>
          <w:sz w:val="18"/>
        </w:rPr>
        <w:t>Click Page 8: Report Export.</w:t>
      </w:r>
    </w:p>
    <w:p>
      <w:pPr>
        <w:pStyle w:val="ListBullet"/>
        <w:spacing w:after="40"/>
      </w:pPr>
      <w:r>
        <w:rPr>
          <w:rFonts w:ascii="Arial" w:hAnsi="Arial" w:eastAsia="Arial"/>
          <w:sz w:val="18"/>
        </w:rPr>
        <w:t>Show system_summary.json, method_metrics.csv, and risk_labels.csv download buttons.</w:t>
      </w:r>
    </w:p>
    <w:p>
      <w:pPr>
        <w:spacing w:before="40" w:after="160"/>
        <w:ind w:left="216" w:right="72"/>
        <w:shd w:fill="F4F6F9"/>
      </w:pPr>
      <w:r>
        <w:rPr>
          <w:rFonts w:ascii="Arial" w:hAnsi="Arial" w:eastAsia="Arial"/>
          <w:b/>
          <w:sz w:val="20"/>
        </w:rPr>
        <w:t xml:space="preserve">Narration: </w:t>
      </w:r>
      <w:r>
        <w:rPr>
          <w:rFonts w:ascii="Arial" w:hAnsi="Arial" w:eastAsia="Arial"/>
          <w:sz w:val="20"/>
        </w:rPr>
        <w:t>The case explorer supports sample-level auditing, while the export page packages reports and CSV files for reproducibility. Offline labels such as false consensus or minority-correct cases are used only when gold labels are available; live deployment relies on observable risk signals.</w:t>
      </w:r>
    </w:p>
    <w:p>
      <w:pPr>
        <w:pStyle w:val="Heading2"/>
      </w:pPr>
      <w:r>
        <w:rPr>
          <w:rFonts w:ascii="Arial" w:hAnsi="Arial" w:eastAsia="Arial"/>
          <w:b/>
          <w:sz w:val="24"/>
        </w:rPr>
        <w:t>2:20-2:30  Closing</w:t>
      </w:r>
    </w:p>
    <w:p>
      <w:pPr>
        <w:spacing w:after="40"/>
      </w:pPr>
      <w:r>
        <w:rPr>
          <w:rFonts w:ascii="Arial" w:hAnsi="Arial" w:eastAsia="Arial"/>
          <w:b/>
          <w:sz w:val="20"/>
        </w:rPr>
        <w:t>Screen actions:</w:t>
      </w:r>
    </w:p>
    <w:p>
      <w:pPr>
        <w:pStyle w:val="ListBullet"/>
        <w:spacing w:after="40"/>
      </w:pPr>
      <w:r>
        <w:rPr>
          <w:rFonts w:ascii="Arial" w:hAnsi="Arial" w:eastAsia="Arial"/>
          <w:sz w:val="18"/>
        </w:rPr>
        <w:t>Click Page 1: Home / System Overview.</w:t>
      </w:r>
    </w:p>
    <w:p>
      <w:pPr>
        <w:pStyle w:val="ListBullet"/>
        <w:spacing w:after="40"/>
      </w:pPr>
      <w:r>
        <w:rPr>
          <w:rFonts w:ascii="Arial" w:hAnsi="Arial" w:eastAsia="Arial"/>
          <w:sz w:val="18"/>
        </w:rPr>
        <w:t>Stop moving the mouse.</w:t>
      </w:r>
    </w:p>
    <w:p>
      <w:pPr>
        <w:pStyle w:val="ListBullet"/>
        <w:spacing w:after="40"/>
      </w:pPr>
      <w:r>
        <w:rPr>
          <w:rFonts w:ascii="Arial" w:hAnsi="Arial" w:eastAsia="Arial"/>
          <w:sz w:val="18"/>
        </w:rPr>
        <w:t>Leave one second of silence after the final sentence before stopping the recording.</w:t>
      </w:r>
    </w:p>
    <w:p>
      <w:pPr>
        <w:spacing w:before="40" w:after="160"/>
        <w:ind w:left="216" w:right="72"/>
        <w:shd w:fill="F4F6F9"/>
      </w:pPr>
      <w:r>
        <w:rPr>
          <w:rFonts w:ascii="Arial" w:hAnsi="Arial" w:eastAsia="Arial"/>
          <w:b/>
          <w:sz w:val="20"/>
        </w:rPr>
        <w:t xml:space="preserve">Narration: </w:t>
      </w:r>
      <w:r>
        <w:rPr>
          <w:rFonts w:ascii="Arial" w:hAnsi="Arial" w:eastAsia="Arial"/>
          <w:sz w:val="20"/>
        </w:rPr>
        <w:t>ConsensusScope is not a truth oracle. It is a reliability layer that helps researchers and practitioners decide when a multi-LLM system should answer, warn, re-check, or route the case for human review.</w:t>
      </w:r>
    </w:p>
    <w:p>
      <w:pPr>
        <w:pStyle w:val="Heading1"/>
      </w:pPr>
      <w:r>
        <w:t>3. Presenter Checklist</w:t>
      </w:r>
    </w:p>
    <w:p>
      <w:pPr>
        <w:pStyle w:val="ListBullet"/>
      </w:pPr>
      <w:r>
        <w:rPr>
          <w:rFonts w:ascii="Arial" w:hAnsi="Arial" w:eastAsia="Arial"/>
          <w:sz w:val="20"/>
        </w:rPr>
        <w:t>Use English narration for international conference submission.</w:t>
      </w:r>
    </w:p>
    <w:p>
      <w:pPr>
        <w:pStyle w:val="ListBullet"/>
      </w:pPr>
      <w:r>
        <w:rPr>
          <w:rFonts w:ascii="Arial" w:hAnsi="Arial" w:eastAsia="Arial"/>
          <w:sz w:val="20"/>
        </w:rPr>
        <w:t>Keep the video at or below 2 minutes 30 seconds.</w:t>
      </w:r>
    </w:p>
    <w:p>
      <w:pPr>
        <w:pStyle w:val="ListBullet"/>
      </w:pPr>
      <w:r>
        <w:rPr>
          <w:rFonts w:ascii="Arial" w:hAnsi="Arial" w:eastAsia="Arial"/>
          <w:sz w:val="20"/>
        </w:rPr>
        <w:t>Do not type or reveal real API keys.</w:t>
      </w:r>
    </w:p>
    <w:p>
      <w:pPr>
        <w:pStyle w:val="ListBullet"/>
      </w:pPr>
      <w:r>
        <w:rPr>
          <w:rFonts w:ascii="Arial" w:hAnsi="Arial" w:eastAsia="Arial"/>
          <w:sz w:val="20"/>
        </w:rPr>
        <w:t>Do not claim that the system knows false consensus at deployment time.</w:t>
      </w:r>
    </w:p>
    <w:p>
      <w:pPr>
        <w:pStyle w:val="ListBullet"/>
      </w:pPr>
      <w:r>
        <w:rPr>
          <w:rFonts w:ascii="Arial" w:hAnsi="Arial" w:eastAsia="Arial"/>
          <w:sz w:val="20"/>
        </w:rPr>
        <w:t>Say clearly that offline diagnostic labels require gold labels.</w:t>
      </w:r>
    </w:p>
    <w:p>
      <w:pPr>
        <w:pStyle w:val="ListBullet"/>
      </w:pPr>
      <w:r>
        <w:rPr>
          <w:rFonts w:ascii="Arial" w:hAnsi="Arial" w:eastAsia="Arial"/>
          <w:sz w:val="20"/>
        </w:rPr>
        <w:t>Do not frame the dynamic judge as a stronger model; frame it as risk stratification and review routing.</w:t>
      </w:r>
    </w:p>
    <w:sectPr w:rsidR="00FC693F" w:rsidRPr="0006063C" w:rsidSect="00034616">
      <w:footerReference w:type="default" r:id="rId9"/>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olor w:val="777777"/>
        <w:sz w:val="16"/>
      </w:rPr>
      <w:t>ConsensusScope EMNLP demo script · English · 2:30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eastAsia="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2E74B5"/>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2E74B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