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Arial" w:hAnsi="Arial" w:eastAsia="Arial"/>
          <w:b/>
          <w:color w:val="0B2545"/>
          <w:sz w:val="40"/>
        </w:rPr>
        <w:t>ConsensusScope EMNLP Demo Screencast Script</w:t>
      </w:r>
    </w:p>
    <w:p>
      <w:pPr>
        <w:spacing w:after="200"/>
        <w:jc w:val="center"/>
      </w:pPr>
      <w:r>
        <w:rPr>
          <w:rFonts w:ascii="Arial" w:hAnsi="Arial" w:eastAsia="Arial"/>
          <w:color w:val="555555"/>
          <w:sz w:val="22"/>
        </w:rPr>
        <w:t>English version · 2 minutes 30 seconds · with screen actions</w:t>
      </w:r>
    </w:p>
    <w:p>
      <w:pPr>
        <w:spacing w:after="100"/>
      </w:pPr>
      <w:r>
        <w:rPr>
          <w:rFonts w:ascii="Arial" w:hAnsi="Arial" w:eastAsia="Arial"/>
          <w:b/>
          <w:sz w:val="20"/>
        </w:rPr>
        <w:t xml:space="preserve">Recording target: </w:t>
      </w:r>
      <w:r>
        <w:rPr>
          <w:rFonts w:ascii="Arial" w:hAnsi="Arial" w:eastAsia="Arial"/>
          <w:sz w:val="20"/>
        </w:rPr>
        <w:t>International conference submission. Use English narration. Keep the final video at or below 2 minutes 30 seconds.</w:t>
      </w:r>
    </w:p>
    <w:p>
      <w:pPr>
        <w:spacing w:after="100"/>
      </w:pPr>
      <w:r>
        <w:rPr>
          <w:rFonts w:ascii="Arial" w:hAnsi="Arial" w:eastAsia="Arial"/>
          <w:b/>
          <w:sz w:val="20"/>
        </w:rPr>
        <w:t xml:space="preserve">Main message: </w:t>
      </w:r>
      <w:r>
        <w:rPr>
          <w:rFonts w:ascii="Arial" w:hAnsi="Arial" w:eastAsia="Arial"/>
          <w:sz w:val="20"/>
        </w:rPr>
        <w:t>AI writing feedback can be fluent but unsafe. ConsensusScope routes ESL comparative-literature feedback into low-risk auto-accept and teacher-review queues with literary knowledge evidence.</w:t>
      </w:r>
    </w:p>
    <w:p>
      <w:pPr>
        <w:pStyle w:val="Heading1"/>
      </w:pPr>
      <w:r>
        <w:t>1. Page-by-page Recording Plan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48"/>
        <w:gridCol w:w="2448"/>
        <w:gridCol w:w="2448"/>
        <w:gridCol w:w="2448"/>
      </w:tblGrid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/>
                <w:sz w:val="18"/>
              </w:rPr>
              <w:t>Time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/>
                <w:sz w:val="18"/>
              </w:rPr>
              <w:t>Page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/>
                <w:sz w:val="18"/>
              </w:rPr>
              <w:t>Screen Action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/>
                <w:sz w:val="18"/>
              </w:rPr>
              <w:t>Narration Focus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0:00-0:20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Page 1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Open Home / System Overview. Keep the pointer near the title and workflow.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Problem and premise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0:20-0:45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Page 2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Click ESL Feedback Review. Show the essay input and reviewer source selector.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overview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0:45-1:10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Page 2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Run the no-API demo and open Knowledge Evidence.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Knowledge grounding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1:10-1:40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Page 2/3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Show Teacher View, Adjudication Trace, then Knowledge Grounding &amp; Teacher Queue.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Feedback routing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1:40-2:05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Page 3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Point to risk level, priority, model agreement, and KG support.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Teacher review queue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2:05-2:25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Page 8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Click Report Export and show the report download buttons.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Export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2:25-2:30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Page 1/8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Stop moving the mouse and close with one sentence.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Arial" w:hAnsi="Arial" w:eastAsia="Arial"/>
                <w:b w:val="0"/>
                <w:sz w:val="18"/>
              </w:rPr>
              <w:t>Conclusion</w:t>
            </w:r>
          </w:p>
        </w:tc>
      </w:tr>
    </w:tbl>
    <w:p/>
    <w:p>
      <w:pPr>
        <w:pStyle w:val="Heading1"/>
      </w:pPr>
      <w:r>
        <w:t>2. Full English Narration Script</w:t>
      </w:r>
    </w:p>
    <w:p>
      <w:pPr>
        <w:pStyle w:val="Heading2"/>
      </w:pPr>
      <w:r>
        <w:rPr>
          <w:rFonts w:ascii="Arial" w:hAnsi="Arial" w:eastAsia="Arial"/>
          <w:b/>
          <w:sz w:val="24"/>
        </w:rPr>
        <w:t>0:00-0:20  Opening</w:t>
      </w:r>
    </w:p>
    <w:p>
      <w:pPr>
        <w:spacing w:after="40"/>
      </w:pPr>
      <w:r>
        <w:rPr>
          <w:rFonts w:ascii="Arial" w:hAnsi="Arial" w:eastAsia="Arial"/>
          <w:b/>
          <w:sz w:val="20"/>
        </w:rPr>
        <w:t>Screen actions:</w:t>
      </w:r>
    </w:p>
    <w:p>
      <w:pPr>
        <w:pStyle w:val="ListBullet"/>
        <w:spacing w:after="40"/>
      </w:pPr>
      <w:r>
        <w:rPr>
          <w:rFonts w:ascii="Arial" w:hAnsi="Arial" w:eastAsia="Arial"/>
          <w:sz w:val="18"/>
        </w:rPr>
        <w:t>Click Page 1: Home / System Overview in the sidebar.</w:t>
      </w:r>
    </w:p>
    <w:p>
      <w:pPr>
        <w:pStyle w:val="ListBullet"/>
        <w:spacing w:after="40"/>
      </w:pPr>
      <w:r>
        <w:rPr>
          <w:rFonts w:ascii="Arial" w:hAnsi="Arial" w:eastAsia="Arial"/>
          <w:sz w:val="18"/>
        </w:rPr>
        <w:t>Keep the pointer near the title ConsensusScope.</w:t>
      </w:r>
    </w:p>
    <w:p>
      <w:pPr>
        <w:pStyle w:val="ListBullet"/>
        <w:spacing w:after="40"/>
      </w:pPr>
      <w:r>
        <w:rPr>
          <w:rFonts w:ascii="Arial" w:hAnsi="Arial" w:eastAsia="Arial"/>
          <w:sz w:val="18"/>
        </w:rPr>
        <w:t>Briefly move the pointer over the system pipeline.</w:t>
      </w:r>
    </w:p>
    <w:p>
      <w:pPr>
        <w:spacing w:before="40" w:after="160"/>
        <w:ind w:left="216" w:right="72"/>
        <w:shd w:fill="F4F6F9"/>
      </w:pPr>
      <w:r>
        <w:rPr>
          <w:rFonts w:ascii="Arial" w:hAnsi="Arial" w:eastAsia="Arial"/>
          <w:b/>
          <w:sz w:val="20"/>
        </w:rPr>
        <w:t xml:space="preserve">Narration: </w:t>
      </w:r>
      <w:r>
        <w:rPr>
          <w:rFonts w:ascii="Arial" w:hAnsi="Arial" w:eastAsia="Arial"/>
          <w:sz w:val="20"/>
        </w:rPr>
        <w:t>AI writing feedback can be fluent but unsafe. In ESL comparative-literature essays, a model may fix grammar correctly while changing literary facts, character relations, or the student's interpretation.</w:t>
      </w:r>
    </w:p>
    <w:p>
      <w:pPr>
        <w:pStyle w:val="Heading2"/>
      </w:pPr>
      <w:r>
        <w:rPr>
          <w:rFonts w:ascii="Arial" w:hAnsi="Arial" w:eastAsia="Arial"/>
          <w:b/>
          <w:sz w:val="24"/>
        </w:rPr>
        <w:t>0:20-0:45  System overview</w:t>
      </w:r>
    </w:p>
    <w:p>
      <w:pPr>
        <w:spacing w:after="40"/>
      </w:pPr>
      <w:r>
        <w:rPr>
          <w:rFonts w:ascii="Arial" w:hAnsi="Arial" w:eastAsia="Arial"/>
          <w:b/>
          <w:sz w:val="20"/>
        </w:rPr>
        <w:t>Screen actions:</w:t>
      </w:r>
    </w:p>
    <w:p>
      <w:pPr>
        <w:pStyle w:val="ListBullet"/>
        <w:spacing w:after="40"/>
      </w:pPr>
      <w:r>
        <w:rPr>
          <w:rFonts w:ascii="Arial" w:hAnsi="Arial" w:eastAsia="Arial"/>
          <w:sz w:val="18"/>
        </w:rPr>
        <w:t>Move to the sidebar API Configuration panel.</w:t>
      </w:r>
    </w:p>
    <w:p>
      <w:pPr>
        <w:pStyle w:val="ListBullet"/>
        <w:spacing w:after="40"/>
      </w:pPr>
      <w:r>
        <w:rPr>
          <w:rFonts w:ascii="Arial" w:hAnsi="Arial" w:eastAsia="Arial"/>
          <w:sz w:val="18"/>
        </w:rPr>
        <w:t>Show Mode A and Mode B without typing any real API key.</w:t>
      </w:r>
    </w:p>
    <w:p>
      <w:pPr>
        <w:pStyle w:val="ListBullet"/>
        <w:spacing w:after="40"/>
      </w:pPr>
      <w:r>
        <w:rPr>
          <w:rFonts w:ascii="Arial" w:hAnsi="Arial" w:eastAsia="Arial"/>
          <w:sz w:val="18"/>
        </w:rPr>
        <w:t>Click Page 2: ESL Feedback Review.</w:t>
      </w:r>
    </w:p>
    <w:p>
      <w:pPr>
        <w:pStyle w:val="ListBullet"/>
        <w:spacing w:after="40"/>
      </w:pPr>
      <w:r>
        <w:rPr>
          <w:rFonts w:ascii="Arial" w:hAnsi="Arial" w:eastAsia="Arial"/>
          <w:sz w:val="18"/>
        </w:rPr>
        <w:t>Show the essay input, reviewer source selector, and Run Knowledge-Grounded Feedback button.</w:t>
      </w:r>
    </w:p>
    <w:p>
      <w:pPr>
        <w:spacing w:before="40" w:after="160"/>
        <w:ind w:left="216" w:right="72"/>
        <w:shd w:fill="F4F6F9"/>
      </w:pPr>
      <w:r>
        <w:rPr>
          <w:rFonts w:ascii="Arial" w:hAnsi="Arial" w:eastAsia="Arial"/>
          <w:b/>
          <w:sz w:val="20"/>
        </w:rPr>
        <w:t xml:space="preserve">Narration: </w:t>
      </w:r>
      <w:r>
        <w:rPr>
          <w:rFonts w:ascii="Arial" w:hAnsi="Arial" w:eastAsia="Arial"/>
          <w:sz w:val="20"/>
        </w:rPr>
        <w:t>ConsensusScope compares multiple LLM feedback outputs and routes each suggestion into either low-risk auto-accept or teacher review. It is not an automatic essay scorer and it does not replace teacher judgment.</w:t>
      </w:r>
    </w:p>
    <w:p>
      <w:pPr>
        <w:pStyle w:val="Heading2"/>
      </w:pPr>
      <w:r>
        <w:rPr>
          <w:rFonts w:ascii="Arial" w:hAnsi="Arial" w:eastAsia="Arial"/>
          <w:b/>
          <w:sz w:val="24"/>
        </w:rPr>
        <w:t>0:45-1:10  Knowledge grounding</w:t>
      </w:r>
    </w:p>
    <w:p>
      <w:pPr>
        <w:spacing w:after="40"/>
      </w:pPr>
      <w:r>
        <w:rPr>
          <w:rFonts w:ascii="Arial" w:hAnsi="Arial" w:eastAsia="Arial"/>
          <w:b/>
          <w:sz w:val="20"/>
        </w:rPr>
        <w:t>Screen actions:</w:t>
      </w:r>
    </w:p>
    <w:p>
      <w:pPr>
        <w:pStyle w:val="ListBullet"/>
        <w:spacing w:after="40"/>
      </w:pPr>
      <w:r>
        <w:rPr>
          <w:rFonts w:ascii="Arial" w:hAnsi="Arial" w:eastAsia="Arial"/>
          <w:sz w:val="18"/>
        </w:rPr>
        <w:t>Run the no-API deterministic feedback demo.</w:t>
      </w:r>
    </w:p>
    <w:p>
      <w:pPr>
        <w:pStyle w:val="ListBullet"/>
        <w:spacing w:after="40"/>
      </w:pPr>
      <w:r>
        <w:rPr>
          <w:rFonts w:ascii="Arial" w:hAnsi="Arial" w:eastAsia="Arial"/>
          <w:sz w:val="18"/>
        </w:rPr>
        <w:t>Open the Knowledge Evidence tab.</w:t>
      </w:r>
    </w:p>
    <w:p>
      <w:pPr>
        <w:pStyle w:val="ListBullet"/>
        <w:spacing w:after="40"/>
      </w:pPr>
      <w:r>
        <w:rPr>
          <w:rFonts w:ascii="Arial" w:hAnsi="Arial" w:eastAsia="Arial"/>
          <w:sz w:val="18"/>
        </w:rPr>
        <w:t>Point to author, genre, character, theme, and publication-year rows.</w:t>
      </w:r>
    </w:p>
    <w:p>
      <w:pPr>
        <w:spacing w:before="40" w:after="160"/>
        <w:ind w:left="216" w:right="72"/>
        <w:shd w:fill="F4F6F9"/>
      </w:pPr>
      <w:r>
        <w:rPr>
          <w:rFonts w:ascii="Arial" w:hAnsi="Arial" w:eastAsia="Arial"/>
          <w:b/>
          <w:sz w:val="20"/>
        </w:rPr>
        <w:t xml:space="preserve">Narration: </w:t>
      </w:r>
      <w:r>
        <w:rPr>
          <w:rFonts w:ascii="Arial" w:hAnsi="Arial" w:eastAsia="Arial"/>
          <w:sz w:val="20"/>
        </w:rPr>
        <w:t>The system retrieves evidence from a curated literary knowledge graph, including author, work, genre, central characters, themes, and publication year. These triples make factual feedback inspectable.</w:t>
      </w:r>
    </w:p>
    <w:p>
      <w:pPr>
        <w:pStyle w:val="Heading2"/>
      </w:pPr>
      <w:r>
        <w:rPr>
          <w:rFonts w:ascii="Arial" w:hAnsi="Arial" w:eastAsia="Arial"/>
          <w:b/>
          <w:sz w:val="24"/>
        </w:rPr>
        <w:t>1:10-1:40  Feedback adjudication</w:t>
      </w:r>
    </w:p>
    <w:p>
      <w:pPr>
        <w:spacing w:after="40"/>
      </w:pPr>
      <w:r>
        <w:rPr>
          <w:rFonts w:ascii="Arial" w:hAnsi="Arial" w:eastAsia="Arial"/>
          <w:b/>
          <w:sz w:val="20"/>
        </w:rPr>
        <w:t>Screen actions:</w:t>
      </w:r>
    </w:p>
    <w:p>
      <w:pPr>
        <w:pStyle w:val="ListBullet"/>
        <w:spacing w:after="40"/>
      </w:pPr>
      <w:r>
        <w:rPr>
          <w:rFonts w:ascii="Arial" w:hAnsi="Arial" w:eastAsia="Arial"/>
          <w:sz w:val="18"/>
        </w:rPr>
        <w:t>Open the Teacher View tab.</w:t>
      </w:r>
    </w:p>
    <w:p>
      <w:pPr>
        <w:pStyle w:val="ListBullet"/>
        <w:spacing w:after="40"/>
      </w:pPr>
      <w:r>
        <w:rPr>
          <w:rFonts w:ascii="Arial" w:hAnsi="Arial" w:eastAsia="Arial"/>
          <w:sz w:val="18"/>
        </w:rPr>
        <w:t>Point to the auto-accepted preview.</w:t>
      </w:r>
    </w:p>
    <w:p>
      <w:pPr>
        <w:pStyle w:val="ListBullet"/>
        <w:spacing w:after="40"/>
      </w:pPr>
      <w:r>
        <w:rPr>
          <w:rFonts w:ascii="Arial" w:hAnsi="Arial" w:eastAsia="Arial"/>
          <w:sz w:val="18"/>
        </w:rPr>
        <w:t>Open the Adjudication Trace tab.</w:t>
      </w:r>
    </w:p>
    <w:p>
      <w:pPr>
        <w:pStyle w:val="ListBullet"/>
        <w:spacing w:after="40"/>
      </w:pPr>
      <w:r>
        <w:rPr>
          <w:rFonts w:ascii="Arial" w:hAnsi="Arial" w:eastAsia="Arial"/>
          <w:sz w:val="18"/>
        </w:rPr>
        <w:t>Click Page 3: Knowledge Grounding &amp; Teacher Queue.</w:t>
      </w:r>
    </w:p>
    <w:p>
      <w:pPr>
        <w:spacing w:before="40" w:after="160"/>
        <w:ind w:left="216" w:right="72"/>
        <w:shd w:fill="F4F6F9"/>
      </w:pPr>
      <w:r>
        <w:rPr>
          <w:rFonts w:ascii="Arial" w:hAnsi="Arial" w:eastAsia="Arial"/>
          <w:b/>
          <w:sz w:val="20"/>
        </w:rPr>
        <w:t xml:space="preserve">Narration: </w:t>
      </w:r>
      <w:r>
        <w:rPr>
          <w:rFonts w:ascii="Arial" w:hAnsi="Arial" w:eastAsia="Arial"/>
          <w:sz w:val="20"/>
        </w:rPr>
        <w:t>Low-risk local grammar or style edits can be accepted, but suggestions about authorship, genre, character identity, thesis statements, or interpretation remain in the teacher-review queue.</w:t>
      </w:r>
    </w:p>
    <w:p>
      <w:pPr>
        <w:pStyle w:val="Heading2"/>
      </w:pPr>
      <w:r>
        <w:rPr>
          <w:rFonts w:ascii="Arial" w:hAnsi="Arial" w:eastAsia="Arial"/>
          <w:b/>
          <w:sz w:val="24"/>
        </w:rPr>
        <w:t>1:40-2:05  Teacher review queue</w:t>
      </w:r>
    </w:p>
    <w:p>
      <w:pPr>
        <w:spacing w:after="40"/>
      </w:pPr>
      <w:r>
        <w:rPr>
          <w:rFonts w:ascii="Arial" w:hAnsi="Arial" w:eastAsia="Arial"/>
          <w:b/>
          <w:sz w:val="20"/>
        </w:rPr>
        <w:t>Screen actions:</w:t>
      </w:r>
    </w:p>
    <w:p>
      <w:pPr>
        <w:pStyle w:val="ListBullet"/>
        <w:spacing w:after="40"/>
      </w:pPr>
      <w:r>
        <w:rPr>
          <w:rFonts w:ascii="Arial" w:hAnsi="Arial" w:eastAsia="Arial"/>
          <w:sz w:val="18"/>
        </w:rPr>
        <w:t>Point to risk level, priority, agreement, and KG support fields.</w:t>
      </w:r>
    </w:p>
    <w:p>
      <w:pPr>
        <w:pStyle w:val="ListBullet"/>
        <w:spacing w:after="40"/>
      </w:pPr>
      <w:r>
        <w:rPr>
          <w:rFonts w:ascii="Arial" w:hAnsi="Arial" w:eastAsia="Arial"/>
          <w:sz w:val="18"/>
        </w:rPr>
        <w:t>Briefly mention the auxiliary QA pages only if visible.</w:t>
      </w:r>
    </w:p>
    <w:p>
      <w:pPr>
        <w:pStyle w:val="ListBullet"/>
        <w:spacing w:after="40"/>
      </w:pPr>
      <w:r>
        <w:rPr>
          <w:rFonts w:ascii="Arial" w:hAnsi="Arial" w:eastAsia="Arial"/>
          <w:sz w:val="18"/>
        </w:rPr>
        <w:t>Avoid presenting the old QA benchmark as the main system story.</w:t>
      </w:r>
    </w:p>
    <w:p>
      <w:pPr>
        <w:spacing w:before="40" w:after="160"/>
        <w:ind w:left="216" w:right="72"/>
        <w:shd w:fill="F4F6F9"/>
      </w:pPr>
      <w:r>
        <w:rPr>
          <w:rFonts w:ascii="Arial" w:hAnsi="Arial" w:eastAsia="Arial"/>
          <w:b/>
          <w:sz w:val="20"/>
        </w:rPr>
        <w:t xml:space="preserve">Narration: </w:t>
      </w:r>
      <w:r>
        <w:rPr>
          <w:rFonts w:ascii="Arial" w:hAnsi="Arial" w:eastAsia="Arial"/>
          <w:sz w:val="20"/>
        </w:rPr>
        <w:t>The teacher review queue shows risk level, priority, model agreement, knowledge support, and a short explanation for why human review is recommended. The system also includes auxiliary multi-model QA audit pages, but this demo focuses on ESL literary feedback.</w:t>
      </w:r>
    </w:p>
    <w:p>
      <w:pPr>
        <w:pStyle w:val="Heading2"/>
      </w:pPr>
      <w:r>
        <w:rPr>
          <w:rFonts w:ascii="Arial" w:hAnsi="Arial" w:eastAsia="Arial"/>
          <w:b/>
          <w:sz w:val="24"/>
        </w:rPr>
        <w:t>2:05-2:25  Report export</w:t>
      </w:r>
    </w:p>
    <w:p>
      <w:pPr>
        <w:spacing w:after="40"/>
      </w:pPr>
      <w:r>
        <w:rPr>
          <w:rFonts w:ascii="Arial" w:hAnsi="Arial" w:eastAsia="Arial"/>
          <w:b/>
          <w:sz w:val="20"/>
        </w:rPr>
        <w:t>Screen actions:</w:t>
      </w:r>
    </w:p>
    <w:p>
      <w:pPr>
        <w:pStyle w:val="ListBullet"/>
        <w:spacing w:after="40"/>
      </w:pPr>
      <w:r>
        <w:rPr>
          <w:rFonts w:ascii="Arial" w:hAnsi="Arial" w:eastAsia="Arial"/>
          <w:sz w:val="18"/>
        </w:rPr>
        <w:t>Click Page 8: Report Export.</w:t>
      </w:r>
    </w:p>
    <w:p>
      <w:pPr>
        <w:pStyle w:val="ListBullet"/>
        <w:spacing w:after="40"/>
      </w:pPr>
      <w:r>
        <w:rPr>
          <w:rFonts w:ascii="Arial" w:hAnsi="Arial" w:eastAsia="Arial"/>
          <w:sz w:val="18"/>
        </w:rPr>
        <w:t>Show the literary feedback report download.</w:t>
      </w:r>
    </w:p>
    <w:p>
      <w:pPr>
        <w:pStyle w:val="ListBullet"/>
        <w:spacing w:after="40"/>
      </w:pPr>
      <w:r>
        <w:rPr>
          <w:rFonts w:ascii="Arial" w:hAnsi="Arial" w:eastAsia="Arial"/>
          <w:sz w:val="18"/>
        </w:rPr>
        <w:t>Show system_summary.json and CSV export buttons.</w:t>
      </w:r>
    </w:p>
    <w:p>
      <w:pPr>
        <w:spacing w:before="40" w:after="160"/>
        <w:ind w:left="216" w:right="72"/>
        <w:shd w:fill="F4F6F9"/>
      </w:pPr>
      <w:r>
        <w:rPr>
          <w:rFonts w:ascii="Arial" w:hAnsi="Arial" w:eastAsia="Arial"/>
          <w:b/>
          <w:sz w:val="20"/>
        </w:rPr>
        <w:t xml:space="preserve">Narration: </w:t>
      </w:r>
      <w:r>
        <w:rPr>
          <w:rFonts w:ascii="Arial" w:hAnsi="Arial" w:eastAsia="Arial"/>
          <w:sz w:val="20"/>
        </w:rPr>
        <w:t>The final page exports a Markdown feedback report and structured JSON or CSV files so the decision process can be inspected and reproduced.</w:t>
      </w:r>
    </w:p>
    <w:p>
      <w:pPr>
        <w:pStyle w:val="Heading2"/>
      </w:pPr>
      <w:r>
        <w:rPr>
          <w:rFonts w:ascii="Arial" w:hAnsi="Arial" w:eastAsia="Arial"/>
          <w:b/>
          <w:sz w:val="24"/>
        </w:rPr>
        <w:t>2:20-2:30  Closing</w:t>
      </w:r>
    </w:p>
    <w:p>
      <w:pPr>
        <w:spacing w:after="40"/>
      </w:pPr>
      <w:r>
        <w:rPr>
          <w:rFonts w:ascii="Arial" w:hAnsi="Arial" w:eastAsia="Arial"/>
          <w:b/>
          <w:sz w:val="20"/>
        </w:rPr>
        <w:t>Screen actions:</w:t>
      </w:r>
    </w:p>
    <w:p>
      <w:pPr>
        <w:pStyle w:val="ListBullet"/>
        <w:spacing w:after="40"/>
      </w:pPr>
      <w:r>
        <w:rPr>
          <w:rFonts w:ascii="Arial" w:hAnsi="Arial" w:eastAsia="Arial"/>
          <w:sz w:val="18"/>
        </w:rPr>
        <w:t>Return to Page 1 or stay on Report Export.</w:t>
      </w:r>
    </w:p>
    <w:p>
      <w:pPr>
        <w:pStyle w:val="ListBullet"/>
        <w:spacing w:after="40"/>
      </w:pPr>
      <w:r>
        <w:rPr>
          <w:rFonts w:ascii="Arial" w:hAnsi="Arial" w:eastAsia="Arial"/>
          <w:sz w:val="18"/>
        </w:rPr>
        <w:t>Stop moving the mouse.</w:t>
      </w:r>
    </w:p>
    <w:p>
      <w:pPr>
        <w:pStyle w:val="ListBullet"/>
        <w:spacing w:after="40"/>
      </w:pPr>
      <w:r>
        <w:rPr>
          <w:rFonts w:ascii="Arial" w:hAnsi="Arial" w:eastAsia="Arial"/>
          <w:sz w:val="18"/>
        </w:rPr>
        <w:t>Leave one second of silence after the final sentence before stopping the recording.</w:t>
      </w:r>
    </w:p>
    <w:p>
      <w:pPr>
        <w:spacing w:before="40" w:after="160"/>
        <w:ind w:left="216" w:right="72"/>
        <w:shd w:fill="F4F6F9"/>
      </w:pPr>
      <w:r>
        <w:rPr>
          <w:rFonts w:ascii="Arial" w:hAnsi="Arial" w:eastAsia="Arial"/>
          <w:b/>
          <w:sz w:val="20"/>
        </w:rPr>
        <w:t xml:space="preserve">Narration: </w:t>
      </w:r>
      <w:r>
        <w:rPr>
          <w:rFonts w:ascii="Arial" w:hAnsi="Arial" w:eastAsia="Arial"/>
          <w:sz w:val="20"/>
        </w:rPr>
        <w:t>ConsensusScope helps decide when AI feedback requires human review.</w:t>
      </w:r>
    </w:p>
    <w:p>
      <w:pPr>
        <w:pStyle w:val="Heading1"/>
      </w:pPr>
      <w:r>
        <w:t>3. Presenter Checklist</w:t>
      </w:r>
    </w:p>
    <w:p>
      <w:pPr>
        <w:pStyle w:val="ListBullet"/>
      </w:pPr>
      <w:r>
        <w:rPr>
          <w:rFonts w:ascii="Arial" w:hAnsi="Arial" w:eastAsia="Arial"/>
          <w:sz w:val="20"/>
        </w:rPr>
        <w:t>Use English narration for international conference submission.</w:t>
      </w:r>
    </w:p>
    <w:p>
      <w:pPr>
        <w:pStyle w:val="ListBullet"/>
      </w:pPr>
      <w:r>
        <w:rPr>
          <w:rFonts w:ascii="Arial" w:hAnsi="Arial" w:eastAsia="Arial"/>
          <w:sz w:val="20"/>
        </w:rPr>
        <w:t>Keep the video at or below 2 minutes 30 seconds.</w:t>
      </w:r>
    </w:p>
    <w:p>
      <w:pPr>
        <w:pStyle w:val="ListBullet"/>
      </w:pPr>
      <w:r>
        <w:rPr>
          <w:rFonts w:ascii="Arial" w:hAnsi="Arial" w:eastAsia="Arial"/>
          <w:sz w:val="20"/>
        </w:rPr>
        <w:t>Do not type or reveal real API keys.</w:t>
      </w:r>
    </w:p>
    <w:p>
      <w:pPr>
        <w:pStyle w:val="ListBullet"/>
      </w:pPr>
      <w:r>
        <w:rPr>
          <w:rFonts w:ascii="Arial" w:hAnsi="Arial" w:eastAsia="Arial"/>
          <w:sz w:val="20"/>
        </w:rPr>
        <w:t>Do not claim teacher-study or classroom annotation results that are not in the data.</w:t>
      </w:r>
    </w:p>
    <w:p>
      <w:pPr>
        <w:pStyle w:val="ListBullet"/>
      </w:pPr>
      <w:r>
        <w:rPr>
          <w:rFonts w:ascii="Arial" w:hAnsi="Arial" w:eastAsia="Arial"/>
          <w:sz w:val="20"/>
        </w:rPr>
        <w:t>Do not frame ConsensusScope as an automatic essay scorer or teacher replacement.</w:t>
      </w:r>
    </w:p>
    <w:p>
      <w:pPr>
        <w:pStyle w:val="ListBullet"/>
      </w:pPr>
      <w:r>
        <w:rPr>
          <w:rFonts w:ascii="Arial" w:hAnsi="Arial" w:eastAsia="Arial"/>
          <w:sz w:val="20"/>
        </w:rPr>
        <w:t>Keep auxiliary QA pages clearly secondary to the ESL literary-feedback workflow.</w:t>
      </w:r>
    </w:p>
    <w:sectPr w:rsidR="00FC693F" w:rsidRPr="0006063C" w:rsidSect="00034616">
      <w:footerReference w:type="default" r:id="rId9"/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777777"/>
        <w:sz w:val="16"/>
      </w:rPr>
      <w:t>ConsensusScope EMNLP demo script · English · 2:30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