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智驾域控项目自动驾驶域控制器SOW</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项目概述</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项目名称</w:t>
      </w:r>
      <w:r>
        <w:rPr>
          <w:rFonts w:eastAsia="等线" w:ascii="Arial" w:cs="Arial" w:hAnsi="Arial"/>
          <w:b w:val="true"/>
          <w:sz w:val="32"/>
        </w:rPr>
        <w:t>：</w:t>
      </w:r>
      <w:bookmarkEnd w:id="1"/>
    </w:p>
    <w:p>
      <w:pPr>
        <w:spacing w:before="120" w:after="120" w:line="288" w:lineRule="auto"/>
        <w:ind w:left="0" w:firstLine="420"/>
        <w:jc w:val="left"/>
      </w:pPr>
      <w:r>
        <w:rPr>
          <w:rFonts w:eastAsia="等线" w:ascii="Arial" w:cs="Arial" w:hAnsi="Arial"/>
          <w:sz w:val="22"/>
          <w:shd w:fill="fff67a"/>
        </w:rPr>
        <w:t>智驾域控项目</w:t>
      </w:r>
      <w:r>
        <w:rPr>
          <w:rFonts w:eastAsia="等线" w:ascii="Arial" w:cs="Arial" w:hAnsi="Arial"/>
          <w:sz w:val="22"/>
        </w:rPr>
        <w:t>项目自动驾驶域控制器（ADCU）。</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车型信息</w:t>
      </w:r>
      <w:bookmarkEnd w:id="2"/>
    </w:p>
    <w:p>
      <w:pPr>
        <w:spacing w:before="120" w:after="120" w:line="288" w:lineRule="auto"/>
        <w:ind w:left="0" w:firstLine="420"/>
        <w:jc w:val="left"/>
      </w:pPr>
      <w:r>
        <w:rPr>
          <w:rFonts w:eastAsia="等线" w:ascii="Arial" w:cs="Arial" w:hAnsi="Arial"/>
          <w:sz w:val="22"/>
        </w:rPr>
        <w:t>适用车型简介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95"/>
        <w:gridCol w:w="1005"/>
        <w:gridCol w:w="1260"/>
        <w:gridCol w:w="1635"/>
        <w:gridCol w:w="1635"/>
        <w:gridCol w:w="1635"/>
      </w:tblGrid>
      <w:tr>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OEM</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某品牌</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Model</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车型名称</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车身形式</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纯电</w:t>
            </w:r>
          </w:p>
        </w:tc>
      </w:tr>
      <w:tr>
        <w:tc>
          <w:tcPr>
            <w:tcW w:w="109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 w:id="3"/>
      <w:r>
        <w:rPr>
          <w:rFonts w:eastAsia="等线" w:ascii="Arial" w:cs="Arial" w:hAnsi="Arial"/>
          <w:color w:val="3370ff"/>
          <w:sz w:val="32"/>
        </w:rPr>
        <w:t xml:space="preserve">1.3 </w:t>
      </w:r>
      <w:r>
        <w:rPr>
          <w:rFonts w:eastAsia="等线" w:ascii="Arial" w:cs="Arial" w:hAnsi="Arial"/>
          <w:b w:val="true"/>
          <w:sz w:val="32"/>
        </w:rPr>
        <w:t>车型量纲信息</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05"/>
        <w:gridCol w:w="4875"/>
      </w:tblGrid>
      <w:tr>
        <w:tc>
          <w:tcPr>
            <w:tcW w:w="25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车型</w:t>
            </w:r>
          </w:p>
        </w:tc>
        <w:tc>
          <w:tcPr>
            <w:tcW w:w="48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五年合计</w:t>
            </w:r>
          </w:p>
        </w:tc>
      </w:tr>
      <w:tr>
        <w:tc>
          <w:tcPr>
            <w:tcW w:w="2505" w:type="dxa"/>
            <w:tcMar>
              <w:top w:type="dxa" w:w="60"/>
              <w:left w:type="dxa" w:w="120"/>
              <w:bottom w:type="dxa" w:w="30"/>
              <w:right w:type="dxa" w:w="120"/>
            </w:tcMar>
          </w:tcPr>
          <w:p>
            <w:pPr>
              <w:spacing w:before="120" w:after="120" w:line="288" w:lineRule="auto"/>
              <w:ind w:left="0"/>
              <w:jc w:val="left"/>
            </w:pPr>
          </w:p>
        </w:tc>
        <w:tc>
          <w:tcPr>
            <w:tcW w:w="4875" w:type="dxa"/>
            <w:tcMar>
              <w:top w:type="dxa" w:w="60"/>
              <w:left w:type="dxa" w:w="120"/>
              <w:bottom w:type="dxa" w:w="30"/>
              <w:right w:type="dxa" w:w="120"/>
            </w:tcMar>
          </w:tcPr>
          <w:p>
            <w:pPr>
              <w:spacing w:before="120" w:after="120" w:line="288" w:lineRule="auto"/>
              <w:ind w:left="0"/>
              <w:jc w:val="center"/>
            </w:pPr>
          </w:p>
        </w:tc>
      </w:tr>
    </w:tbl>
    <w:p>
      <w:pPr>
        <w:pStyle w:val="2"/>
        <w:spacing w:before="320" w:after="120" w:line="288" w:lineRule="auto"/>
        <w:ind w:left="0"/>
        <w:jc w:val="left"/>
        <w:outlineLvl w:val="1"/>
      </w:pPr>
      <w:bookmarkStart w:name="heading_4" w:id="4"/>
      <w:r>
        <w:rPr>
          <w:rFonts w:eastAsia="等线" w:ascii="Arial" w:cs="Arial" w:hAnsi="Arial"/>
          <w:color w:val="3370ff"/>
          <w:sz w:val="32"/>
        </w:rPr>
        <w:t xml:space="preserve">1.4 </w:t>
      </w:r>
      <w:r>
        <w:rPr>
          <w:rFonts w:eastAsia="等线" w:ascii="Arial" w:cs="Arial" w:hAnsi="Arial"/>
          <w:b w:val="true"/>
          <w:sz w:val="32"/>
        </w:rPr>
        <w:t>项目信息</w:t>
      </w:r>
      <w:bookmarkEnd w:id="4"/>
    </w:p>
    <w:p>
      <w:pPr>
        <w:numPr>
          <w:numId w:val="1"/>
        </w:numPr>
        <w:spacing w:before="120" w:after="120" w:line="288" w:lineRule="auto"/>
        <w:ind w:left="0"/>
        <w:jc w:val="left"/>
      </w:pPr>
      <w:r>
        <w:rPr>
          <w:rFonts w:eastAsia="等线" w:ascii="Arial" w:cs="Arial" w:hAnsi="Arial"/>
          <w:sz w:val="22"/>
        </w:rPr>
        <w:t>质量责任判定</w:t>
      </w:r>
    </w:p>
    <w:p>
      <w:pPr>
        <w:spacing w:before="120" w:after="120" w:line="288" w:lineRule="auto"/>
        <w:ind w:left="0" w:firstLine="420"/>
        <w:jc w:val="left"/>
      </w:pPr>
      <w:r>
        <w:rPr>
          <w:rFonts w:eastAsia="等线" w:ascii="Arial" w:cs="Arial" w:hAnsi="Arial"/>
          <w:sz w:val="22"/>
        </w:rPr>
        <w:t>车型研发及量产过程中，如果产生由于设计导致的质量纠纷，由负责方承担并负责解决问题。</w:t>
      </w:r>
    </w:p>
    <w:p>
      <w:pPr>
        <w:numPr>
          <w:numId w:val="2"/>
        </w:numPr>
        <w:spacing w:before="120" w:after="120" w:line="288" w:lineRule="auto"/>
        <w:ind w:left="0"/>
        <w:jc w:val="left"/>
      </w:pPr>
      <w:r>
        <w:rPr>
          <w:rFonts w:eastAsia="等线" w:ascii="Arial" w:cs="Arial" w:hAnsi="Arial"/>
          <w:sz w:val="22"/>
        </w:rPr>
        <w:t>联系方式</w:t>
      </w:r>
    </w:p>
    <w:p>
      <w:pPr>
        <w:spacing w:before="120" w:after="120" w:line="288" w:lineRule="auto"/>
        <w:ind w:left="0" w:firstLine="420"/>
        <w:jc w:val="left"/>
      </w:pPr>
      <w:r>
        <w:rPr>
          <w:rFonts w:eastAsia="等线" w:ascii="Arial" w:cs="Arial" w:hAnsi="Arial"/>
          <w:sz w:val="22"/>
        </w:rPr>
        <w:t>各专业联系人信息见下表。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65"/>
        <w:gridCol w:w="1545"/>
        <w:gridCol w:w="1545"/>
        <w:gridCol w:w="1545"/>
        <w:gridCol w:w="1920"/>
        <w:gridCol w:w="975"/>
      </w:tblGrid>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职责</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姓名</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电话</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E-mail</w:t>
            </w: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客户项目经理</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ADCU 研发</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传感器研发</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SIP 研发</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商务接口人</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采购</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供应商质量管理（SQE）</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bl>
    <w:p>
      <w:pPr>
        <w:numPr>
          <w:numId w:val="3"/>
        </w:numPr>
        <w:spacing w:before="120" w:after="120" w:line="288" w:lineRule="auto"/>
        <w:ind w:left="0"/>
        <w:jc w:val="left"/>
      </w:pPr>
      <w:r>
        <w:rPr>
          <w:rFonts w:eastAsia="等线" w:ascii="Arial" w:cs="Arial" w:hAnsi="Arial"/>
          <w:sz w:val="22"/>
        </w:rPr>
        <w:t>说明：</w:t>
      </w:r>
    </w:p>
    <w:p>
      <w:pPr>
        <w:spacing w:before="120" w:after="120" w:line="288" w:lineRule="auto"/>
        <w:ind w:left="453"/>
        <w:jc w:val="left"/>
      </w:pPr>
      <w:r>
        <w:rPr>
          <w:rFonts w:eastAsia="等线" w:ascii="Arial" w:cs="Arial" w:hAnsi="Arial"/>
          <w:sz w:val="22"/>
        </w:rPr>
        <w:t>硬件供应商（HW Supplier）指</w:t>
      </w:r>
      <w:r>
        <w:rPr>
          <w:rFonts w:eastAsia="等线" w:ascii="Arial" w:cs="Arial" w:hAnsi="Arial"/>
          <w:sz w:val="22"/>
          <w:shd w:fill="fff67a"/>
        </w:rPr>
        <w:t>TBD</w:t>
      </w:r>
      <w:r>
        <w:rPr>
          <w:rFonts w:eastAsia="等线" w:ascii="Arial" w:cs="Arial" w:hAnsi="Arial"/>
          <w:sz w:val="22"/>
        </w:rPr>
        <w:t>。</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1.5 </w:t>
      </w:r>
      <w:r>
        <w:rPr>
          <w:rFonts w:eastAsia="等线" w:ascii="Arial" w:cs="Arial" w:hAnsi="Arial"/>
          <w:b w:val="true"/>
          <w:sz w:val="32"/>
        </w:rPr>
        <w:t>项目开发时间节点</w:t>
      </w:r>
      <w:bookmarkEnd w:id="5"/>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1.6 </w:t>
      </w:r>
      <w:r>
        <w:rPr>
          <w:rFonts w:eastAsia="等线" w:ascii="Arial" w:cs="Arial" w:hAnsi="Arial"/>
          <w:b w:val="true"/>
          <w:sz w:val="32"/>
        </w:rPr>
        <w:t xml:space="preserve">车型及交样节点 </w:t>
      </w:r>
      <w:bookmarkEnd w:id="6"/>
    </w:p>
    <w:p>
      <w:pPr>
        <w:numPr>
          <w:numId w:val="4"/>
        </w:numPr>
        <w:spacing w:before="120" w:after="120" w:line="288" w:lineRule="auto"/>
        <w:ind w:left="0"/>
        <w:jc w:val="left"/>
      </w:pPr>
      <w:r>
        <w:rPr>
          <w:rFonts w:eastAsia="等线" w:ascii="Arial" w:cs="Arial" w:hAnsi="Arial"/>
          <w:sz w:val="22"/>
        </w:rPr>
        <w:t>整车节点</w:t>
      </w:r>
    </w:p>
    <w:p>
      <w:pPr>
        <w:spacing w:before="120" w:after="120" w:line="288" w:lineRule="auto"/>
        <w:ind w:left="0"/>
        <w:jc w:val="left"/>
      </w:pPr>
      <w:r>
        <w:rPr>
          <w:rFonts w:eastAsia="等线" w:ascii="Arial" w:cs="Arial" w:hAnsi="Arial"/>
          <w:sz w:val="22"/>
          <w:shd w:fill="fff67a"/>
        </w:rPr>
        <w:t>备注：此处放置整车项目的schedule。</w:t>
      </w:r>
    </w:p>
    <w:p>
      <w:pPr>
        <w:numPr>
          <w:numId w:val="5"/>
        </w:numPr>
        <w:spacing w:before="120" w:after="120" w:line="288" w:lineRule="auto"/>
        <w:ind w:left="0"/>
        <w:jc w:val="left"/>
      </w:pPr>
      <w:r>
        <w:rPr>
          <w:rFonts w:eastAsia="等线" w:ascii="Arial" w:cs="Arial" w:hAnsi="Arial"/>
          <w:sz w:val="22"/>
        </w:rPr>
        <w:t>交样节点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1665"/>
        <w:gridCol w:w="2790"/>
      </w:tblGrid>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硬件交样</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w:t>
            </w:r>
          </w:p>
        </w:tc>
        <w:tc>
          <w:tcPr>
            <w:tcW w:w="27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 样</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 样</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 样</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ESO</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color w:val="3370ff"/>
          <w:sz w:val="36"/>
        </w:rPr>
        <w:t xml:space="preserve">2. </w:t>
      </w:r>
      <w:r>
        <w:rPr>
          <w:rFonts w:eastAsia="等线" w:ascii="Arial" w:cs="Arial" w:hAnsi="Arial"/>
          <w:b w:val="true"/>
          <w:sz w:val="36"/>
        </w:rPr>
        <w:t>目的</w:t>
      </w:r>
      <w:bookmarkEnd w:id="7"/>
    </w:p>
    <w:p>
      <w:pPr>
        <w:spacing w:before="120" w:after="120" w:line="288" w:lineRule="auto"/>
        <w:ind w:left="0" w:firstLine="420"/>
        <w:jc w:val="left"/>
      </w:pPr>
      <w:r>
        <w:rPr>
          <w:rFonts w:eastAsia="等线" w:ascii="Arial" w:cs="Arial" w:hAnsi="Arial"/>
          <w:sz w:val="22"/>
        </w:rPr>
        <w:t xml:space="preserve">此文件面向设计师和开发人员，用于支持Momenta自动驾驶域控制器的开发。该控制器将会采用Botheart芯片，预计使用在OEM客户一系列车型项目中。这需要Momenta、Botheart、OEM客户和硬件供应商之间达成新的协议，以便硬件供应商能够提供合格的域控制器来支持上述车型项目的开发。 </w:t>
      </w:r>
    </w:p>
    <w:p>
      <w:pPr>
        <w:spacing w:before="120" w:after="120" w:line="288" w:lineRule="auto"/>
        <w:ind w:left="0" w:firstLine="420"/>
        <w:jc w:val="left"/>
      </w:pPr>
      <w:r>
        <w:rPr>
          <w:rFonts w:eastAsia="等线" w:ascii="Arial" w:cs="Arial" w:hAnsi="Arial"/>
          <w:sz w:val="22"/>
        </w:rPr>
        <w:t xml:space="preserve">在项目开发阶段，硬件供应商需要开发硬件并按照需求提供合格的样件，并按照约定开发MCU的Mcal和bootloader，并确保所有接口、基础软件正常工作，同时为Momenta应用软件集成及整车开发提供必要的支持。 </w:t>
      </w:r>
    </w:p>
    <w:p>
      <w:pPr>
        <w:spacing w:before="120" w:after="120" w:line="288" w:lineRule="auto"/>
        <w:ind w:left="0"/>
        <w:jc w:val="left"/>
      </w:pPr>
      <w:r>
        <w:rPr>
          <w:rFonts w:eastAsia="等线" w:ascii="Arial" w:cs="Arial" w:hAnsi="Arial"/>
          <w:sz w:val="22"/>
        </w:rPr>
        <w:t xml:space="preserve">      X7 SIP的开发。在项目开发阶段，由Momenta负责SIP的设计，硬件供应商需要提供代工生产服务并按PO要求按期交付样件。量产阶段由硬件供应商整体负责管控。硬件供应商需要基于生产可行性提出设计优化建议，并负责实施AEC-Q104认证。</w:t>
      </w:r>
    </w:p>
    <w:p>
      <w:pPr>
        <w:spacing w:before="120" w:after="120" w:line="288" w:lineRule="auto"/>
        <w:ind w:left="0" w:firstLine="420"/>
        <w:jc w:val="left"/>
      </w:pPr>
      <w:r>
        <w:rPr>
          <w:rFonts w:eastAsia="等线" w:ascii="Arial" w:cs="Arial" w:hAnsi="Arial"/>
          <w:sz w:val="22"/>
        </w:rPr>
        <w:t>Momenta保留对本文档的最终解释权。</w:t>
      </w:r>
    </w:p>
    <w:p>
      <w:pPr>
        <w:spacing w:before="120" w:after="120" w:line="288" w:lineRule="auto"/>
        <w:ind w:left="0" w:firstLine="420"/>
        <w:jc w:val="left"/>
      </w:pPr>
    </w:p>
    <w:p>
      <w:pPr>
        <w:pStyle w:val="1"/>
        <w:spacing w:before="380" w:after="140" w:line="288" w:lineRule="auto"/>
        <w:ind w:left="0"/>
        <w:jc w:val="left"/>
        <w:outlineLvl w:val="0"/>
      </w:pPr>
      <w:bookmarkStart w:name="heading_8" w:id="8"/>
      <w:r>
        <w:rPr>
          <w:rFonts w:eastAsia="等线" w:ascii="Arial" w:cs="Arial" w:hAnsi="Arial"/>
          <w:color w:val="3370ff"/>
          <w:sz w:val="36"/>
        </w:rPr>
        <w:t xml:space="preserve">3. </w:t>
      </w:r>
      <w:r>
        <w:rPr>
          <w:rFonts w:eastAsia="等线" w:ascii="Arial" w:cs="Arial" w:hAnsi="Arial"/>
          <w:b w:val="true"/>
          <w:sz w:val="36"/>
        </w:rPr>
        <w:t xml:space="preserve">项目计划 </w:t>
      </w:r>
      <w:bookmarkEnd w:id="8"/>
    </w:p>
    <w:p>
      <w:pPr>
        <w:spacing w:before="120" w:after="120" w:line="288" w:lineRule="auto"/>
        <w:ind w:left="0" w:firstLine="420"/>
        <w:jc w:val="left"/>
      </w:pPr>
      <w:r>
        <w:rPr>
          <w:rFonts w:eastAsia="等线" w:ascii="Arial" w:cs="Arial" w:hAnsi="Arial"/>
          <w:sz w:val="22"/>
        </w:rPr>
        <w:t>以下计划作为参考，请供应商根据客户的整车节点和实际节奏，更新计划。</w:t>
      </w:r>
    </w:p>
    <w:p>
      <w:pPr>
        <w:spacing w:before="120" w:after="120" w:line="288" w:lineRule="auto"/>
        <w:ind w:left="0" w:firstLine="420"/>
        <w:jc w:val="left"/>
      </w:pPr>
    </w:p>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color w:val="3370ff"/>
          <w:sz w:val="36"/>
        </w:rPr>
        <w:t xml:space="preserve">4. </w:t>
      </w:r>
      <w:r>
        <w:rPr>
          <w:rFonts w:eastAsia="等线" w:ascii="Arial" w:cs="Arial" w:hAnsi="Arial"/>
          <w:b w:val="true"/>
          <w:sz w:val="36"/>
        </w:rPr>
        <w:t>工作范围</w:t>
      </w:r>
      <w:bookmarkEnd w:id="9"/>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4.1 </w:t>
      </w:r>
      <w:r>
        <w:rPr>
          <w:rFonts w:eastAsia="等线" w:ascii="Arial" w:cs="Arial" w:hAnsi="Arial"/>
          <w:b w:val="true"/>
          <w:sz w:val="32"/>
        </w:rPr>
        <w:t>工作任务和职责概述</w:t>
      </w:r>
      <w:bookmarkEnd w:id="10"/>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4.1.1 </w:t>
      </w:r>
      <w:r>
        <w:rPr>
          <w:rFonts w:eastAsia="等线" w:ascii="Arial" w:cs="Arial" w:hAnsi="Arial"/>
          <w:b w:val="true"/>
          <w:sz w:val="30"/>
        </w:rPr>
        <w:t>ADCU工作任务和职责概述</w:t>
      </w:r>
      <w:bookmarkEnd w:id="11"/>
    </w:p>
    <w:p>
      <w:pPr>
        <w:spacing w:before="120" w:after="120" w:line="288" w:lineRule="auto"/>
        <w:ind w:left="0" w:firstLine="420"/>
        <w:jc w:val="left"/>
      </w:pPr>
      <w:r>
        <w:rPr>
          <w:rFonts w:eastAsia="等线" w:ascii="Arial" w:cs="Arial" w:hAnsi="Arial"/>
          <w:sz w:val="22"/>
        </w:rPr>
        <w:t>为保证对于OEM客户车型项目的交付和质量，Momenta作为Tier1为客户提供整体的智驾解决方案。硬件供应商需要提供域控解决方案。硬件供应商需要承担项目中域控硬件研发、生产，交付，售后等职责，并开发MCAL和CDD相关的软件，交付Momenta集成。Botheart需要为X7域控制器开发提供设计支持，芯片手册、工具链等支持。</w:t>
      </w:r>
    </w:p>
    <w:p>
      <w:pPr>
        <w:spacing w:before="120" w:after="120" w:line="288" w:lineRule="auto"/>
        <w:ind w:left="0"/>
        <w:jc w:val="center"/>
      </w:pPr>
      <w:r>
        <w:drawing>
          <wp:inline distT="0" distR="0" distB="0" distL="0">
            <wp:extent cx="5257800" cy="51244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5124450"/>
                    </a:xfrm>
                    <a:prstGeom prst="rect">
                      <a:avLst/>
                    </a:prstGeom>
                  </pic:spPr>
                </pic:pic>
              </a:graphicData>
            </a:graphic>
          </wp:inline>
        </w:drawing>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4.2 </w:t>
      </w:r>
      <w:r>
        <w:rPr>
          <w:rFonts w:eastAsia="等线" w:ascii="Arial" w:cs="Arial" w:hAnsi="Arial"/>
          <w:b w:val="true"/>
          <w:sz w:val="32"/>
        </w:rPr>
        <w:t>联合开发模式</w:t>
      </w:r>
      <w:bookmarkEnd w:id="12"/>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硬件供应商为Momenta提供ADCU。</w:t>
      </w:r>
    </w:p>
    <w:p>
      <w:pPr>
        <w:spacing w:before="120" w:after="120" w:line="288" w:lineRule="auto"/>
        <w:ind w:left="0"/>
        <w:jc w:val="center"/>
      </w:pPr>
      <w:r>
        <w:drawing>
          <wp:inline distT="0" distR="0" distB="0" distL="0">
            <wp:extent cx="5257800" cy="26098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609850"/>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4.3 </w:t>
      </w:r>
      <w:r>
        <w:rPr>
          <w:rFonts w:eastAsia="等线" w:ascii="Arial" w:cs="Arial" w:hAnsi="Arial"/>
          <w:b w:val="true"/>
          <w:sz w:val="32"/>
        </w:rPr>
        <w:t>自动驾驶域控制器开发分工</w:t>
      </w:r>
      <w:bookmarkEnd w:id="13"/>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4.3.1 </w:t>
      </w:r>
      <w:r>
        <w:rPr>
          <w:rFonts w:eastAsia="等线" w:ascii="Arial" w:cs="Arial" w:hAnsi="Arial"/>
          <w:b w:val="true"/>
          <w:sz w:val="30"/>
        </w:rPr>
        <w:t>8650域控开发分工</w:t>
      </w:r>
      <w:bookmarkEnd w:id="14"/>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8" o:title=""/>
          </v:shape>
          <o:OLEObject DrawAspect="Icon" ObjectID="_1718471219" ProgID="Excel.Sheet.12" ShapeID="_x0000_i1025"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u w:val="single"/>
        </w:rPr>
        <w:t>关于高通技术支持的特别说明</w:t>
      </w:r>
      <w:r>
        <w:rPr>
          <w:rFonts w:eastAsia="等线" w:ascii="Arial" w:cs="Arial" w:hAnsi="Arial"/>
          <w:sz w:val="22"/>
        </w:rPr>
        <w:t>：</w:t>
      </w:r>
      <w:r>
        <w:rPr>
          <w:rFonts w:eastAsia="等线" w:ascii="Arial" w:cs="Arial" w:hAnsi="Arial"/>
          <w:sz w:val="22"/>
        </w:rPr>
        <w:t>Momenta在域控开发过程中遇到的软件和硬件问题，通过硬件供应商Momenta的Case账号与Qualcomm进行沟通。硬件供应商提供两个邮箱账号给到Momenta获得芯片技术支持。</w:t>
      </w:r>
    </w:p>
    <w:p>
      <w:pPr>
        <w:spacing w:before="120" w:after="120" w:line="288" w:lineRule="auto"/>
        <w:ind w:left="0"/>
        <w:jc w:val="left"/>
      </w:pPr>
      <w:r>
        <w:rPr>
          <w:rFonts w:eastAsia="等线" w:ascii="Arial" w:cs="Arial" w:hAnsi="Arial"/>
          <w:sz w:val="22"/>
        </w:rPr>
        <w:t>硬件</w:t>
      </w:r>
      <w:r>
        <w:rPr>
          <w:rFonts w:eastAsia="等线" w:ascii="Arial" w:cs="Arial" w:hAnsi="Arial"/>
          <w:sz w:val="22"/>
        </w:rPr>
        <w:t>供应商需要承担与高通相关的费用，包括不限于高通技术支持（如提ticket），高通量产授权，单件QNX license费用等</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4.3.2 </w:t>
      </w:r>
      <w:r>
        <w:rPr>
          <w:rFonts w:eastAsia="等线" w:ascii="Arial" w:cs="Arial" w:hAnsi="Arial"/>
          <w:b w:val="true"/>
          <w:sz w:val="30"/>
        </w:rPr>
        <w:t>X7域控开发分工</w:t>
      </w:r>
      <w:bookmarkEnd w:id="15"/>
    </w:p>
    <w:p>
      <w:pPr>
        <w:spacing w:before="120" w:after="120" w:line="288" w:lineRule="auto"/>
        <w:ind w:left="0"/>
      </w:pPr>
      <w:r>
        <w:object>
          <v:shape id="_x0000_i1026" style="width:414pt;height:197pt;mso-width-percent:0;mso-height-percent:0;mso-width-percent:0;mso-height-percent:0" type="#_x0000_t75" o:ole="">
            <v:imagedata r:id="rId10" o:title=""/>
          </v:shape>
          <o:OLEObject DrawAspect="Icon" ObjectID="_1718471220" ProgID="Excel.Sheet.12" ShapeID="_x0000_i1026"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u w:val="single"/>
        </w:rPr>
        <w:t>关于SOC技术支持的特别说明</w:t>
      </w:r>
      <w:r>
        <w:rPr>
          <w:rFonts w:eastAsia="等线" w:ascii="Arial" w:cs="Arial" w:hAnsi="Arial"/>
          <w:sz w:val="22"/>
        </w:rPr>
        <w:t>：</w:t>
      </w:r>
      <w:r>
        <w:rPr>
          <w:rFonts w:eastAsia="等线" w:ascii="Arial" w:cs="Arial" w:hAnsi="Arial"/>
          <w:sz w:val="22"/>
        </w:rPr>
        <w:t>Momenta在域控开发过程中遇到的软件和硬件问题，通过硬件供应商Momenta的Case账号与Botheart进行沟通。硬件供应商提供两个邮箱账号给到Momenta获得芯片技术支持。</w:t>
      </w:r>
    </w:p>
    <w:p>
      <w:pPr>
        <w:spacing w:before="120" w:after="120" w:line="288" w:lineRule="auto"/>
        <w:ind w:left="0"/>
        <w:jc w:val="left"/>
      </w:pPr>
      <w:r>
        <w:rPr>
          <w:rFonts w:eastAsia="等线" w:ascii="Arial" w:cs="Arial" w:hAnsi="Arial"/>
          <w:sz w:val="22"/>
        </w:rPr>
        <w:t>硬件供</w:t>
      </w:r>
      <w:r>
        <w:rPr>
          <w:rFonts w:eastAsia="等线" w:ascii="Arial" w:cs="Arial" w:hAnsi="Arial"/>
          <w:sz w:val="22"/>
        </w:rPr>
        <w:t>应商需要承担与Botheart相关的费用，包括不限于Botheart技术支持（如提ticket），Botheart量产授权，单件license费用等。</w:t>
      </w:r>
    </w:p>
    <w:p>
      <w:pPr>
        <w:spacing w:before="120" w:after="120" w:line="288" w:lineRule="auto"/>
        <w:ind w:left="0"/>
        <w:jc w:val="left"/>
      </w:pPr>
    </w:p>
    <w:p>
      <w:pPr>
        <w:pStyle w:val="1"/>
        <w:spacing w:before="380" w:after="140" w:line="288" w:lineRule="auto"/>
        <w:ind w:left="0"/>
        <w:jc w:val="left"/>
        <w:outlineLvl w:val="0"/>
      </w:pPr>
      <w:bookmarkStart w:name="heading_16" w:id="16"/>
      <w:r>
        <w:rPr>
          <w:rFonts w:eastAsia="等线" w:ascii="Arial" w:cs="Arial" w:hAnsi="Arial"/>
          <w:color w:val="3370ff"/>
          <w:sz w:val="36"/>
        </w:rPr>
        <w:t xml:space="preserve">5. </w:t>
      </w:r>
      <w:r>
        <w:rPr>
          <w:rFonts w:eastAsia="等线" w:ascii="Arial" w:cs="Arial" w:hAnsi="Arial"/>
          <w:b w:val="true"/>
          <w:sz w:val="36"/>
        </w:rPr>
        <w:t>工作流程</w:t>
      </w:r>
      <w:bookmarkEnd w:id="16"/>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5.1 </w:t>
      </w:r>
      <w:r>
        <w:rPr>
          <w:rFonts w:eastAsia="等线" w:ascii="Arial" w:cs="Arial" w:hAnsi="Arial"/>
          <w:b w:val="true"/>
          <w:sz w:val="32"/>
        </w:rPr>
        <w:t>自动驾驶域控制器工作流程</w:t>
      </w:r>
      <w:bookmarkEnd w:id="17"/>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5.1.1 </w:t>
      </w:r>
      <w:r>
        <w:rPr>
          <w:rFonts w:eastAsia="等线" w:ascii="Arial" w:cs="Arial" w:hAnsi="Arial"/>
          <w:b w:val="true"/>
          <w:sz w:val="30"/>
        </w:rPr>
        <w:t>硬件开发</w:t>
      </w:r>
      <w:bookmarkEnd w:id="18"/>
    </w:p>
    <w:p>
      <w:pPr>
        <w:spacing w:before="120" w:after="120" w:line="288" w:lineRule="auto"/>
        <w:ind w:left="0" w:firstLine="420"/>
        <w:jc w:val="left"/>
      </w:pPr>
      <w:r>
        <w:rPr>
          <w:rFonts w:eastAsia="等线" w:ascii="Arial" w:cs="Arial" w:hAnsi="Arial"/>
          <w:sz w:val="22"/>
        </w:rPr>
        <w:t>硬件开发主要分为4个阶段</w:t>
      </w:r>
      <w:r>
        <w:rPr>
          <w:rFonts w:eastAsia="等线" w:ascii="Arial" w:cs="Arial" w:hAnsi="Arial"/>
          <w:sz w:val="22"/>
        </w:rPr>
        <w:t>：</w:t>
      </w:r>
      <w:r>
        <w:rPr>
          <w:rFonts w:eastAsia="等线" w:ascii="Arial" w:cs="Arial" w:hAnsi="Arial"/>
          <w:sz w:val="22"/>
        </w:rPr>
        <w:t>即需求输入和接受、系统分析和设计、硬件分析和设计、验证和优化阶段。在不同的开发阶段，</w:t>
      </w:r>
      <w:r>
        <w:rPr>
          <w:rFonts w:eastAsia="等线" w:ascii="Arial" w:cs="Arial" w:hAnsi="Arial"/>
          <w:sz w:val="22"/>
        </w:rPr>
        <w:t>Momenta</w:t>
      </w:r>
      <w:r>
        <w:rPr>
          <w:rFonts w:eastAsia="等线" w:ascii="Arial" w:cs="Arial" w:hAnsi="Arial"/>
          <w:sz w:val="22"/>
        </w:rPr>
        <w:t>和硬件供应商的分工、职责不同。硬件供应商需要按照产品定义书、功能安全要求、主机厂企标、</w:t>
      </w:r>
      <w:r>
        <w:rPr>
          <w:rFonts w:eastAsia="等线" w:ascii="Arial" w:cs="Arial" w:hAnsi="Arial"/>
          <w:sz w:val="22"/>
        </w:rPr>
        <w:t>Momenta</w:t>
      </w:r>
      <w:r>
        <w:rPr>
          <w:rFonts w:eastAsia="等线" w:ascii="Arial" w:cs="Arial" w:hAnsi="Arial"/>
          <w:sz w:val="22"/>
        </w:rPr>
        <w:t>要求等展开相关硬件开发活动。</w:t>
      </w:r>
    </w:p>
    <w:p>
      <w:pPr>
        <w:spacing w:before="120" w:after="120" w:line="288" w:lineRule="auto"/>
        <w:ind w:left="0"/>
        <w:jc w:val="center"/>
      </w:pPr>
      <w:r>
        <w:drawing>
          <wp:inline distT="0" distR="0" distB="0" distL="0">
            <wp:extent cx="5257800" cy="21812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1"/>
                    <a:stretch>
                      <a:fillRect/>
                    </a:stretch>
                  </pic:blipFill>
                  <pic:spPr>
                    <a:xfrm>
                      <a:off x="0" y="0"/>
                      <a:ext cx="5257800" cy="2181225"/>
                    </a:xfrm>
                    <a:prstGeom prst="rect">
                      <a:avLst/>
                    </a:prstGeom>
                  </pic:spPr>
                </pic:pic>
              </a:graphicData>
            </a:graphic>
          </wp:inline>
        </w:drawing>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5.1.2 </w:t>
      </w:r>
      <w:r>
        <w:rPr>
          <w:rFonts w:eastAsia="等线" w:ascii="Arial" w:cs="Arial" w:hAnsi="Arial"/>
          <w:b w:val="true"/>
          <w:sz w:val="30"/>
        </w:rPr>
        <w:t>底软开发</w:t>
      </w:r>
      <w:bookmarkEnd w:id="19"/>
    </w:p>
    <w:p>
      <w:pPr>
        <w:spacing w:before="120" w:after="120" w:line="288" w:lineRule="auto"/>
        <w:ind w:left="0" w:firstLine="420"/>
        <w:jc w:val="left"/>
      </w:pPr>
      <w:r>
        <w:rPr>
          <w:rFonts w:eastAsia="等线" w:ascii="Arial" w:cs="Arial" w:hAnsi="Arial"/>
          <w:sz w:val="22"/>
        </w:rPr>
        <w:t>软件开发主要分为以下阶段</w:t>
      </w:r>
      <w:r>
        <w:rPr>
          <w:rFonts w:eastAsia="等线" w:ascii="Arial" w:cs="Arial" w:hAnsi="Arial"/>
          <w:sz w:val="22"/>
        </w:rPr>
        <w:t>：</w:t>
      </w:r>
      <w:r>
        <w:rPr>
          <w:rFonts w:eastAsia="等线" w:ascii="Arial" w:cs="Arial" w:hAnsi="Arial"/>
          <w:sz w:val="22"/>
        </w:rPr>
        <w:t>系统需求输入，软件系统和架构设计，软件模块设计和验证，集成验证和交付。</w:t>
      </w:r>
    </w:p>
    <w:p>
      <w:pPr>
        <w:spacing w:before="120" w:after="120" w:line="288" w:lineRule="auto"/>
        <w:ind w:left="0" w:firstLine="420"/>
        <w:jc w:val="left"/>
      </w:pPr>
      <w:r>
        <w:rPr>
          <w:rFonts w:eastAsia="等线" w:ascii="Arial" w:cs="Arial" w:hAnsi="Arial"/>
          <w:sz w:val="22"/>
        </w:rPr>
        <w:t>本项目软件RASIC定义MCU的MCAL部分由供应商负责，Momenta需澄清系统需求输入、MCAL模块配置要求、验收测试指标、交付流程；供应商需要根据Momenta的要求完善对应的模块验证、验收测试、交付/维护。</w:t>
      </w:r>
    </w:p>
    <w:p>
      <w:pPr>
        <w:spacing w:before="120" w:after="120" w:line="288" w:lineRule="auto"/>
        <w:ind w:left="0" w:firstLine="420"/>
        <w:jc w:val="left"/>
      </w:pPr>
      <w:r>
        <w:rPr>
          <w:rFonts w:eastAsia="等线" w:ascii="Arial" w:cs="Arial" w:hAnsi="Arial"/>
          <w:sz w:val="22"/>
        </w:rPr>
        <w:t>备注：下图中灰色部分供应商可以不考虑。</w:t>
      </w:r>
    </w:p>
    <w:p>
      <w:pPr>
        <w:spacing w:before="120" w:after="120" w:line="288" w:lineRule="auto"/>
        <w:ind w:left="0"/>
        <w:jc w:val="center"/>
      </w:pPr>
      <w:r>
        <w:drawing>
          <wp:inline distT="0" distR="0" distB="0" distL="0">
            <wp:extent cx="5257800" cy="23145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2"/>
                    <a:stretch>
                      <a:fillRect/>
                    </a:stretch>
                  </pic:blipFill>
                  <pic:spPr>
                    <a:xfrm>
                      <a:off x="0" y="0"/>
                      <a:ext cx="5257800" cy="2314575"/>
                    </a:xfrm>
                    <a:prstGeom prst="rect">
                      <a:avLst/>
                    </a:prstGeom>
                  </pic:spPr>
                </pic:pic>
              </a:graphicData>
            </a:graphic>
          </wp:inline>
        </w:drawing>
      </w:r>
    </w:p>
    <w:p>
      <w:pPr>
        <w:spacing w:before="120" w:after="120" w:line="288" w:lineRule="auto"/>
        <w:ind w:left="0" w:firstLine="420"/>
        <w:jc w:val="left"/>
      </w:pP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5.2 </w:t>
      </w:r>
      <w:r>
        <w:rPr>
          <w:rFonts w:eastAsia="等线" w:ascii="Arial" w:cs="Arial" w:hAnsi="Arial"/>
          <w:b w:val="true"/>
          <w:sz w:val="32"/>
        </w:rPr>
        <w:t xml:space="preserve">质量管理 </w:t>
      </w:r>
      <w:bookmarkEnd w:id="20"/>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硬件</w:t>
      </w:r>
      <w:r>
        <w:rPr>
          <w:rFonts w:eastAsia="等线" w:ascii="Arial" w:cs="Arial" w:hAnsi="Arial"/>
          <w:sz w:val="22"/>
        </w:rPr>
        <w:t>供应商对于本项目的质量管理活动按照Momenta对供应商质量管理要求开展，不低于OEM客户的《质量协议》要求。最终以客户的《质量协议》，管理要求和KPI为准，并且量产阶段</w:t>
      </w:r>
      <w:r>
        <w:rPr>
          <w:rFonts w:eastAsia="等线" w:ascii="Arial" w:cs="Arial" w:hAnsi="Arial"/>
          <w:sz w:val="22"/>
        </w:rPr>
        <w:t>硬件</w:t>
      </w:r>
      <w:r>
        <w:rPr>
          <w:rFonts w:eastAsia="等线" w:ascii="Arial" w:cs="Arial" w:hAnsi="Arial"/>
          <w:sz w:val="22"/>
        </w:rPr>
        <w:t>供应商对OEM质量负责。</w:t>
      </w: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5.2.1 </w:t>
      </w:r>
      <w:r>
        <w:rPr>
          <w:rFonts w:eastAsia="等线" w:ascii="Arial" w:cs="Arial" w:hAnsi="Arial"/>
          <w:b w:val="true"/>
          <w:sz w:val="30"/>
        </w:rPr>
        <w:t>供应商管理</w:t>
      </w:r>
      <w:bookmarkEnd w:id="21"/>
    </w:p>
    <w:p>
      <w:pPr>
        <w:numPr>
          <w:numId w:val="6"/>
        </w:numPr>
        <w:spacing w:before="120" w:after="120" w:line="288" w:lineRule="auto"/>
        <w:ind w:left="453"/>
        <w:jc w:val="left"/>
      </w:pPr>
      <w:r>
        <w:rPr>
          <w:rFonts w:eastAsia="等线" w:ascii="Arial" w:cs="Arial" w:hAnsi="Arial"/>
          <w:sz w:val="22"/>
        </w:rPr>
        <w:t xml:space="preserve">硬件供应商应指定一名在设计、质量、制造和试验验等方面具有丰富经验的人员作为Momenta该项目的专职代表，来共同组织产品开发的小组会议。负责统筹协调项目的进度及项目节点的执行状态，确保项目顺利实施。 </w:t>
      </w:r>
    </w:p>
    <w:p>
      <w:pPr>
        <w:numPr>
          <w:numId w:val="7"/>
        </w:numPr>
        <w:spacing w:before="120" w:after="120" w:line="288" w:lineRule="auto"/>
        <w:ind w:left="453"/>
        <w:jc w:val="left"/>
      </w:pPr>
      <w:r>
        <w:rPr>
          <w:rFonts w:eastAsia="等线" w:ascii="Arial" w:cs="Arial" w:hAnsi="Arial"/>
          <w:sz w:val="22"/>
        </w:rPr>
        <w:t>硬件供应商应为本项目成立工作小组，确保项目工作的正常进度，在定点完成后的一周内受供应商应向Momenta提供项目小组成员名单，并提供项目小组成员的相应的技能、工作经验说明及该成员可投入本项目的工作精力。项目小组应至少包括项目经理，硬件开发，软件开发，结构件开发，采购，试验验证，工艺，生产制造，质量，物流，售后，SQE等人员。</w:t>
      </w:r>
    </w:p>
    <w:p>
      <w:pPr>
        <w:numPr>
          <w:numId w:val="8"/>
        </w:numPr>
        <w:spacing w:before="120" w:after="120" w:line="288" w:lineRule="auto"/>
        <w:ind w:left="453"/>
        <w:jc w:val="left"/>
      </w:pPr>
      <w:r>
        <w:rPr>
          <w:rFonts w:eastAsia="等线" w:ascii="Arial" w:cs="Arial" w:hAnsi="Arial"/>
          <w:sz w:val="22"/>
        </w:rPr>
        <w:t>硬件供应商项目团队成员的工作经验要求至少在该专业有五年的工作经验。</w:t>
      </w:r>
    </w:p>
    <w:p>
      <w:pPr>
        <w:numPr>
          <w:numId w:val="9"/>
        </w:numPr>
        <w:spacing w:before="120" w:after="120" w:line="288" w:lineRule="auto"/>
        <w:ind w:left="453"/>
        <w:jc w:val="left"/>
      </w:pPr>
      <w:r>
        <w:rPr>
          <w:rFonts w:eastAsia="等线" w:ascii="Arial" w:cs="Arial" w:hAnsi="Arial"/>
          <w:sz w:val="22"/>
        </w:rPr>
        <w:t>硬件供应商如向第三方委派任务的工作，必须与Momenta协商并取得同意。</w:t>
      </w:r>
    </w:p>
    <w:p>
      <w:pPr>
        <w:numPr>
          <w:numId w:val="10"/>
        </w:numPr>
        <w:spacing w:before="120" w:after="120" w:line="288" w:lineRule="auto"/>
        <w:ind w:left="453"/>
        <w:jc w:val="left"/>
      </w:pPr>
      <w:r>
        <w:rPr>
          <w:rFonts w:eastAsia="等线" w:ascii="Arial" w:cs="Arial" w:hAnsi="Arial"/>
          <w:sz w:val="22"/>
        </w:rPr>
        <w:t>硬件供应商如对项目小组成员进行变动，必须通告Momenta并取得同意。</w:t>
      </w:r>
    </w:p>
    <w:p>
      <w:pPr>
        <w:pStyle w:val="3"/>
        <w:spacing w:before="300" w:after="120" w:line="288" w:lineRule="auto"/>
        <w:ind w:left="453"/>
        <w:jc w:val="left"/>
        <w:outlineLvl w:val="2"/>
      </w:pPr>
      <w:bookmarkStart w:name="heading_22" w:id="22"/>
      <w:r>
        <w:rPr>
          <w:rFonts w:eastAsia="等线" w:ascii="Arial" w:cs="Arial" w:hAnsi="Arial"/>
          <w:color w:val="3370ff"/>
          <w:sz w:val="30"/>
        </w:rPr>
        <w:t xml:space="preserve">5.2.2 </w:t>
      </w:r>
      <w:r>
        <w:rPr>
          <w:rFonts w:eastAsia="等线" w:ascii="Arial" w:cs="Arial" w:hAnsi="Arial"/>
          <w:b w:val="true"/>
          <w:sz w:val="30"/>
        </w:rPr>
        <w:t>质量目标</w:t>
      </w:r>
      <w:bookmarkEnd w:id="22"/>
    </w:p>
    <w:p>
      <w:pPr>
        <w:numPr>
          <w:numId w:val="11"/>
        </w:numPr>
        <w:spacing w:before="120" w:after="120" w:line="288" w:lineRule="auto"/>
        <w:ind w:left="453"/>
        <w:jc w:val="left"/>
      </w:pPr>
      <w:r>
        <w:rPr>
          <w:rFonts w:eastAsia="等线" w:ascii="Arial" w:cs="Arial" w:hAnsi="Arial"/>
          <w:sz w:val="22"/>
        </w:rPr>
        <w:t>供应商应确定产品的质量目标，致力于以零缺陷为目标的质量保证体系和质量改善活动， 确保所提供的产品达到并超越以下所要求的质量目标水平。</w:t>
      </w:r>
    </w:p>
    <w:p>
      <w:pPr>
        <w:numPr>
          <w:numId w:val="12"/>
        </w:numPr>
        <w:spacing w:before="120" w:after="120" w:line="288" w:lineRule="auto"/>
        <w:ind w:left="453"/>
        <w:jc w:val="left"/>
      </w:pPr>
      <w:r>
        <w:rPr>
          <w:rFonts w:eastAsia="等线" w:ascii="Arial" w:cs="Arial" w:hAnsi="Arial"/>
          <w:sz w:val="22"/>
        </w:rPr>
        <w:t>以下质量目标为参考，最终以双方签订目标协议为准。</w:t>
      </w:r>
    </w:p>
    <w:p>
      <w:pPr>
        <w:spacing w:before="120" w:after="120" w:line="288" w:lineRule="auto"/>
        <w:ind w:left="0"/>
        <w:jc w:val="left"/>
      </w:pPr>
      <w:r>
        <w:rPr>
          <w:rFonts w:eastAsia="等线" w:ascii="Arial" w:cs="Arial" w:hAnsi="Arial"/>
          <w:b w:val="true"/>
          <w:sz w:val="22"/>
        </w:rPr>
        <w:t>批产前阶段（PPAP阶段+SOP三个月内)（参考）: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510"/>
        <w:gridCol w:w="510"/>
        <w:gridCol w:w="510"/>
        <w:gridCol w:w="750"/>
        <w:gridCol w:w="525"/>
        <w:gridCol w:w="660"/>
        <w:gridCol w:w="660"/>
        <w:gridCol w:w="855"/>
        <w:gridCol w:w="1005"/>
        <w:gridCol w:w="705"/>
        <w:gridCol w:w="810"/>
      </w:tblGrid>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指标名称</w:t>
            </w:r>
          </w:p>
        </w:tc>
        <w:tc>
          <w:tcPr>
            <w:tcW w:w="2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AUDIT</w:t>
            </w:r>
          </w:p>
        </w:tc>
        <w:tc>
          <w:tcPr>
            <w:tcW w:w="510" w:type="dxa"/>
            <w:hMerge w:val="continue"/>
            <w:tcMar>
              <w:top w:type="dxa" w:w="60"/>
              <w:left w:type="dxa" w:w="120"/>
              <w:bottom w:type="dxa" w:w="30"/>
              <w:right w:type="dxa" w:w="120"/>
            </w:tcMar>
          </w:tcPr>
          <w:p>
            <w:pPr>
              <w:spacing w:before="120" w:after="120" w:line="288" w:lineRule="auto"/>
              <w:ind w:left="0"/>
              <w:jc w:val="center"/>
            </w:pPr>
          </w:p>
        </w:tc>
        <w:tc>
          <w:tcPr>
            <w:tcW w:w="510" w:type="dxa"/>
            <w:hMerge w:val="continue"/>
            <w:tcMar>
              <w:top w:type="dxa" w:w="60"/>
              <w:left w:type="dxa" w:w="120"/>
              <w:bottom w:type="dxa" w:w="30"/>
              <w:right w:type="dxa" w:w="120"/>
            </w:tcMar>
          </w:tcPr>
          <w:p>
            <w:pPr>
              <w:spacing w:before="120" w:after="120" w:line="288" w:lineRule="auto"/>
              <w:ind w:left="0"/>
              <w:jc w:val="center"/>
            </w:pPr>
          </w:p>
        </w:tc>
        <w:tc>
          <w:tcPr>
            <w:tcW w:w="750" w:type="dxa"/>
            <w:hMerge w:val="continue"/>
            <w:tcMar>
              <w:top w:type="dxa" w:w="60"/>
              <w:left w:type="dxa" w:w="120"/>
              <w:bottom w:type="dxa" w:w="30"/>
              <w:right w:type="dxa" w:w="120"/>
            </w:tcMar>
          </w:tcPr>
          <w:p>
            <w:pPr>
              <w:spacing w:before="120" w:after="120" w:line="288" w:lineRule="auto"/>
              <w:ind w:left="0"/>
              <w:jc w:val="center"/>
            </w:pPr>
          </w:p>
        </w:tc>
        <w:tc>
          <w:tcPr>
            <w:tcW w:w="184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尺寸符合率(MI)</w:t>
            </w:r>
          </w:p>
        </w:tc>
        <w:tc>
          <w:tcPr>
            <w:tcW w:w="660" w:type="dxa"/>
            <w:hMerge w:val="continue"/>
            <w:tcMar>
              <w:top w:type="dxa" w:w="60"/>
              <w:left w:type="dxa" w:w="120"/>
              <w:bottom w:type="dxa" w:w="30"/>
              <w:right w:type="dxa" w:w="120"/>
            </w:tcMar>
          </w:tcPr>
          <w:p>
            <w:pPr>
              <w:spacing w:before="120" w:after="120" w:line="288" w:lineRule="auto"/>
              <w:ind w:left="0"/>
              <w:jc w:val="center"/>
            </w:pPr>
          </w:p>
        </w:tc>
        <w:tc>
          <w:tcPr>
            <w:tcW w:w="660" w:type="dxa"/>
            <w:hMerge w:val="continue"/>
            <w:tcMar>
              <w:top w:type="dxa" w:w="60"/>
              <w:left w:type="dxa" w:w="120"/>
              <w:bottom w:type="dxa" w:w="30"/>
              <w:right w:type="dxa" w:w="120"/>
            </w:tcMar>
          </w:tcPr>
          <w:p>
            <w:pPr>
              <w:spacing w:before="120" w:after="120" w:line="288" w:lineRule="auto"/>
              <w:ind w:left="0"/>
              <w:jc w:val="center"/>
            </w:pPr>
          </w:p>
        </w:tc>
        <w:tc>
          <w:tcPr>
            <w:tcW w:w="18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工序能力符合指数（PI）</w:t>
            </w:r>
          </w:p>
        </w:tc>
        <w:tc>
          <w:tcPr>
            <w:tcW w:w="1005" w:type="dxa"/>
            <w:hMerge w:val="continue"/>
            <w:tcMar>
              <w:top w:type="dxa" w:w="60"/>
              <w:left w:type="dxa" w:w="120"/>
              <w:bottom w:type="dxa" w:w="30"/>
              <w:right w:type="dxa" w:w="120"/>
            </w:tcMar>
          </w:tcPr>
          <w:p>
            <w:pPr>
              <w:spacing w:before="120" w:after="120" w:line="288" w:lineRule="auto"/>
              <w:ind w:left="0"/>
              <w:jc w:val="center"/>
            </w:pPr>
          </w:p>
        </w:tc>
        <w:tc>
          <w:tcPr>
            <w:tcW w:w="15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质量能力</w:t>
            </w:r>
          </w:p>
        </w:tc>
        <w:tc>
          <w:tcPr>
            <w:tcW w:w="810" w:type="dxa"/>
            <w:hMerge w:val="continue"/>
            <w:tcMar>
              <w:top w:type="dxa" w:w="60"/>
              <w:left w:type="dxa" w:w="120"/>
              <w:bottom w:type="dxa" w:w="30"/>
              <w:right w:type="dxa" w:w="120"/>
            </w:tcMar>
          </w:tcPr>
          <w:p>
            <w:pPr>
              <w:spacing w:before="120" w:after="120" w:line="288" w:lineRule="auto"/>
              <w:ind w:left="0"/>
              <w:jc w:val="center"/>
            </w:pP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PPV</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w:t>
            </w:r>
          </w:p>
        </w:tc>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SOP三个月以内</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OTS阶段</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PPAP阶段</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SOP阶段</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PPAP阶段</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SOP阶段</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质量能力等级</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预计到达时间</w:t>
            </w: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目标值</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98%</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PPK＞1.33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CPK＞1.67</w:t>
            </w:r>
          </w:p>
        </w:tc>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SOP三个月以内</w:t>
            </w:r>
          </w:p>
        </w:tc>
      </w:tr>
    </w:tbl>
    <w:p>
      <w:pPr>
        <w:spacing w:before="120" w:after="120" w:line="288" w:lineRule="auto"/>
        <w:ind w:left="0"/>
        <w:jc w:val="left"/>
      </w:pPr>
      <w:r>
        <w:rPr>
          <w:rFonts w:eastAsia="等线" w:ascii="Arial" w:cs="Arial" w:hAnsi="Arial"/>
          <w:b w:val="true"/>
          <w:sz w:val="22"/>
        </w:rPr>
        <w:t xml:space="preserve"> 批量生产阶段（SOP三个月后）（参考）: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690"/>
        <w:gridCol w:w="1020"/>
        <w:gridCol w:w="1020"/>
        <w:gridCol w:w="915"/>
        <w:gridCol w:w="840"/>
        <w:gridCol w:w="930"/>
        <w:gridCol w:w="795"/>
        <w:gridCol w:w="1275"/>
      </w:tblGrid>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指标名称</w:t>
            </w:r>
          </w:p>
        </w:tc>
        <w:tc>
          <w:tcPr>
            <w:tcW w:w="69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AUDIT</w:t>
            </w:r>
          </w:p>
        </w:tc>
        <w:tc>
          <w:tcPr>
            <w:tcW w:w="295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IPTV目标</w:t>
            </w:r>
          </w:p>
        </w:tc>
        <w:tc>
          <w:tcPr>
            <w:tcW w:w="1020" w:type="dxa"/>
            <w:hMerge w:val="continue"/>
            <w:tcMar>
              <w:top w:type="dxa" w:w="60"/>
              <w:left w:type="dxa" w:w="120"/>
              <w:bottom w:type="dxa" w:w="30"/>
              <w:right w:type="dxa" w:w="120"/>
            </w:tcMar>
          </w:tcPr>
          <w:p>
            <w:pPr>
              <w:spacing w:before="120" w:after="120" w:line="288" w:lineRule="auto"/>
              <w:ind w:left="0"/>
              <w:jc w:val="center"/>
            </w:pPr>
          </w:p>
        </w:tc>
        <w:tc>
          <w:tcPr>
            <w:tcW w:w="915" w:type="dxa"/>
            <w:hMerge w:val="continue"/>
            <w:tcMar>
              <w:top w:type="dxa" w:w="60"/>
              <w:left w:type="dxa" w:w="120"/>
              <w:bottom w:type="dxa" w:w="30"/>
              <w:right w:type="dxa" w:w="120"/>
            </w:tcMar>
          </w:tcPr>
          <w:p>
            <w:pPr>
              <w:spacing w:before="120" w:after="120" w:line="288" w:lineRule="auto"/>
              <w:ind w:left="0"/>
              <w:jc w:val="center"/>
            </w:pPr>
          </w:p>
        </w:tc>
        <w:tc>
          <w:tcPr>
            <w:tcW w:w="17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PPM</w:t>
            </w:r>
          </w:p>
        </w:tc>
        <w:tc>
          <w:tcPr>
            <w:tcW w:w="930" w:type="dxa"/>
            <w:hMerge w:val="continue"/>
            <w:tcMar>
              <w:top w:type="dxa" w:w="60"/>
              <w:left w:type="dxa" w:w="120"/>
              <w:bottom w:type="dxa" w:w="30"/>
              <w:right w:type="dxa" w:w="120"/>
            </w:tcMar>
          </w:tcPr>
          <w:p>
            <w:pPr>
              <w:spacing w:before="120" w:after="120" w:line="288" w:lineRule="auto"/>
              <w:ind w:left="0"/>
              <w:jc w:val="center"/>
            </w:pPr>
          </w:p>
        </w:tc>
        <w:tc>
          <w:tcPr>
            <w:tcW w:w="20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质量能力</w:t>
            </w:r>
          </w:p>
        </w:tc>
        <w:tc>
          <w:tcPr>
            <w:tcW w:w="1275" w:type="dxa"/>
            <w:hMerge w:val="continue"/>
            <w:tcMar>
              <w:top w:type="dxa" w:w="60"/>
              <w:left w:type="dxa" w:w="120"/>
              <w:bottom w:type="dxa" w:w="30"/>
              <w:right w:type="dxa" w:w="120"/>
            </w:tcMar>
          </w:tcPr>
          <w:p>
            <w:pPr>
              <w:spacing w:before="120" w:after="120" w:line="288" w:lineRule="auto"/>
              <w:ind w:left="0"/>
              <w:jc w:val="center"/>
            </w:pP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690" w:type="dxa"/>
            <w:vMerge w:val="continue"/>
            <w:tcMar>
              <w:top w:type="dxa" w:w="60"/>
              <w:left w:type="dxa" w:w="120"/>
              <w:bottom w:type="dxa" w:w="30"/>
              <w:right w:type="dxa" w:w="120"/>
            </w:tcMar>
          </w:tcPr>
          <w:p>
            <w:pPr>
              <w:spacing w:before="120" w:after="120" w:line="288" w:lineRule="auto"/>
              <w:ind w:left="0"/>
              <w:jc w:val="center"/>
            </w:pP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2MIS（IPTV）</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6MIS（IPTV）</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12MIS（IPTV）</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单个零件PPM</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平均PPM</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质量能力等级</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预计达到时间</w:t>
            </w: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目标值</w:t>
            </w: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≤0.2</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r>
              <w:rPr>
                <w:rFonts w:eastAsia="等线" w:ascii="Arial" w:cs="Arial" w:hAnsi="Arial"/>
                <w:sz w:val="22"/>
              </w:rPr>
              <w:t>15</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r>
              <w:rPr>
                <w:rFonts w:eastAsia="等线" w:ascii="Arial" w:cs="Arial" w:hAnsi="Arial"/>
                <w:sz w:val="22"/>
              </w:rPr>
              <w:t>15</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w:t>
            </w:r>
            <w:r>
              <w:rPr>
                <w:rFonts w:eastAsia="等线" w:ascii="Arial" w:cs="Arial" w:hAnsi="Arial"/>
                <w:sz w:val="22"/>
              </w:rPr>
              <w:t>个月以内</w:t>
            </w:r>
          </w:p>
        </w:tc>
      </w:tr>
    </w:tbl>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5.2.3 </w:t>
      </w:r>
      <w:r>
        <w:rPr>
          <w:rFonts w:eastAsia="等线" w:ascii="Arial" w:cs="Arial" w:hAnsi="Arial"/>
          <w:b w:val="true"/>
          <w:sz w:val="30"/>
        </w:rPr>
        <w:t>模具和检具要求</w:t>
      </w:r>
      <w:bookmarkEnd w:id="23"/>
    </w:p>
    <w:p>
      <w:pPr>
        <w:numPr>
          <w:numId w:val="13"/>
        </w:numPr>
        <w:spacing w:before="120" w:after="120" w:line="288" w:lineRule="auto"/>
        <w:ind w:left="453"/>
        <w:jc w:val="left"/>
      </w:pPr>
      <w:r>
        <w:rPr>
          <w:rFonts w:eastAsia="等线" w:ascii="Arial" w:cs="Arial" w:hAnsi="Arial"/>
          <w:sz w:val="22"/>
        </w:rPr>
        <w:t>对结构件的模具，</w:t>
      </w:r>
      <w:r>
        <w:rPr>
          <w:rFonts w:eastAsia="等线" w:ascii="Arial" w:cs="Arial" w:hAnsi="Arial"/>
          <w:sz w:val="22"/>
        </w:rPr>
        <w:t>硬件</w:t>
      </w:r>
      <w:r>
        <w:rPr>
          <w:rFonts w:eastAsia="等线" w:ascii="Arial" w:cs="Arial" w:hAnsi="Arial"/>
          <w:sz w:val="22"/>
        </w:rPr>
        <w:t>供应商的模具设计方案需与Momenta一起评审。 模具最终需Momenta的SQE组织对其模具进行确认及验收。</w:t>
      </w:r>
    </w:p>
    <w:p>
      <w:pPr>
        <w:numPr>
          <w:numId w:val="14"/>
        </w:numPr>
        <w:spacing w:before="120" w:after="120" w:line="288" w:lineRule="auto"/>
        <w:ind w:left="453"/>
        <w:jc w:val="left"/>
      </w:pPr>
      <w:r>
        <w:rPr>
          <w:rFonts w:eastAsia="等线" w:ascii="Arial" w:cs="Arial" w:hAnsi="Arial"/>
          <w:sz w:val="22"/>
        </w:rPr>
        <w:t>所有模具开发启动工作以Momenta发出的开模指令（TKO）为正式输入。</w:t>
      </w:r>
    </w:p>
    <w:p>
      <w:pPr>
        <w:numPr>
          <w:numId w:val="15"/>
        </w:numPr>
        <w:spacing w:before="120" w:after="120" w:line="288" w:lineRule="auto"/>
        <w:ind w:left="453"/>
        <w:jc w:val="left"/>
      </w:pPr>
      <w:r>
        <w:rPr>
          <w:rFonts w:eastAsia="等线" w:ascii="Arial" w:cs="Arial" w:hAnsi="Arial"/>
          <w:sz w:val="22"/>
        </w:rPr>
        <w:t>零件的检具设计和验收均需得到Momenta的确认及验收。</w:t>
      </w: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5.2.4 </w:t>
      </w:r>
      <w:r>
        <w:rPr>
          <w:rFonts w:eastAsia="等线" w:ascii="Arial" w:cs="Arial" w:hAnsi="Arial"/>
          <w:b w:val="true"/>
          <w:sz w:val="30"/>
        </w:rPr>
        <w:t>新产品阶段质量管理</w:t>
      </w:r>
      <w:bookmarkEnd w:id="24"/>
    </w:p>
    <w:p>
      <w:pPr>
        <w:numPr>
          <w:numId w:val="16"/>
        </w:numPr>
        <w:spacing w:before="120" w:after="120" w:line="288" w:lineRule="auto"/>
        <w:ind w:left="453"/>
        <w:jc w:val="left"/>
      </w:pPr>
      <w:r>
        <w:rPr>
          <w:rFonts w:eastAsia="等线" w:ascii="Arial" w:cs="Arial" w:hAnsi="Arial"/>
          <w:sz w:val="22"/>
        </w:rPr>
        <w:t>硬件供应商必须依据Momenta要求对所有新开发零件进行先期质量策划（即APQP）活动，制定的APQP项目计划要与Momenta产品开发要求保持一致并取得Momenta认可，后续任何计划变更都必须得到甲方批准。</w:t>
      </w:r>
    </w:p>
    <w:p>
      <w:pPr>
        <w:numPr>
          <w:numId w:val="17"/>
        </w:numPr>
        <w:spacing w:before="120" w:after="120" w:line="288" w:lineRule="auto"/>
        <w:ind w:left="453"/>
        <w:jc w:val="left"/>
      </w:pPr>
      <w:r>
        <w:rPr>
          <w:rFonts w:eastAsia="等线" w:ascii="Arial" w:cs="Arial" w:hAnsi="Arial"/>
          <w:sz w:val="22"/>
        </w:rPr>
        <w:t>双方应定期交流评审机制，按照项目计划就质量、进度、成本、交付等方面问题进行沟通、推进、节点风险评估和资源协调。</w:t>
      </w:r>
    </w:p>
    <w:p>
      <w:pPr>
        <w:numPr>
          <w:numId w:val="18"/>
        </w:numPr>
        <w:spacing w:before="120" w:after="120" w:line="288" w:lineRule="auto"/>
        <w:ind w:left="453"/>
        <w:jc w:val="left"/>
      </w:pPr>
      <w:r>
        <w:rPr>
          <w:rFonts w:eastAsia="等线" w:ascii="Arial" w:cs="Arial" w:hAnsi="Arial"/>
          <w:sz w:val="22"/>
        </w:rPr>
        <w:t>Momenta会向硬件供应商明确APQP各阶段的交付物、生产件批准程序（PPAP）提交等级及标准。硬件供应商按照Momenta APQP要求实施各阶段评审和检查，问题清单和项目计划进度表应保持动态更新,确保与Momenta项目状态保持一致。</w:t>
      </w:r>
    </w:p>
    <w:p>
      <w:pPr>
        <w:numPr>
          <w:numId w:val="19"/>
        </w:numPr>
        <w:spacing w:before="120" w:after="120" w:line="288" w:lineRule="auto"/>
        <w:ind w:left="453"/>
        <w:jc w:val="left"/>
      </w:pPr>
      <w:r>
        <w:rPr>
          <w:rFonts w:eastAsia="等线" w:ascii="Arial" w:cs="Arial" w:hAnsi="Arial"/>
          <w:sz w:val="22"/>
        </w:rPr>
        <w:t>APQP过程中对任何可能影响项目开展的问题，都必须在问题清单中记录并跟进解决，评审必须留有记录及支持证据，并形成结论。</w:t>
      </w:r>
    </w:p>
    <w:p>
      <w:pPr>
        <w:numPr>
          <w:numId w:val="20"/>
        </w:numPr>
        <w:spacing w:before="120" w:after="120" w:line="288" w:lineRule="auto"/>
        <w:ind w:left="453"/>
        <w:jc w:val="left"/>
      </w:pPr>
      <w:r>
        <w:rPr>
          <w:rFonts w:eastAsia="等线" w:ascii="Arial" w:cs="Arial" w:hAnsi="Arial"/>
          <w:sz w:val="22"/>
        </w:rPr>
        <w:t>试生产阶段应按照Momenta要求开展GP12活动，GP12的检验方案、实施场地、开展周期等需与Momenta评审，并得到Momenta认可。</w:t>
      </w:r>
    </w:p>
    <w:p>
      <w:pPr>
        <w:numPr>
          <w:numId w:val="21"/>
        </w:numPr>
        <w:spacing w:before="120" w:after="120" w:line="288" w:lineRule="auto"/>
        <w:ind w:left="453"/>
        <w:jc w:val="left"/>
      </w:pPr>
      <w:r>
        <w:rPr>
          <w:rFonts w:eastAsia="等线" w:ascii="Arial" w:cs="Arial" w:hAnsi="Arial"/>
          <w:sz w:val="22"/>
        </w:rPr>
        <w:t>硬件供应商产线验收的结论最终需满足OEM客户的验收标准。</w:t>
      </w:r>
    </w:p>
    <w:p>
      <w:pPr>
        <w:numPr>
          <w:numId w:val="22"/>
        </w:numPr>
        <w:spacing w:before="120" w:after="120" w:line="288" w:lineRule="auto"/>
        <w:ind w:left="453"/>
        <w:jc w:val="left"/>
      </w:pPr>
      <w:r>
        <w:rPr>
          <w:rFonts w:eastAsia="等线" w:ascii="Arial" w:cs="Arial" w:hAnsi="Arial"/>
          <w:sz w:val="22"/>
        </w:rPr>
        <w:t>硬件供应商应按照Momenta的要求提交PPAP文件资料，以支持Momenta的批准。 除非Momenta另有约定。</w:t>
      </w:r>
    </w:p>
    <w:p>
      <w:pPr>
        <w:numPr>
          <w:numId w:val="23"/>
        </w:numPr>
        <w:spacing w:before="120" w:after="120" w:line="288" w:lineRule="auto"/>
        <w:ind w:left="453"/>
        <w:jc w:val="left"/>
      </w:pPr>
      <w:r>
        <w:rPr>
          <w:rFonts w:eastAsia="等线" w:ascii="Arial" w:cs="Arial" w:hAnsi="Arial"/>
          <w:sz w:val="22"/>
        </w:rPr>
        <w:t>质量管理的最终RASIC以客户的《质量协议》为准。</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5.2.5 </w:t>
      </w:r>
      <w:r>
        <w:rPr>
          <w:rFonts w:eastAsia="等线" w:ascii="Arial" w:cs="Arial" w:hAnsi="Arial"/>
          <w:b w:val="true"/>
          <w:sz w:val="30"/>
        </w:rPr>
        <w:t>量产阶段质量管理</w:t>
      </w:r>
      <w:bookmarkEnd w:id="25"/>
    </w:p>
    <w:p>
      <w:pPr>
        <w:numPr>
          <w:numId w:val="24"/>
        </w:numPr>
        <w:spacing w:before="120" w:after="120" w:line="288" w:lineRule="auto"/>
        <w:ind w:left="453"/>
        <w:jc w:val="left"/>
      </w:pPr>
      <w:r>
        <w:rPr>
          <w:rFonts w:eastAsia="等线" w:ascii="Arial" w:cs="Arial" w:hAnsi="Arial"/>
          <w:sz w:val="22"/>
        </w:rPr>
        <w:t>产品的质量问题（包括市场质量问题、0KM现场问题）由Momenta主导分析和整改，硬件供应商必须支持故障件测试，问题的原因分析，措施的制定与执行等活动，确保问题在Momenta规定时间节点内完成整改。</w:t>
      </w:r>
    </w:p>
    <w:p>
      <w:pPr>
        <w:numPr>
          <w:numId w:val="25"/>
        </w:numPr>
        <w:spacing w:before="120" w:after="120" w:line="288" w:lineRule="auto"/>
        <w:ind w:left="453"/>
        <w:jc w:val="left"/>
      </w:pPr>
      <w:r>
        <w:rPr>
          <w:rFonts w:eastAsia="等线" w:ascii="Arial" w:cs="Arial" w:hAnsi="Arial"/>
          <w:sz w:val="22"/>
        </w:rPr>
        <w:t>硬件供应商应建立质量问题围堵流程，确保市场、OEM现场的质量问题，在硬件供应商的生产过程得到检出和围堵，防止问题再流出。</w:t>
      </w:r>
    </w:p>
    <w:p>
      <w:pPr>
        <w:numPr>
          <w:numId w:val="26"/>
        </w:numPr>
        <w:spacing w:before="120" w:after="120" w:line="288" w:lineRule="auto"/>
        <w:ind w:left="453"/>
        <w:jc w:val="left"/>
      </w:pPr>
      <w:r>
        <w:rPr>
          <w:rFonts w:eastAsia="等线" w:ascii="Arial" w:cs="Arial" w:hAnsi="Arial"/>
          <w:sz w:val="22"/>
        </w:rPr>
        <w:t>硬件供应商在量产后在做出任何可能影响产品质量的变更前，应得到Momenta的批准。</w:t>
      </w:r>
    </w:p>
    <w:p>
      <w:pPr>
        <w:numPr>
          <w:numId w:val="27"/>
        </w:numPr>
        <w:spacing w:before="120" w:after="120" w:line="288" w:lineRule="auto"/>
        <w:ind w:left="453"/>
        <w:jc w:val="left"/>
      </w:pPr>
      <w:r>
        <w:rPr>
          <w:rFonts w:eastAsia="等线" w:ascii="Arial" w:cs="Arial" w:hAnsi="Arial"/>
          <w:sz w:val="22"/>
        </w:rPr>
        <w:t>当硬件供应商的产品出现重大/批量问题、质量停线、质量问题重复发生等情形，硬件供应商应按照Momenta要求开展产品受控发运。</w:t>
      </w:r>
    </w:p>
    <w:p>
      <w:pPr>
        <w:numPr>
          <w:numId w:val="28"/>
        </w:numPr>
        <w:spacing w:before="120" w:after="120" w:line="288" w:lineRule="auto"/>
        <w:ind w:left="453"/>
        <w:jc w:val="left"/>
      </w:pPr>
      <w:r>
        <w:rPr>
          <w:rFonts w:eastAsia="等线" w:ascii="Arial" w:cs="Arial" w:hAnsi="Arial"/>
          <w:sz w:val="22"/>
        </w:rPr>
        <w:t>Momenta依据产品及过程管控的需求，启动针对硬件供应商的质量审核活动。硬件供应商必须配合Momenta完成审核，并按要求提供真实、有效、完整的文件、记录等。</w:t>
      </w:r>
    </w:p>
    <w:p>
      <w:pPr>
        <w:numPr>
          <w:numId w:val="29"/>
        </w:numPr>
        <w:spacing w:before="120" w:after="120" w:line="288" w:lineRule="auto"/>
        <w:ind w:left="453"/>
        <w:jc w:val="left"/>
      </w:pPr>
      <w:r>
        <w:rPr>
          <w:rFonts w:eastAsia="等线" w:ascii="Arial" w:cs="Arial" w:hAnsi="Arial"/>
          <w:sz w:val="22"/>
        </w:rPr>
        <w:t>质量管理的最终RASIC以客户的《质量协议》为准。</w:t>
      </w:r>
    </w:p>
    <w:p>
      <w:pPr>
        <w:pStyle w:val="2"/>
        <w:spacing w:before="320" w:after="120" w:line="288" w:lineRule="auto"/>
        <w:ind w:left="0"/>
        <w:jc w:val="left"/>
        <w:outlineLvl w:val="1"/>
      </w:pPr>
      <w:bookmarkStart w:name="heading_26" w:id="26"/>
      <w:r>
        <w:rPr>
          <w:rFonts w:eastAsia="等线" w:ascii="Arial" w:cs="Arial" w:hAnsi="Arial"/>
          <w:color w:val="3370ff"/>
          <w:sz w:val="32"/>
        </w:rPr>
        <w:t xml:space="preserve">5.3 </w:t>
      </w:r>
      <w:r>
        <w:rPr>
          <w:rFonts w:eastAsia="等线" w:ascii="Arial" w:cs="Arial" w:hAnsi="Arial"/>
          <w:b w:val="true"/>
          <w:sz w:val="32"/>
        </w:rPr>
        <w:t xml:space="preserve">售后管理 </w:t>
      </w:r>
      <w:bookmarkEnd w:id="26"/>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硬件</w:t>
      </w:r>
      <w:r>
        <w:rPr>
          <w:rFonts w:eastAsia="等线" w:ascii="Arial" w:cs="Arial" w:hAnsi="Arial"/>
          <w:sz w:val="22"/>
        </w:rPr>
        <w:t>供应商对本项目的售后活动和售后管理要最终以OEM客户售后要求为准。</w:t>
      </w: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5.3.1 </w:t>
      </w:r>
      <w:r>
        <w:rPr>
          <w:rFonts w:eastAsia="等线" w:ascii="Arial" w:cs="Arial" w:hAnsi="Arial"/>
          <w:b w:val="true"/>
          <w:sz w:val="30"/>
        </w:rPr>
        <w:t>质保期要求</w:t>
      </w:r>
      <w:bookmarkEnd w:id="27"/>
    </w:p>
    <w:p>
      <w:pPr>
        <w:numPr>
          <w:numId w:val="30"/>
        </w:numPr>
        <w:spacing w:before="120" w:after="120" w:line="288" w:lineRule="auto"/>
        <w:ind w:left="453"/>
        <w:jc w:val="left"/>
      </w:pPr>
      <w:r>
        <w:rPr>
          <w:rFonts w:eastAsia="等线" w:ascii="Arial" w:cs="Arial" w:hAnsi="Arial"/>
          <w:sz w:val="22"/>
        </w:rPr>
        <w:t>质保期要求按照5年或15万公里，质量保证期计算以时间或行驶里程以先到者为准，最终以OEM客户售后要求为准。</w:t>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5.3.2 </w:t>
      </w:r>
      <w:r>
        <w:rPr>
          <w:rFonts w:eastAsia="等线" w:ascii="Arial" w:cs="Arial" w:hAnsi="Arial"/>
          <w:b w:val="true"/>
          <w:sz w:val="30"/>
        </w:rPr>
        <w:t xml:space="preserve">售后备件    </w:t>
      </w:r>
      <w:bookmarkEnd w:id="28"/>
    </w:p>
    <w:p>
      <w:pPr>
        <w:numPr>
          <w:numId w:val="31"/>
        </w:numPr>
        <w:spacing w:before="120" w:after="120" w:line="288" w:lineRule="auto"/>
        <w:ind w:left="453"/>
        <w:jc w:val="left"/>
      </w:pPr>
      <w:r>
        <w:rPr>
          <w:rFonts w:eastAsia="等线" w:ascii="Arial" w:cs="Arial" w:hAnsi="Arial"/>
          <w:sz w:val="22"/>
        </w:rPr>
        <w:t>由硬件供应商提供的售后备件应在整车生产启动时就绪。在产品开发的过程中，硬件供应商应和Momenta一起确定可用的售后配件。</w:t>
      </w:r>
    </w:p>
    <w:p>
      <w:pPr>
        <w:numPr>
          <w:numId w:val="32"/>
        </w:numPr>
        <w:spacing w:before="120" w:after="120" w:line="288" w:lineRule="auto"/>
        <w:ind w:left="453"/>
        <w:jc w:val="left"/>
      </w:pPr>
      <w:r>
        <w:rPr>
          <w:rFonts w:eastAsia="等线" w:ascii="Arial" w:cs="Arial" w:hAnsi="Arial"/>
          <w:sz w:val="22"/>
        </w:rPr>
        <w:t>硬件供应商售后备件的支持周期应不短于该车型停止生产后的10年时间。</w:t>
      </w:r>
    </w:p>
    <w:p>
      <w:pPr>
        <w:numPr>
          <w:numId w:val="33"/>
        </w:numPr>
        <w:spacing w:before="120" w:after="120" w:line="288" w:lineRule="auto"/>
        <w:ind w:left="453"/>
        <w:jc w:val="left"/>
      </w:pPr>
      <w:r>
        <w:rPr>
          <w:rFonts w:eastAsia="等线" w:ascii="Arial" w:cs="Arial" w:hAnsi="Arial"/>
          <w:sz w:val="22"/>
        </w:rPr>
        <w:t>硬件供应商应提供Momenta关于总成的设计、使用和维修信息，如：售后备件BOM表，零件结构和功能描述、故障诊断、维修专用工具、相关技术参数（扭紧力矩、容积、安装配合间隙、零部件性能参数等）等。</w:t>
      </w:r>
    </w:p>
    <w:p>
      <w:pPr>
        <w:numPr>
          <w:numId w:val="34"/>
        </w:numPr>
        <w:spacing w:before="120" w:after="120" w:line="288" w:lineRule="auto"/>
        <w:ind w:left="453"/>
        <w:jc w:val="left"/>
      </w:pPr>
      <w:r>
        <w:rPr>
          <w:rFonts w:eastAsia="等线" w:ascii="Arial" w:cs="Arial" w:hAnsi="Arial"/>
          <w:sz w:val="22"/>
        </w:rPr>
        <w:t>该零部件的设计应确保仅采用市场上可以获得的通用工具实现售后的拆装、诊断及保养维护服务，所有的这些售后服务都不得依赖特别开发的“专用工具”就可完成。（注：专业工具系指维修手册中列出的为完成某项诊断、拆装、保养操作必须采用的工具。）</w:t>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5.3.3 </w:t>
      </w:r>
      <w:r>
        <w:rPr>
          <w:rFonts w:eastAsia="等线" w:ascii="Arial" w:cs="Arial" w:hAnsi="Arial"/>
          <w:b w:val="true"/>
          <w:sz w:val="30"/>
        </w:rPr>
        <w:t xml:space="preserve">售后服务 </w:t>
      </w:r>
      <w:bookmarkEnd w:id="29"/>
    </w:p>
    <w:p>
      <w:pPr>
        <w:numPr>
          <w:numId w:val="35"/>
        </w:numPr>
        <w:spacing w:before="120" w:after="120" w:line="288" w:lineRule="auto"/>
        <w:ind w:left="453"/>
        <w:jc w:val="left"/>
      </w:pPr>
      <w:r>
        <w:rPr>
          <w:rFonts w:eastAsia="等线" w:ascii="Arial" w:cs="Arial" w:hAnsi="Arial"/>
          <w:sz w:val="22"/>
        </w:rPr>
        <w:t>针对对开发、生产、售后环节中出现的零件或系统问题，硬件供应商需配合Momenta进行问题的排查分析，排查方式包含远程及现场。必要时应momenta要求，硬件供应商应派驻驻场工程师到问题现场。</w:t>
      </w:r>
    </w:p>
    <w:p>
      <w:pPr>
        <w:numPr>
          <w:numId w:val="36"/>
        </w:numPr>
        <w:spacing w:before="120" w:after="120" w:line="288" w:lineRule="auto"/>
        <w:ind w:left="453"/>
        <w:jc w:val="left"/>
      </w:pPr>
      <w:r>
        <w:rPr>
          <w:rFonts w:eastAsia="等线" w:ascii="Arial" w:cs="Arial" w:hAnsi="Arial"/>
          <w:sz w:val="22"/>
        </w:rPr>
        <w:t>Momenta会按照企标对责任方进行索赔，若问题责任归属于硬件供应商，硬件供应商需接受相关索赔要求，承担相应零件费、工时费等。具体可参考售后索赔企标。</w:t>
      </w:r>
    </w:p>
    <w:p>
      <w:pPr>
        <w:numPr>
          <w:numId w:val="37"/>
        </w:numPr>
        <w:spacing w:before="120" w:after="120" w:line="288" w:lineRule="auto"/>
        <w:ind w:left="453"/>
        <w:jc w:val="left"/>
      </w:pPr>
      <w:r>
        <w:rPr>
          <w:rFonts w:eastAsia="等线" w:ascii="Arial" w:cs="Arial" w:hAnsi="Arial"/>
          <w:sz w:val="22"/>
        </w:rPr>
        <w:t>硬件供应商应安排主机厂产线的驻厂服务人员，以快速响应OEM现场的质量问题或客户需求，现场质量问题信息应及时反馈给Momenta，以快速定位问题及知道解决措施。质量问题响应速度及问题处理时间不低于Momenta与OEM客户签署的质量协议的要求。</w:t>
      </w:r>
    </w:p>
    <w:p>
      <w:pPr>
        <w:numPr>
          <w:numId w:val="38"/>
        </w:numPr>
        <w:spacing w:before="120" w:after="120" w:line="288" w:lineRule="auto"/>
        <w:ind w:left="453"/>
        <w:jc w:val="left"/>
      </w:pPr>
      <w:r>
        <w:rPr>
          <w:rFonts w:eastAsia="等线" w:ascii="Arial" w:cs="Arial" w:hAnsi="Arial"/>
          <w:sz w:val="22"/>
        </w:rPr>
        <w:t>硬件供应商应支持Momenta的售后服务工具的换件功能，换件过程自动化，换件后新件各项功能及性能与老件一致。</w:t>
      </w:r>
    </w:p>
    <w:p>
      <w:pPr>
        <w:numPr>
          <w:numId w:val="39"/>
        </w:numPr>
        <w:spacing w:before="120" w:after="120" w:line="288" w:lineRule="auto"/>
        <w:ind w:left="453"/>
        <w:jc w:val="left"/>
      </w:pPr>
      <w:r>
        <w:rPr>
          <w:rFonts w:eastAsia="等线" w:ascii="Arial" w:cs="Arial" w:hAnsi="Arial"/>
          <w:sz w:val="22"/>
        </w:rPr>
        <w:t>售后标定需采取动态标定方案，需要硬件供应商提供售后标定文件，操作指导等文件，支持Momenta完成对OEM售后标定工具开发，支持OEM在售后端的工作开展；标定时长需满足OEM售后需求；</w:t>
      </w:r>
    </w:p>
    <w:p>
      <w:pPr>
        <w:pStyle w:val="2"/>
        <w:spacing w:before="320" w:after="120" w:line="288" w:lineRule="auto"/>
        <w:ind w:left="0"/>
        <w:jc w:val="left"/>
        <w:outlineLvl w:val="1"/>
      </w:pPr>
      <w:bookmarkStart w:name="heading_30" w:id="30"/>
      <w:r>
        <w:rPr>
          <w:rFonts w:eastAsia="等线" w:ascii="Arial" w:cs="Arial" w:hAnsi="Arial"/>
          <w:color w:val="3370ff"/>
          <w:sz w:val="32"/>
        </w:rPr>
        <w:t xml:space="preserve">5.4 </w:t>
      </w:r>
      <w:r>
        <w:rPr>
          <w:rFonts w:eastAsia="等线" w:ascii="Arial" w:cs="Arial" w:hAnsi="Arial"/>
          <w:b w:val="true"/>
          <w:sz w:val="32"/>
        </w:rPr>
        <w:t xml:space="preserve">生产交付  </w:t>
      </w:r>
      <w:bookmarkEnd w:id="30"/>
    </w:p>
    <w:p>
      <w:pPr>
        <w:pStyle w:val="3"/>
        <w:spacing w:before="300" w:after="120" w:line="288" w:lineRule="auto"/>
        <w:ind w:left="453"/>
        <w:jc w:val="left"/>
        <w:outlineLvl w:val="2"/>
      </w:pPr>
      <w:bookmarkStart w:name="heading_31" w:id="31"/>
      <w:r>
        <w:rPr>
          <w:rFonts w:eastAsia="等线" w:ascii="Arial" w:cs="Arial" w:hAnsi="Arial"/>
          <w:color w:val="3370ff"/>
          <w:sz w:val="30"/>
        </w:rPr>
        <w:t xml:space="preserve">5.4.1 </w:t>
      </w:r>
      <w:r>
        <w:rPr>
          <w:rFonts w:eastAsia="等线" w:ascii="Arial" w:cs="Arial" w:hAnsi="Arial"/>
          <w:b w:val="true"/>
          <w:sz w:val="30"/>
        </w:rPr>
        <w:t>自动驾驶域控制器生产交付流程</w:t>
      </w:r>
      <w:bookmarkEnd w:id="31"/>
    </w:p>
    <w:p>
      <w:pPr>
        <w:numPr>
          <w:numId w:val="40"/>
        </w:numPr>
        <w:spacing w:before="120" w:after="120" w:line="288" w:lineRule="auto"/>
        <w:ind w:left="453"/>
        <w:jc w:val="left"/>
      </w:pPr>
      <w:r>
        <w:rPr>
          <w:rFonts w:eastAsia="等线" w:ascii="Arial" w:cs="Arial" w:hAnsi="Arial"/>
          <w:sz w:val="22"/>
        </w:rPr>
        <w:t>样件阶段的自动驾驶域控制器的生产交付流程：</w:t>
      </w:r>
    </w:p>
    <w:p>
      <w:pPr>
        <w:numPr>
          <w:numId w:val="41"/>
        </w:numPr>
        <w:spacing w:before="120" w:after="120" w:line="288" w:lineRule="auto"/>
        <w:ind w:left="907"/>
        <w:jc w:val="left"/>
      </w:pPr>
      <w:r>
        <w:rPr>
          <w:rFonts w:eastAsia="等线" w:ascii="Arial" w:cs="Arial" w:hAnsi="Arial"/>
          <w:sz w:val="22"/>
        </w:rPr>
        <w:t>由OEM下发ADCU样件需求给Momenta，Momenta同步下发样件需求给硬件供应商和SIP供应商（如采用X7)。</w:t>
      </w:r>
    </w:p>
    <w:p>
      <w:pPr>
        <w:numPr>
          <w:numId w:val="42"/>
        </w:numPr>
        <w:spacing w:before="120" w:after="120" w:line="288" w:lineRule="auto"/>
        <w:ind w:left="907"/>
        <w:jc w:val="left"/>
      </w:pPr>
      <w:r>
        <w:rPr>
          <w:rFonts w:eastAsia="等线" w:ascii="Arial" w:cs="Arial" w:hAnsi="Arial"/>
          <w:sz w:val="22"/>
        </w:rPr>
        <w:t>如有需要Momenta可以推荐X7芯片供应商给SIP供应商</w:t>
      </w:r>
    </w:p>
    <w:p>
      <w:pPr>
        <w:numPr>
          <w:numId w:val="43"/>
        </w:numPr>
        <w:spacing w:before="120" w:after="120" w:line="288" w:lineRule="auto"/>
        <w:ind w:left="907"/>
        <w:jc w:val="left"/>
      </w:pPr>
      <w:r>
        <w:rPr>
          <w:rFonts w:eastAsia="等线" w:ascii="Arial" w:cs="Arial" w:hAnsi="Arial"/>
          <w:sz w:val="22"/>
        </w:rPr>
        <w:t>如采用X7方案，SIP供应商对SIP进行生产制造后，需按照Momenta的检测要求对样件状态进行检验并将检验报告提交给Momenta确认</w:t>
      </w:r>
    </w:p>
    <w:p>
      <w:pPr>
        <w:numPr>
          <w:numId w:val="44"/>
        </w:numPr>
        <w:spacing w:before="120" w:after="120" w:line="288" w:lineRule="auto"/>
        <w:ind w:left="907"/>
        <w:jc w:val="left"/>
      </w:pPr>
      <w:r>
        <w:rPr>
          <w:rFonts w:eastAsia="等线" w:ascii="Arial" w:cs="Arial" w:hAnsi="Arial"/>
          <w:sz w:val="22"/>
        </w:rPr>
        <w:t>Momenta确认后通知SIP供应商将SIP交付给</w:t>
      </w:r>
      <w:r>
        <w:rPr>
          <w:rFonts w:eastAsia="等线" w:ascii="Arial" w:cs="Arial" w:hAnsi="Arial"/>
          <w:sz w:val="22"/>
        </w:rPr>
        <w:t>硬件</w:t>
      </w:r>
      <w:r>
        <w:rPr>
          <w:rFonts w:eastAsia="等线" w:ascii="Arial" w:cs="Arial" w:hAnsi="Arial"/>
          <w:sz w:val="22"/>
        </w:rPr>
        <w:t>供应商进行样件生产</w:t>
      </w:r>
    </w:p>
    <w:p>
      <w:pPr>
        <w:numPr>
          <w:numId w:val="45"/>
        </w:numPr>
        <w:spacing w:before="120" w:after="120" w:line="288" w:lineRule="auto"/>
        <w:ind w:left="907"/>
        <w:jc w:val="left"/>
      </w:pPr>
      <w:r>
        <w:rPr>
          <w:rFonts w:eastAsia="等线" w:ascii="Arial" w:cs="Arial" w:hAnsi="Arial"/>
          <w:sz w:val="22"/>
        </w:rPr>
        <w:t>硬件</w:t>
      </w:r>
      <w:r>
        <w:rPr>
          <w:rFonts w:eastAsia="等线" w:ascii="Arial" w:cs="Arial" w:hAnsi="Arial"/>
          <w:sz w:val="22"/>
        </w:rPr>
        <w:t>供应商完成样件生产检验后交付给Momenta进行最终状态确认</w:t>
      </w:r>
    </w:p>
    <w:p>
      <w:pPr>
        <w:numPr>
          <w:numId w:val="46"/>
        </w:numPr>
        <w:spacing w:before="120" w:after="120" w:line="288" w:lineRule="auto"/>
        <w:ind w:left="907"/>
        <w:jc w:val="left"/>
      </w:pPr>
      <w:r>
        <w:rPr>
          <w:rFonts w:eastAsia="等线" w:ascii="Arial" w:cs="Arial" w:hAnsi="Arial"/>
          <w:sz w:val="22"/>
        </w:rPr>
        <w:t xml:space="preserve">ADCU成品经过Momenta最终状态确认后，对OEM客户进行样件的交付 </w:t>
      </w:r>
    </w:p>
    <w:p>
      <w:pPr>
        <w:numPr>
          <w:numId w:val="47"/>
        </w:numPr>
        <w:spacing w:before="120" w:after="120" w:line="288" w:lineRule="auto"/>
        <w:ind w:left="453"/>
        <w:jc w:val="left"/>
      </w:pPr>
      <w:r>
        <w:rPr>
          <w:rFonts w:eastAsia="等线" w:ascii="Arial" w:cs="Arial" w:hAnsi="Arial"/>
          <w:sz w:val="22"/>
        </w:rPr>
        <w:t>量产阶段的自动驾驶域控制器的生产交付流程见下方流程图。</w:t>
      </w:r>
    </w:p>
    <w:p>
      <w:pPr>
        <w:spacing w:before="120" w:after="120" w:line="288" w:lineRule="auto"/>
        <w:ind w:left="0"/>
        <w:jc w:val="center"/>
      </w:pPr>
      <w:r>
        <w:rPr>
          <w:rFonts w:eastAsia="等线" w:ascii="Arial" w:cs="Arial" w:hAnsi="Arial"/>
          <w:sz w:val="22"/>
        </w:rPr>
        <w:t>5-5 量产阶段自动驾驶域控制器生产交付流程图</w:t>
      </w:r>
    </w:p>
    <w:p>
      <w:pPr>
        <w:spacing w:before="120" w:after="120" w:line="288" w:lineRule="auto"/>
        <w:ind w:left="0"/>
        <w:jc w:val="center"/>
      </w:pPr>
      <w:r>
        <w:drawing>
          <wp:inline distT="0" distR="0" distB="0" distL="0">
            <wp:extent cx="5257800" cy="25717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3"/>
                    <a:stretch>
                      <a:fillRect/>
                    </a:stretch>
                  </pic:blipFill>
                  <pic:spPr>
                    <a:xfrm>
                      <a:off x="0" y="0"/>
                      <a:ext cx="5257800" cy="25717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5.4.2 </w:t>
      </w:r>
      <w:r>
        <w:rPr>
          <w:rFonts w:eastAsia="等线" w:ascii="Arial" w:cs="Arial" w:hAnsi="Arial"/>
          <w:b w:val="true"/>
          <w:sz w:val="30"/>
        </w:rPr>
        <w:t xml:space="preserve">生产工艺 </w:t>
      </w:r>
      <w:bookmarkEnd w:id="32"/>
    </w:p>
    <w:p>
      <w:pPr>
        <w:numPr>
          <w:numId w:val="48"/>
        </w:numPr>
        <w:spacing w:before="120" w:after="120" w:line="288" w:lineRule="auto"/>
        <w:ind w:left="453"/>
        <w:jc w:val="left"/>
      </w:pPr>
      <w:r>
        <w:rPr>
          <w:rFonts w:eastAsia="等线" w:ascii="Arial" w:cs="Arial" w:hAnsi="Arial"/>
          <w:sz w:val="22"/>
        </w:rPr>
        <w:t>使用环保的生产工艺。工艺项目需进行安全、职业健康、消防、环境影响评估和节能评估。</w:t>
      </w:r>
    </w:p>
    <w:p>
      <w:pPr>
        <w:numPr>
          <w:numId w:val="49"/>
        </w:numPr>
        <w:spacing w:before="120" w:after="120" w:line="288" w:lineRule="auto"/>
        <w:ind w:left="453"/>
        <w:jc w:val="left"/>
      </w:pPr>
      <w:r>
        <w:rPr>
          <w:rFonts w:eastAsia="等线" w:ascii="Arial" w:cs="Arial" w:hAnsi="Arial"/>
          <w:sz w:val="22"/>
        </w:rPr>
        <w:t>产品设计、生产工艺制定中，禁止使用国家明令淘汰的工艺、材料和设备。开发过程中考虑物流运输，降低废料产生。</w:t>
      </w:r>
    </w:p>
    <w:p>
      <w:pPr>
        <w:numPr>
          <w:numId w:val="50"/>
        </w:numPr>
        <w:spacing w:before="120" w:after="120" w:line="288" w:lineRule="auto"/>
        <w:ind w:left="453"/>
        <w:jc w:val="left"/>
      </w:pPr>
      <w:r>
        <w:rPr>
          <w:rFonts w:eastAsia="等线" w:ascii="Arial" w:cs="Arial" w:hAnsi="Arial"/>
          <w:sz w:val="22"/>
        </w:rPr>
        <w:t>硬件供应商应指定一名具有丰富经验的人员作为Momenta该项目的专职代表，以及具有丰富经验的生产技术工程师团队(工程师&gt;5年)支持Momenta产品生产。</w:t>
      </w:r>
    </w:p>
    <w:p>
      <w:pPr>
        <w:numPr>
          <w:numId w:val="51"/>
        </w:numPr>
        <w:spacing w:before="120" w:after="120" w:line="288" w:lineRule="auto"/>
        <w:ind w:left="453"/>
        <w:jc w:val="left"/>
      </w:pPr>
      <w:r>
        <w:rPr>
          <w:rFonts w:eastAsia="等线" w:ascii="Arial" w:cs="Arial" w:hAnsi="Arial"/>
          <w:sz w:val="22"/>
        </w:rPr>
        <w:t>硬件供应商应根据产品需求完成合理的产线布局，设备搭建、生产工艺流程和质量管控，必须由双方共同确认，并经Momenta供应商质量工程师（SQE）和工艺工程师认可。</w:t>
      </w:r>
    </w:p>
    <w:p>
      <w:pPr>
        <w:numPr>
          <w:numId w:val="52"/>
        </w:numPr>
        <w:spacing w:before="120" w:after="120" w:line="288" w:lineRule="auto"/>
        <w:ind w:left="453"/>
        <w:jc w:val="left"/>
      </w:pPr>
      <w:r>
        <w:rPr>
          <w:rFonts w:eastAsia="等线" w:ascii="Arial" w:cs="Arial" w:hAnsi="Arial"/>
          <w:sz w:val="22"/>
        </w:rPr>
        <w:t>硬件供应商涉及Momenta产品的生产工艺和生产数据需要和Momenta实时共享，含PFMEA、生产工艺流程、WI以及Quality Control Plan。</w:t>
      </w:r>
    </w:p>
    <w:p>
      <w:pPr>
        <w:numPr>
          <w:numId w:val="53"/>
        </w:numPr>
        <w:spacing w:before="120" w:after="120" w:line="288" w:lineRule="auto"/>
        <w:ind w:left="453"/>
        <w:jc w:val="left"/>
      </w:pPr>
      <w:r>
        <w:rPr>
          <w:rFonts w:eastAsia="等线" w:ascii="Arial" w:cs="Arial" w:hAnsi="Arial"/>
          <w:sz w:val="22"/>
        </w:rPr>
        <w:t>硬件供应商涉及重大变更的诸入流程变更、设备变更、关键物料(胶水、锡膏等)以及制程关键参数的变更，必须在完成变更流程验证通过的基础上，由双方共同确认，并经Momenta供应商质量工程师（SQE）和工艺工程师认可。</w:t>
      </w:r>
    </w:p>
    <w:p>
      <w:pPr>
        <w:numPr>
          <w:numId w:val="54"/>
        </w:numPr>
        <w:spacing w:before="120" w:after="120" w:line="288" w:lineRule="auto"/>
        <w:ind w:left="453"/>
        <w:jc w:val="left"/>
      </w:pPr>
      <w:r>
        <w:rPr>
          <w:rFonts w:eastAsia="等线" w:ascii="Arial" w:cs="Arial" w:hAnsi="Arial"/>
          <w:sz w:val="22"/>
        </w:rPr>
        <w:t>为便于实时掌握</w:t>
      </w:r>
      <w:r>
        <w:rPr>
          <w:rFonts w:eastAsia="等线" w:ascii="Arial" w:cs="Arial" w:hAnsi="Arial"/>
          <w:sz w:val="22"/>
        </w:rPr>
        <w:t>Momenta</w:t>
      </w:r>
      <w:r>
        <w:rPr>
          <w:rFonts w:eastAsia="等线" w:ascii="Arial" w:cs="Arial" w:hAnsi="Arial"/>
          <w:sz w:val="22"/>
        </w:rPr>
        <w:t>产品在硬件供应商的生产状况，需要硬件供应商建立可视化的生产管理系统看板，分享并开放给</w:t>
      </w:r>
      <w:r>
        <w:rPr>
          <w:rFonts w:eastAsia="等线" w:ascii="Arial" w:cs="Arial" w:hAnsi="Arial"/>
          <w:sz w:val="22"/>
        </w:rPr>
        <w:t>Momenta</w:t>
      </w:r>
      <w:r>
        <w:rPr>
          <w:rFonts w:eastAsia="等线" w:ascii="Arial" w:cs="Arial" w:hAnsi="Arial"/>
          <w:sz w:val="22"/>
        </w:rPr>
        <w:t>。生产管理系统看板需求如下：</w:t>
      </w:r>
    </w:p>
    <w:p>
      <w:pPr>
        <w:spacing w:before="120" w:after="120" w:line="288" w:lineRule="auto"/>
        <w:ind w:left="907"/>
      </w:pPr>
      <w:r>
        <w:object>
          <v:shape id="_x0000_i1027" style="width:414pt;height:197pt;mso-width-percent:0;mso-height-percent:0;mso-width-percent:0;mso-height-percent:0" type="#_x0000_t75" o:ole="">
            <v:imagedata r:id="rId15" o:title=""/>
          </v:shape>
          <o:OLEObject DrawAspect="Icon" ObjectID="_1718471221" ProgID="Excel.Sheet.12" ShapeID="_x0000_i1027" Type="Embed" r:id="rId14"/>
        </w:object>
      </w:r>
    </w:p>
    <w:p>
      <w:pPr>
        <w:spacing w:after="120"/>
        <w:ind w:left="907"/>
        <w:jc w:val="center"/>
      </w:pPr>
      <w:r>
        <w:rPr>
          <w:rFonts w:eastAsia="等线" w:ascii="Arial" w:cs="Arial" w:hAnsi="Arial"/>
          <w:b w:val="true"/>
          <w:sz w:val="22"/>
        </w:rPr>
        <w:t>点击图片可查看完整电子表格</w:t>
      </w:r>
    </w:p>
    <w:p>
      <w:pPr>
        <w:numPr>
          <w:numId w:val="55"/>
        </w:numPr>
        <w:spacing w:before="120" w:after="120" w:line="288" w:lineRule="auto"/>
        <w:ind w:left="453"/>
        <w:jc w:val="left"/>
      </w:pPr>
      <w:r>
        <w:rPr>
          <w:rFonts w:eastAsia="等线" w:ascii="Arial" w:cs="Arial" w:hAnsi="Arial"/>
          <w:sz w:val="22"/>
        </w:rPr>
        <w:t>SIP的生产工艺流程以硬件供应商实际工艺路线为准，参考工艺流程如下：</w:t>
      </w:r>
    </w:p>
    <w:p>
      <w:pPr>
        <w:spacing w:before="120" w:after="120" w:line="288" w:lineRule="auto"/>
        <w:ind w:left="907"/>
        <w:jc w:val="center"/>
      </w:pPr>
      <w:r>
        <w:drawing>
          <wp:inline distT="0" distR="0" distB="0" distL="0">
            <wp:extent cx="5257800" cy="2200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6"/>
                    <a:stretch>
                      <a:fillRect/>
                    </a:stretch>
                  </pic:blipFill>
                  <pic:spPr>
                    <a:xfrm>
                      <a:off x="0" y="0"/>
                      <a:ext cx="5257800" cy="2200275"/>
                    </a:xfrm>
                    <a:prstGeom prst="rect">
                      <a:avLst/>
                    </a:prstGeom>
                  </pic:spPr>
                </pic:pic>
              </a:graphicData>
            </a:graphic>
          </wp:inline>
        </w:drawing>
      </w: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5.4.3 </w:t>
      </w:r>
      <w:r>
        <w:rPr>
          <w:rFonts w:eastAsia="等线" w:ascii="Arial" w:cs="Arial" w:hAnsi="Arial"/>
          <w:b w:val="true"/>
          <w:sz w:val="30"/>
        </w:rPr>
        <w:t>样件要求</w:t>
      </w:r>
      <w:bookmarkEnd w:id="33"/>
    </w:p>
    <w:p>
      <w:pPr>
        <w:numPr>
          <w:numId w:val="56"/>
        </w:numPr>
        <w:spacing w:before="120" w:after="120" w:line="288" w:lineRule="auto"/>
        <w:ind w:left="453"/>
        <w:jc w:val="left"/>
      </w:pPr>
      <w:r>
        <w:rPr>
          <w:rFonts w:eastAsia="等线" w:ascii="Arial" w:cs="Arial" w:hAnsi="Arial"/>
          <w:sz w:val="22"/>
        </w:rPr>
        <w:t>样件需按照双方确认的图纸和标准执行并满足OEM客户的装车要求。</w:t>
      </w:r>
    </w:p>
    <w:p>
      <w:pPr>
        <w:numPr>
          <w:numId w:val="57"/>
        </w:numPr>
        <w:spacing w:before="120" w:after="120" w:line="288" w:lineRule="auto"/>
        <w:ind w:left="453"/>
        <w:jc w:val="left"/>
      </w:pPr>
      <w:r>
        <w:rPr>
          <w:rFonts w:eastAsia="等线" w:ascii="Arial" w:cs="Arial" w:hAnsi="Arial"/>
          <w:sz w:val="22"/>
        </w:rPr>
        <w:t>手工样件、工装样件、小批量、试生产阶段供货样件的任何状态更改，必须经Momenta相关工程师确认后方可执行。</w:t>
      </w:r>
    </w:p>
    <w:p>
      <w:pPr>
        <w:numPr>
          <w:numId w:val="58"/>
        </w:numPr>
        <w:spacing w:before="120" w:after="120" w:line="288" w:lineRule="auto"/>
        <w:ind w:left="453"/>
        <w:jc w:val="left"/>
      </w:pPr>
      <w:r>
        <w:rPr>
          <w:rFonts w:eastAsia="等线" w:ascii="Arial" w:cs="Arial" w:hAnsi="Arial"/>
          <w:sz w:val="22"/>
        </w:rPr>
        <w:t>硬件供应商在进行工装制造前，必须由Momenta的供应商质量工程师（SQE）对工装设计进行确认。</w:t>
      </w:r>
    </w:p>
    <w:p>
      <w:pPr>
        <w:numPr>
          <w:numId w:val="59"/>
        </w:numPr>
        <w:spacing w:before="120" w:after="120" w:line="288" w:lineRule="auto"/>
        <w:ind w:left="453"/>
        <w:jc w:val="left"/>
      </w:pPr>
      <w:r>
        <w:rPr>
          <w:rFonts w:eastAsia="等线" w:ascii="Arial" w:cs="Arial" w:hAnsi="Arial"/>
          <w:sz w:val="22"/>
        </w:rPr>
        <w:t>样件的生产工艺流程和质量管控要求，必须由双方共同确认，并经Momenta供应商质量工程师（SQE）认可。</w:t>
      </w:r>
    </w:p>
    <w:p>
      <w:pPr>
        <w:numPr>
          <w:numId w:val="60"/>
        </w:numPr>
        <w:spacing w:before="120" w:after="120" w:line="288" w:lineRule="auto"/>
        <w:ind w:left="453"/>
        <w:jc w:val="left"/>
      </w:pPr>
      <w:r>
        <w:rPr>
          <w:rFonts w:eastAsia="等线" w:ascii="Arial" w:cs="Arial" w:hAnsi="Arial"/>
          <w:sz w:val="22"/>
        </w:rPr>
        <w:t>样件的交付，样件的状态必须由Momenta相关工程师，样件交样前必须经过双方确定的质量管控方式检验后方可交付客户。</w:t>
      </w:r>
    </w:p>
    <w:p>
      <w:pPr>
        <w:numPr>
          <w:numId w:val="61"/>
        </w:numPr>
        <w:spacing w:before="120" w:after="120" w:line="288" w:lineRule="auto"/>
        <w:ind w:left="453"/>
        <w:jc w:val="left"/>
      </w:pPr>
      <w:r>
        <w:rPr>
          <w:rFonts w:eastAsia="等线" w:ascii="Arial" w:cs="Arial" w:hAnsi="Arial"/>
          <w:sz w:val="22"/>
        </w:rPr>
        <w:t>样件交付时间节点必须满足OEM客户的装车时间。</w:t>
      </w:r>
    </w:p>
    <w:p>
      <w:pPr>
        <w:spacing w:before="120" w:after="120" w:line="288" w:lineRule="auto"/>
        <w:ind w:left="453"/>
        <w:jc w:val="left"/>
      </w:pPr>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5.4.4 </w:t>
      </w:r>
      <w:r>
        <w:rPr>
          <w:rFonts w:eastAsia="等线" w:ascii="Arial" w:cs="Arial" w:hAnsi="Arial"/>
          <w:b w:val="true"/>
          <w:sz w:val="30"/>
        </w:rPr>
        <w:t>量产件要求</w:t>
      </w:r>
      <w:bookmarkEnd w:id="34"/>
    </w:p>
    <w:p>
      <w:pPr>
        <w:numPr>
          <w:numId w:val="62"/>
        </w:numPr>
        <w:spacing w:before="120" w:after="120" w:line="288" w:lineRule="auto"/>
        <w:ind w:left="453"/>
        <w:jc w:val="left"/>
      </w:pPr>
      <w:r>
        <w:rPr>
          <w:rFonts w:eastAsia="等线" w:ascii="Arial" w:cs="Arial" w:hAnsi="Arial"/>
          <w:sz w:val="22"/>
        </w:rPr>
        <w:t>量产件生产按照Momenta对供应商签署的PSW（Part Submission Warrant 零件提交保证书）为正式输入。</w:t>
      </w:r>
    </w:p>
    <w:p>
      <w:pPr>
        <w:numPr>
          <w:numId w:val="63"/>
        </w:numPr>
        <w:spacing w:before="120" w:after="120" w:line="288" w:lineRule="auto"/>
        <w:ind w:left="453"/>
        <w:jc w:val="left"/>
      </w:pPr>
      <w:r>
        <w:rPr>
          <w:rFonts w:eastAsia="等线" w:ascii="Arial" w:cs="Arial" w:hAnsi="Arial"/>
          <w:sz w:val="22"/>
        </w:rPr>
        <w:t>不允许硬件供应商将产品的制造过程全部委托或承包给分供方，硬件供应商可将产品制造的非核心部分委托或承包给分供方，关键工序不得全部或部分转包、分包（关键工序指对产品质量有重大或关键影响的工序 ）。</w:t>
      </w:r>
    </w:p>
    <w:p>
      <w:pPr>
        <w:numPr>
          <w:numId w:val="64"/>
        </w:numPr>
        <w:spacing w:before="120" w:after="120" w:line="288" w:lineRule="auto"/>
        <w:ind w:left="453"/>
        <w:jc w:val="left"/>
      </w:pPr>
      <w:r>
        <w:rPr>
          <w:rFonts w:eastAsia="等线" w:ascii="Arial" w:cs="Arial" w:hAnsi="Arial"/>
          <w:sz w:val="22"/>
        </w:rPr>
        <w:t>量产件的生产工艺流程、材料、二级分供方、及质量管控方式等生产要素，需要按照PPAP中经Momenta批准的方式生产制造。</w:t>
      </w:r>
    </w:p>
    <w:p>
      <w:pPr>
        <w:numPr>
          <w:numId w:val="65"/>
        </w:numPr>
        <w:spacing w:before="120" w:after="120" w:line="288" w:lineRule="auto"/>
        <w:ind w:left="453"/>
        <w:jc w:val="left"/>
      </w:pPr>
      <w:r>
        <w:rPr>
          <w:rFonts w:eastAsia="等线" w:ascii="Arial" w:cs="Arial" w:hAnsi="Arial"/>
          <w:sz w:val="22"/>
        </w:rPr>
        <w:t>量产订单的交付按照Momenta下发的订单的数量，产品状态和交期按时交付。</w:t>
      </w:r>
    </w:p>
    <w:p>
      <w:pPr>
        <w:numPr>
          <w:numId w:val="66"/>
        </w:numPr>
        <w:spacing w:before="120" w:after="120" w:line="288" w:lineRule="auto"/>
        <w:ind w:left="453"/>
        <w:jc w:val="left"/>
      </w:pPr>
      <w:r>
        <w:rPr>
          <w:rFonts w:eastAsia="等线" w:ascii="Arial" w:cs="Arial" w:hAnsi="Arial"/>
          <w:sz w:val="22"/>
        </w:rPr>
        <w:t>由硬件供应商负责主机厂三方仓库的对接管理，必要时Momenta可以进行支持。</w:t>
      </w: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5.4.5 </w:t>
      </w:r>
      <w:r>
        <w:rPr>
          <w:rFonts w:eastAsia="等线" w:ascii="Arial" w:cs="Arial" w:hAnsi="Arial"/>
          <w:b w:val="true"/>
          <w:sz w:val="30"/>
        </w:rPr>
        <w:t xml:space="preserve">包装、运输、贮存 </w:t>
      </w:r>
      <w:bookmarkEnd w:id="35"/>
    </w:p>
    <w:p>
      <w:pPr>
        <w:numPr>
          <w:numId w:val="67"/>
        </w:numPr>
        <w:spacing w:before="120" w:after="120" w:line="288" w:lineRule="auto"/>
        <w:ind w:left="453"/>
        <w:jc w:val="left"/>
      </w:pPr>
      <w:r>
        <w:rPr>
          <w:rFonts w:eastAsia="等线" w:ascii="Arial" w:cs="Arial" w:hAnsi="Arial"/>
          <w:sz w:val="22"/>
        </w:rPr>
        <w:t>供应商应根据Momenta规定的交货和包装规范，以安全合适的包装及安全合适的运输方式交付产品，以避免损坏、损失和质量下降。</w:t>
      </w:r>
    </w:p>
    <w:p>
      <w:pPr>
        <w:numPr>
          <w:numId w:val="68"/>
        </w:numPr>
        <w:spacing w:before="120" w:after="120" w:line="288" w:lineRule="auto"/>
        <w:ind w:left="453"/>
        <w:jc w:val="left"/>
      </w:pPr>
      <w:r>
        <w:rPr>
          <w:rFonts w:eastAsia="等线" w:ascii="Arial" w:cs="Arial" w:hAnsi="Arial"/>
          <w:sz w:val="22"/>
        </w:rPr>
        <w:t>产品的包装方案和标识应与Momenta评审，并得到Momenta批准后实施。</w:t>
      </w:r>
    </w:p>
    <w:p>
      <w:pPr>
        <w:numPr>
          <w:numId w:val="69"/>
        </w:numPr>
        <w:spacing w:before="120" w:after="120" w:line="288" w:lineRule="auto"/>
        <w:ind w:left="453"/>
        <w:jc w:val="left"/>
      </w:pPr>
      <w:r>
        <w:rPr>
          <w:rFonts w:eastAsia="等线" w:ascii="Arial" w:cs="Arial" w:hAnsi="Arial"/>
          <w:sz w:val="22"/>
        </w:rPr>
        <w:t>产品的包装应能保证产品在正常的运输过程中，不应出现磕碰、变形等异常，产品避免雨淋，可参照GB/T 9174《一般货物运输包装通用技术要求》。</w:t>
      </w:r>
    </w:p>
    <w:p>
      <w:pPr>
        <w:numPr>
          <w:numId w:val="70"/>
        </w:numPr>
        <w:spacing w:before="120" w:after="120" w:line="288" w:lineRule="auto"/>
        <w:ind w:left="453"/>
        <w:jc w:val="left"/>
      </w:pPr>
      <w:r>
        <w:rPr>
          <w:rFonts w:eastAsia="等线" w:ascii="Arial" w:cs="Arial" w:hAnsi="Arial"/>
          <w:sz w:val="22"/>
        </w:rPr>
        <w:t>产品应存放在通风、干燥的地方，必须避开高温源、火源及化学药品。存放整齐，避免抛砸。</w:t>
      </w:r>
    </w:p>
    <w:p>
      <w:pPr>
        <w:numPr>
          <w:numId w:val="71"/>
        </w:numPr>
        <w:spacing w:before="120" w:after="120" w:line="288" w:lineRule="auto"/>
        <w:ind w:left="453"/>
        <w:jc w:val="left"/>
      </w:pPr>
      <w:r>
        <w:rPr>
          <w:rFonts w:eastAsia="等线" w:ascii="Arial" w:cs="Arial" w:hAnsi="Arial"/>
          <w:sz w:val="22"/>
        </w:rPr>
        <w:t>若零件使用胶带，胶带离型纸应保留余量以便于操作人员剥离型纸，剥离型纸时胶带不能同时撕裂或同零件分离。</w:t>
      </w:r>
    </w:p>
    <w:p>
      <w:pPr>
        <w:numPr>
          <w:numId w:val="72"/>
        </w:numPr>
        <w:spacing w:before="120" w:after="120" w:line="288" w:lineRule="auto"/>
        <w:ind w:left="453"/>
        <w:jc w:val="left"/>
      </w:pPr>
      <w:r>
        <w:rPr>
          <w:rFonts w:eastAsia="等线" w:ascii="Arial" w:cs="Arial" w:hAnsi="Arial"/>
          <w:sz w:val="22"/>
        </w:rPr>
        <w:t>若零若零件使用保护膜，保护膜应保留余量以便于操作人员剥离保护膜，剥离保护膜时，不能有任何残留痕迹在零件上，不能引起任何零件缺陷。</w:t>
      </w:r>
    </w:p>
    <w:p>
      <w:pPr>
        <w:numPr>
          <w:numId w:val="73"/>
        </w:numPr>
        <w:spacing w:before="120" w:after="120" w:line="288" w:lineRule="auto"/>
        <w:ind w:left="453"/>
        <w:jc w:val="left"/>
      </w:pPr>
      <w:r>
        <w:rPr>
          <w:rFonts w:eastAsia="等线" w:ascii="Arial" w:cs="Arial" w:hAnsi="Arial"/>
          <w:sz w:val="22"/>
        </w:rPr>
        <w:t>供应商应建立物流监控系统，将信息数据反馈至Momenta物流交付系统，确保物料交付过程受控。</w:t>
      </w:r>
    </w:p>
    <w:p>
      <w:pPr>
        <w:numPr>
          <w:numId w:val="74"/>
        </w:numPr>
        <w:spacing w:before="120" w:after="120" w:line="288" w:lineRule="auto"/>
        <w:ind w:left="453"/>
        <w:jc w:val="left"/>
      </w:pPr>
      <w:r>
        <w:rPr>
          <w:rFonts w:eastAsia="等线" w:ascii="Arial" w:cs="Arial" w:hAnsi="Arial"/>
          <w:sz w:val="22"/>
        </w:rPr>
        <w:t>如果发生过程中断或质量偏差情形，则供应商应分析原因，采取纠正措施，检查措施的有效性并记录证据。</w:t>
      </w:r>
    </w:p>
    <w:p>
      <w:pPr>
        <w:numPr>
          <w:numId w:val="75"/>
        </w:numPr>
        <w:spacing w:before="120" w:after="120" w:line="288" w:lineRule="auto"/>
        <w:ind w:left="453"/>
        <w:jc w:val="left"/>
      </w:pPr>
      <w:r>
        <w:rPr>
          <w:rFonts w:eastAsia="等线" w:ascii="Arial" w:cs="Arial" w:hAnsi="Arial"/>
          <w:sz w:val="22"/>
        </w:rPr>
        <w:t>如果供应商不能按照规格供应产品，则在交货前必须获得Momenta接收方的批准。</w:t>
      </w:r>
    </w:p>
    <w:p>
      <w:pPr>
        <w:numPr>
          <w:numId w:val="76"/>
        </w:numPr>
        <w:spacing w:before="120" w:after="120" w:line="288" w:lineRule="auto"/>
        <w:ind w:left="453"/>
        <w:jc w:val="left"/>
      </w:pPr>
      <w:r>
        <w:rPr>
          <w:rFonts w:eastAsia="等线" w:ascii="Arial" w:cs="Arial" w:hAnsi="Arial"/>
          <w:sz w:val="22"/>
        </w:rPr>
        <w:t>供应商承诺按照与Momenta签订的协议对产品和包装进行标识。供应商必须确保标记在运输和储存过程中保持可读性。</w:t>
      </w:r>
    </w:p>
    <w:p>
      <w:pPr>
        <w:numPr>
          <w:numId w:val="77"/>
        </w:numPr>
        <w:spacing w:before="120" w:after="120" w:line="288" w:lineRule="auto"/>
        <w:ind w:left="453"/>
        <w:jc w:val="left"/>
      </w:pPr>
      <w:r>
        <w:rPr>
          <w:rFonts w:eastAsia="等线" w:ascii="Arial" w:cs="Arial" w:hAnsi="Arial"/>
          <w:sz w:val="22"/>
        </w:rPr>
        <w:t>供应商承诺保证先进先出原则（</w:t>
      </w:r>
      <w:r>
        <w:rPr>
          <w:rFonts w:eastAsia="等线" w:ascii="Arial" w:cs="Arial" w:hAnsi="Arial"/>
          <w:b w:val="true"/>
          <w:sz w:val="22"/>
        </w:rPr>
        <w:t>FIFO</w:t>
      </w:r>
      <w:r>
        <w:rPr>
          <w:rFonts w:eastAsia="等线" w:ascii="Arial" w:cs="Arial" w:hAnsi="Arial"/>
          <w:sz w:val="22"/>
        </w:rPr>
        <w:t xml:space="preserve"> 原则）和供应商提供的产品的可追溯性。供应商应与Momenta协调可追溯系统。如果确定存在缺陷/瑕疵，供应商必须立即安排对缺陷/瑕疵产品进行控制。如果产品已不在供应商处，应立即通知Momenta。</w:t>
      </w:r>
    </w:p>
    <w:p>
      <w:pPr>
        <w:numPr>
          <w:numId w:val="78"/>
        </w:numPr>
        <w:spacing w:before="120" w:after="120" w:line="288" w:lineRule="auto"/>
        <w:ind w:left="453"/>
        <w:jc w:val="left"/>
      </w:pPr>
      <w:r>
        <w:rPr>
          <w:rFonts w:eastAsia="等线" w:ascii="Arial" w:cs="Arial" w:hAnsi="Arial"/>
          <w:sz w:val="22"/>
        </w:rPr>
        <w:t>Momenta的进货检验仅限于识别外部存在的明显运输损坏，确认产品的数量和品类至少符合装运单据。在此阶段发现的任何缺陷/瑕疵会立即通报供应商。对于在此阶段没有发现但在正常经营活动中发现的缺陷/瑕疵，Momenta也会立即通知供应商。</w:t>
      </w:r>
    </w:p>
    <w:p>
      <w:pPr>
        <w:numPr>
          <w:numId w:val="79"/>
        </w:numPr>
        <w:spacing w:before="120" w:after="120" w:line="288" w:lineRule="auto"/>
        <w:ind w:left="453"/>
        <w:jc w:val="left"/>
      </w:pPr>
      <w:r>
        <w:rPr>
          <w:rFonts w:eastAsia="等线" w:ascii="Arial" w:cs="Arial" w:hAnsi="Arial"/>
          <w:sz w:val="22"/>
        </w:rPr>
        <w:t>对延迟的缺陷/瑕疵通知，供应商放弃驳回的权利。</w:t>
      </w:r>
    </w:p>
    <w:p>
      <w:pPr>
        <w:pStyle w:val="1"/>
        <w:spacing w:before="380" w:after="140" w:line="288" w:lineRule="auto"/>
        <w:ind w:left="0"/>
        <w:jc w:val="left"/>
        <w:outlineLvl w:val="0"/>
      </w:pPr>
      <w:bookmarkStart w:name="heading_36" w:id="36"/>
      <w:r>
        <w:rPr>
          <w:rFonts w:eastAsia="等线" w:ascii="Arial" w:cs="Arial" w:hAnsi="Arial"/>
          <w:color w:val="3370ff"/>
          <w:sz w:val="36"/>
        </w:rPr>
        <w:t xml:space="preserve">6. </w:t>
      </w:r>
      <w:r>
        <w:rPr>
          <w:rFonts w:eastAsia="等线" w:ascii="Arial" w:cs="Arial" w:hAnsi="Arial"/>
          <w:b w:val="true"/>
          <w:sz w:val="36"/>
        </w:rPr>
        <w:t xml:space="preserve"> 知识产权  @法务</w:t>
      </w:r>
      <w:bookmarkEnd w:id="36"/>
    </w:p>
    <w:p>
      <w:pPr>
        <w:spacing w:before="120" w:after="120" w:line="288" w:lineRule="auto"/>
        <w:ind w:left="0" w:firstLine="420"/>
        <w:jc w:val="left"/>
      </w:pPr>
      <w:r>
        <w:rPr>
          <w:rFonts w:eastAsia="等线" w:ascii="Arial" w:cs="Arial" w:hAnsi="Arial"/>
          <w:sz w:val="22"/>
        </w:rPr>
        <w:t>本项目全部设计、开发、生产过程中所产生的工作成果和交付物中包含的知识产权归Momenta所有。</w:t>
      </w:r>
    </w:p>
    <w:p>
      <w:pPr>
        <w:pStyle w:val="1"/>
        <w:spacing w:before="380" w:after="140" w:line="288" w:lineRule="auto"/>
        <w:ind w:left="0"/>
        <w:jc w:val="left"/>
        <w:outlineLvl w:val="0"/>
      </w:pPr>
      <w:bookmarkStart w:name="heading_37" w:id="37"/>
      <w:r>
        <w:rPr>
          <w:rFonts w:eastAsia="等线" w:ascii="Arial" w:cs="Arial" w:hAnsi="Arial"/>
          <w:color w:val="3370ff"/>
          <w:sz w:val="36"/>
        </w:rPr>
        <w:t xml:space="preserve">7. </w:t>
      </w:r>
      <w:r>
        <w:rPr>
          <w:rFonts w:eastAsia="等线" w:ascii="Arial" w:cs="Arial" w:hAnsi="Arial"/>
          <w:b w:val="true"/>
          <w:sz w:val="36"/>
        </w:rPr>
        <w:t xml:space="preserve">交付物 </w:t>
      </w:r>
      <w:bookmarkEnd w:id="37"/>
    </w:p>
    <w:p>
      <w:pPr>
        <w:pStyle w:val="2"/>
        <w:spacing w:before="320" w:after="120" w:line="288" w:lineRule="auto"/>
        <w:ind w:left="0"/>
        <w:jc w:val="left"/>
        <w:outlineLvl w:val="1"/>
      </w:pPr>
      <w:bookmarkStart w:name="heading_38" w:id="38"/>
      <w:r>
        <w:rPr>
          <w:rFonts w:eastAsia="等线" w:ascii="Arial" w:cs="Arial" w:hAnsi="Arial"/>
          <w:color w:val="3370ff"/>
          <w:sz w:val="32"/>
        </w:rPr>
        <w:t xml:space="preserve">7.1 </w:t>
      </w:r>
      <w:r>
        <w:rPr>
          <w:rFonts w:eastAsia="等线" w:ascii="Arial" w:cs="Arial" w:hAnsi="Arial"/>
          <w:b w:val="true"/>
          <w:sz w:val="32"/>
        </w:rPr>
        <w:t>自动驾驶域控制器交付物</w:t>
      </w:r>
      <w:bookmarkEnd w:id="38"/>
    </w:p>
    <w:p>
      <w:pPr>
        <w:spacing w:before="120" w:after="120" w:line="288" w:lineRule="auto"/>
        <w:ind w:left="0" w:firstLine="420"/>
        <w:jc w:val="left"/>
      </w:pPr>
      <w:r>
        <w:rPr>
          <w:rFonts w:eastAsia="等线" w:ascii="Arial" w:cs="Arial" w:hAnsi="Arial"/>
          <w:sz w:val="22"/>
        </w:rPr>
        <w:t>以下交付物要求硬件供应商都要提交给Momenta。</w:t>
      </w:r>
    </w:p>
    <w:p>
      <w:pPr>
        <w:pStyle w:val="3"/>
        <w:spacing w:before="300" w:after="120" w:line="288" w:lineRule="auto"/>
        <w:ind w:left="0"/>
        <w:jc w:val="left"/>
        <w:outlineLvl w:val="2"/>
      </w:pPr>
      <w:bookmarkStart w:name="heading_39" w:id="39"/>
      <w:r>
        <w:rPr>
          <w:rFonts w:eastAsia="等线" w:ascii="Arial" w:cs="Arial" w:hAnsi="Arial"/>
          <w:color w:val="3370ff"/>
          <w:sz w:val="30"/>
        </w:rPr>
        <w:t xml:space="preserve">7.1.1 </w:t>
      </w:r>
      <w:r>
        <w:rPr>
          <w:rFonts w:eastAsia="等线" w:ascii="Arial" w:cs="Arial" w:hAnsi="Arial"/>
          <w:b w:val="true"/>
          <w:sz w:val="30"/>
        </w:rPr>
        <w:t>Phase 1 QAM8650P+B样主板</w:t>
      </w:r>
      <w:bookmarkEnd w:id="39"/>
    </w:p>
    <w:p>
      <w:pPr>
        <w:spacing w:before="120" w:after="120" w:line="288" w:lineRule="auto"/>
        <w:ind w:left="0"/>
      </w:pPr>
      <w:r>
        <w:object>
          <v:shape id="_x0000_i1028" style="width:414pt;height:197pt;mso-width-percent:0;mso-height-percent:0;mso-width-percent:0;mso-height-percent:0" type="#_x0000_t75" o:ole="">
            <v:imagedata r:id="rId18" o:title=""/>
          </v:shape>
          <o:OLEObject DrawAspect="Icon" ObjectID="_1718471222" ProgID="Excel.Sheet.12" ShapeID="_x0000_i1028" Type="Embed" r:id="rId17"/>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7.1.2 </w:t>
      </w:r>
      <w:r>
        <w:rPr>
          <w:rFonts w:eastAsia="等线" w:ascii="Arial" w:cs="Arial" w:hAnsi="Arial"/>
          <w:b w:val="true"/>
          <w:sz w:val="30"/>
        </w:rPr>
        <w:t>Phase 2 X7 SIP+主板</w:t>
      </w:r>
      <w:bookmarkEnd w:id="40"/>
    </w:p>
    <w:p>
      <w:pPr>
        <w:spacing w:before="120" w:after="120" w:line="288" w:lineRule="auto"/>
        <w:ind w:left="0"/>
      </w:pPr>
      <w:r>
        <w:object>
          <v:shape id="_x0000_i1029" style="width:414pt;height:197pt;mso-width-percent:0;mso-height-percent:0;mso-width-percent:0;mso-height-percent:0" type="#_x0000_t75" o:ole="">
            <v:imagedata r:id="rId20" o:title=""/>
          </v:shape>
          <o:OLEObject DrawAspect="Icon" ObjectID="_1718471223" ProgID="Excel.Sheet.12" ShapeID="_x0000_i1029"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2"/>
        <w:spacing w:before="320" w:after="120" w:line="288" w:lineRule="auto"/>
        <w:ind w:left="0"/>
        <w:jc w:val="left"/>
        <w:outlineLvl w:val="1"/>
      </w:pPr>
      <w:bookmarkStart w:name="heading_41" w:id="41"/>
      <w:r>
        <w:rPr>
          <w:rFonts w:eastAsia="等线" w:ascii="Arial" w:cs="Arial" w:hAnsi="Arial"/>
          <w:color w:val="3370ff"/>
          <w:sz w:val="32"/>
        </w:rPr>
        <w:t xml:space="preserve">7.2 </w:t>
      </w:r>
      <w:r>
        <w:rPr>
          <w:rFonts w:eastAsia="等线" w:ascii="Arial" w:cs="Arial" w:hAnsi="Arial"/>
          <w:b w:val="true"/>
          <w:sz w:val="32"/>
        </w:rPr>
        <w:t>供应商开发交付物</w:t>
      </w:r>
      <w:bookmarkEnd w:id="41"/>
    </w:p>
    <w:p>
      <w:pPr>
        <w:spacing w:before="120" w:after="120" w:line="288" w:lineRule="auto"/>
        <w:ind w:left="0"/>
      </w:pPr>
      <w:r>
        <w:object>
          <v:shape id="_x0000_i1030" style="width:414pt;height:197pt;mso-width-percent:0;mso-height-percent:0;mso-width-percent:0;mso-height-percent:0" type="#_x0000_t75" o:ole="">
            <v:imagedata r:id="rId22" o:title=""/>
          </v:shape>
          <o:OLEObject DrawAspect="Icon" ObjectID="_1718471224" ProgID="Excel.Sheet.12" ShapeID="_x0000_i1030" Type="Embed" r:id="rId21"/>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2" w:id="42"/>
      <w:r>
        <w:rPr>
          <w:rFonts w:eastAsia="等线" w:ascii="Arial" w:cs="Arial" w:hAnsi="Arial"/>
          <w:color w:val="3370ff"/>
          <w:sz w:val="32"/>
        </w:rPr>
        <w:t xml:space="preserve">7.3 </w:t>
      </w:r>
      <w:r>
        <w:rPr>
          <w:rFonts w:eastAsia="等线" w:ascii="Arial" w:cs="Arial" w:hAnsi="Arial"/>
          <w:b w:val="true"/>
          <w:sz w:val="32"/>
        </w:rPr>
        <w:t>质量交付物</w:t>
      </w:r>
      <w:bookmarkEnd w:id="42"/>
    </w:p>
    <w:p>
      <w:pPr>
        <w:pStyle w:val="3"/>
        <w:spacing w:before="300" w:after="120" w:line="288" w:lineRule="auto"/>
        <w:ind w:left="0"/>
        <w:jc w:val="left"/>
        <w:outlineLvl w:val="2"/>
      </w:pPr>
      <w:bookmarkStart w:name="heading_43" w:id="43"/>
      <w:r>
        <w:rPr>
          <w:rFonts w:eastAsia="等线" w:ascii="Arial" w:cs="Arial" w:hAnsi="Arial"/>
          <w:color w:val="3370ff"/>
          <w:sz w:val="30"/>
        </w:rPr>
        <w:t xml:space="preserve">7.3.1 </w:t>
      </w:r>
      <w:r>
        <w:rPr>
          <w:rFonts w:eastAsia="等线" w:ascii="Arial" w:cs="Arial" w:hAnsi="Arial"/>
          <w:b w:val="true"/>
          <w:sz w:val="30"/>
        </w:rPr>
        <w:t>APQP交付物：</w:t>
      </w:r>
      <w:bookmarkEnd w:id="43"/>
    </w:p>
    <w:p>
      <w:pPr>
        <w:spacing w:before="120" w:after="120" w:line="288" w:lineRule="auto"/>
        <w:ind w:left="0"/>
        <w:jc w:val="center"/>
      </w:pPr>
      <w:r>
        <w:drawing>
          <wp:inline distT="0" distR="0" distB="0" distL="0">
            <wp:extent cx="5257800" cy="25908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23"/>
                    <a:stretch>
                      <a:fillRect/>
                    </a:stretch>
                  </pic:blipFill>
                  <pic:spPr>
                    <a:xfrm>
                      <a:off x="0" y="0"/>
                      <a:ext cx="5257800" cy="2590800"/>
                    </a:xfrm>
                    <a:prstGeom prst="rect">
                      <a:avLst/>
                    </a:prstGeom>
                  </pic:spPr>
                </pic:pic>
              </a:graphicData>
            </a:graphic>
          </wp:inline>
        </w:drawing>
      </w:r>
    </w:p>
    <w:p>
      <w:pPr>
        <w:pStyle w:val="3"/>
        <w:spacing w:before="300" w:after="120" w:line="288" w:lineRule="auto"/>
        <w:ind w:left="0"/>
        <w:jc w:val="left"/>
        <w:outlineLvl w:val="2"/>
      </w:pPr>
      <w:bookmarkStart w:name="heading_44" w:id="44"/>
      <w:r>
        <w:rPr>
          <w:rFonts w:eastAsia="等线" w:ascii="Arial" w:cs="Arial" w:hAnsi="Arial"/>
          <w:color w:val="3370ff"/>
          <w:sz w:val="30"/>
        </w:rPr>
        <w:t xml:space="preserve">7.3.2 </w:t>
      </w:r>
      <w:r>
        <w:rPr>
          <w:rFonts w:eastAsia="等线" w:ascii="Arial" w:cs="Arial" w:hAnsi="Arial"/>
          <w:b w:val="true"/>
          <w:sz w:val="30"/>
        </w:rPr>
        <w:t>PPAP交付物：</w:t>
      </w:r>
      <w:bookmarkEnd w:id="44"/>
    </w:p>
    <w:p>
      <w:pPr>
        <w:spacing w:before="120" w:after="120" w:line="288" w:lineRule="auto"/>
        <w:ind w:left="0"/>
        <w:jc w:val="left"/>
      </w:pPr>
      <w:r>
        <w:rPr>
          <w:rFonts w:eastAsia="等线" w:ascii="Arial" w:cs="Arial" w:hAnsi="Arial"/>
          <w:sz w:val="22"/>
        </w:rPr>
        <w:t>注：PPAP等级按照等级3提交。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2325"/>
        <w:gridCol w:w="1410"/>
        <w:gridCol w:w="990"/>
        <w:gridCol w:w="990"/>
        <w:gridCol w:w="990"/>
        <w:gridCol w:w="990"/>
      </w:tblGrid>
      <w:tr>
        <w:tc>
          <w:tcPr>
            <w:tcW w:w="55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232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提交物</w:t>
            </w:r>
          </w:p>
        </w:tc>
        <w:tc>
          <w:tcPr>
            <w:tcW w:w="53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提交等级</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r>
      <w:tr>
        <w:tc>
          <w:tcPr>
            <w:tcW w:w="555" w:type="dxa"/>
            <w:vMerge w:val="continue"/>
            <w:tcMar>
              <w:top w:type="dxa" w:w="60"/>
              <w:left w:type="dxa" w:w="120"/>
              <w:bottom w:type="dxa" w:w="30"/>
              <w:right w:type="dxa" w:w="120"/>
            </w:tcMar>
          </w:tcPr>
          <w:p>
            <w:pPr>
              <w:spacing w:before="120" w:after="120" w:line="288" w:lineRule="auto"/>
              <w:ind w:left="0"/>
              <w:jc w:val="left"/>
            </w:pPr>
          </w:p>
        </w:tc>
        <w:tc>
          <w:tcPr>
            <w:tcW w:w="2325" w:type="dxa"/>
            <w:vMerge w:val="continue"/>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等级1</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等级2</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等级3</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等级4</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等级5</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零部件提交保证书（PSW）</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可销售产品的设计记录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工程更改文件（如果有）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工程认可文件（OTS）</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过程审核报告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2TP产能审核报告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特殊特性清单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DFMEA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PFMEA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过程流程图</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量产控制计划</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WI 作业指导书</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尺寸测量报告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材料检测报告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性能试验报告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6</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外观件批准报告（如果适用）</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7</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材料/分供方清单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8</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初始过程研究</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9</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测量系统分析</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工装、模具、设备清单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量检具、检测试验设备清单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3C、 E mark 证书（如果需要）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具有资格的实验室文件</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包装方案</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生产件标准样品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bl>
    <w:p>
      <w:pPr>
        <w:spacing w:before="120" w:after="120" w:line="288" w:lineRule="auto"/>
        <w:ind w:left="0"/>
        <w:jc w:val="left"/>
      </w:pPr>
      <w:r>
        <w:rPr>
          <w:rFonts w:eastAsia="等线" w:ascii="Arial" w:cs="Arial" w:hAnsi="Arial"/>
          <w:sz w:val="22"/>
        </w:rPr>
        <w:t>注：</w:t>
      </w:r>
    </w:p>
    <w:p>
      <w:pPr>
        <w:spacing w:before="120" w:after="120" w:line="288" w:lineRule="auto"/>
        <w:ind w:left="0"/>
        <w:jc w:val="left"/>
      </w:pPr>
      <w:r>
        <w:rPr>
          <w:rFonts w:eastAsia="等线" w:ascii="Arial" w:cs="Arial" w:hAnsi="Arial"/>
          <w:sz w:val="22"/>
        </w:rPr>
        <w:t xml:space="preserve">S ：硬件供应商必须向Momenta提交，并在适当的场所(包括制造场所)保留一份记录或文件的副本。 </w:t>
      </w:r>
    </w:p>
    <w:p>
      <w:pPr>
        <w:spacing w:before="120" w:after="120" w:line="288" w:lineRule="auto"/>
        <w:ind w:left="0"/>
        <w:jc w:val="left"/>
      </w:pPr>
      <w:r>
        <w:rPr>
          <w:rFonts w:eastAsia="等线" w:ascii="Arial" w:cs="Arial" w:hAnsi="Arial"/>
          <w:sz w:val="22"/>
        </w:rPr>
        <w:t xml:space="preserve">S* ：Momenta评审有必要时，硬件供应商必须向Momenta提交。 </w:t>
      </w:r>
    </w:p>
    <w:p>
      <w:pPr>
        <w:spacing w:before="120" w:after="120" w:line="288" w:lineRule="auto"/>
        <w:ind w:left="0"/>
        <w:jc w:val="left"/>
      </w:pPr>
      <w:r>
        <w:rPr>
          <w:rFonts w:eastAsia="等线" w:ascii="Arial" w:cs="Arial" w:hAnsi="Arial"/>
          <w:sz w:val="22"/>
        </w:rPr>
        <w:t xml:space="preserve">R ：硬件供应商必须在适当的场所（包括制造场所）保存，并在顾客有要求时应易于得到。 </w:t>
      </w:r>
    </w:p>
    <w:p>
      <w:pPr>
        <w:spacing w:before="120" w:after="120" w:line="288" w:lineRule="auto"/>
        <w:ind w:left="0"/>
        <w:jc w:val="left"/>
      </w:pPr>
      <w:r>
        <w:rPr>
          <w:rFonts w:eastAsia="等线" w:ascii="Arial" w:cs="Arial" w:hAnsi="Arial"/>
          <w:sz w:val="22"/>
        </w:rPr>
        <w:t>*：硬件供应商必须在适当的场所保存，并在有要求时向Momenta提交。</w:t>
      </w:r>
    </w:p>
    <w:p>
      <w:pPr>
        <w:spacing w:before="120" w:after="120" w:line="288" w:lineRule="auto"/>
        <w:ind w:left="0"/>
        <w:jc w:val="left"/>
      </w:pPr>
      <w:r>
        <w:rPr>
          <w:rFonts w:eastAsia="等线" w:ascii="Arial" w:cs="Arial" w:hAnsi="Arial"/>
          <w:sz w:val="22"/>
        </w:rPr>
        <w:t>最终项目的质量交付物以小洋山的客户要求为准。</w:t>
      </w:r>
    </w:p>
    <w:p>
      <w:pPr>
        <w:pStyle w:val="2"/>
        <w:spacing w:before="320" w:after="120" w:line="288" w:lineRule="auto"/>
        <w:ind w:left="0"/>
        <w:jc w:val="left"/>
        <w:outlineLvl w:val="1"/>
      </w:pPr>
      <w:bookmarkStart w:name="heading_45" w:id="45"/>
      <w:r>
        <w:rPr>
          <w:rFonts w:eastAsia="等线" w:ascii="Arial" w:cs="Arial" w:hAnsi="Arial"/>
          <w:color w:val="3370ff"/>
          <w:sz w:val="32"/>
        </w:rPr>
        <w:t xml:space="preserve">7.4 </w:t>
      </w:r>
      <w:r>
        <w:rPr>
          <w:rFonts w:eastAsia="等线" w:ascii="Arial" w:cs="Arial" w:hAnsi="Arial"/>
          <w:b w:val="true"/>
          <w:sz w:val="32"/>
        </w:rPr>
        <w:t>功能安全交付物</w:t>
      </w:r>
      <w:bookmarkEnd w:id="45"/>
    </w:p>
    <w:p>
      <w:pPr>
        <w:spacing w:before="120" w:after="120" w:line="288" w:lineRule="auto"/>
        <w:ind w:left="0"/>
        <w:jc w:val="left"/>
      </w:pPr>
      <w:r>
        <w:rPr>
          <w:rFonts w:eastAsia="等线" w:ascii="Arial" w:cs="Arial" w:hAnsi="Arial"/>
          <w:sz w:val="22"/>
        </w:rPr>
        <w:t>DIA:</w:t>
      </w:r>
      <w:hyperlink r:id="rId24">
        <w:r>
          <w:rPr>
            <w:rFonts w:eastAsia="等线" w:ascii="Arial" w:cs="Arial" w:hAnsi="Arial"/>
            <w:color w:val="3370ff"/>
            <w:sz w:val="22"/>
          </w:rPr>
          <w:t>ADCU_DIA_FUSA_Momenta&amp;Valeo_V1</w:t>
        </w:r>
      </w:hyperlink>
    </w:p>
    <w:p>
      <w:pPr>
        <w:spacing w:before="120" w:after="120" w:line="288" w:lineRule="auto"/>
        <w:ind w:left="0"/>
        <w:jc w:val="left"/>
      </w:pPr>
      <w:r>
        <w:rPr>
          <w:rFonts w:eastAsia="等线" w:ascii="Arial" w:cs="Arial" w:hAnsi="Arial"/>
          <w:sz w:val="22"/>
        </w:rPr>
        <w:t>备注：后续以Momenta与硬件供应商沟通的正式版DIA为基准。</w:t>
      </w:r>
    </w:p>
    <w:p>
      <w:pPr>
        <w:spacing w:before="120" w:after="120" w:line="288" w:lineRule="auto"/>
        <w:ind w:left="0"/>
      </w:pPr>
      <w:r>
        <w:object>
          <v:shape id="_x0000_i1031" style="width:414pt;height:197pt;mso-width-percent:0;mso-height-percent:0;mso-width-percent:0;mso-height-percent:0" type="#_x0000_t75" o:ole="">
            <v:imagedata r:id="rId26" o:title=""/>
          </v:shape>
          <o:OLEObject DrawAspect="Icon" ObjectID="_1718471225" ProgID="Excel.Sheet.12" ShapeID="_x0000_i1031" Type="Embed" r:id="rId25"/>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6" w:id="46"/>
      <w:r>
        <w:rPr>
          <w:rFonts w:eastAsia="等线" w:ascii="Arial" w:cs="Arial" w:hAnsi="Arial"/>
          <w:color w:val="3370ff"/>
          <w:sz w:val="32"/>
        </w:rPr>
        <w:t xml:space="preserve">7.5 </w:t>
      </w:r>
      <w:r>
        <w:rPr>
          <w:rFonts w:eastAsia="等线" w:ascii="Arial" w:cs="Arial" w:hAnsi="Arial"/>
          <w:b w:val="true"/>
          <w:sz w:val="32"/>
        </w:rPr>
        <w:t>信息安全交付物</w:t>
      </w:r>
      <w:bookmarkEnd w:id="46"/>
    </w:p>
    <w:p>
      <w:pPr>
        <w:spacing w:before="120" w:after="120" w:line="288" w:lineRule="auto"/>
        <w:ind w:left="0"/>
        <w:jc w:val="left"/>
      </w:pPr>
      <w:r>
        <w:rPr>
          <w:rFonts w:eastAsia="等线" w:ascii="Arial" w:cs="Arial" w:hAnsi="Arial"/>
          <w:sz w:val="22"/>
        </w:rPr>
        <w:t>CIA：</w:t>
      </w:r>
      <w:hyperlink r:id="rId27">
        <w:r>
          <w:rPr>
            <w:rFonts w:eastAsia="等线" w:ascii="Arial" w:cs="Arial" w:hAnsi="Arial"/>
            <w:color w:val="3370ff"/>
            <w:sz w:val="22"/>
          </w:rPr>
          <w:t>GST-RD-H01-0819-A03_CIA_SVW_8650&amp;BMC_ADCU-MMT0326.xlsx</w:t>
        </w:r>
      </w:hyperlink>
    </w:p>
    <w:p>
      <w:pPr>
        <w:spacing w:before="120" w:after="120" w:line="288" w:lineRule="auto"/>
        <w:ind w:left="0"/>
        <w:jc w:val="left"/>
      </w:pPr>
      <w:r>
        <w:rPr>
          <w:rFonts w:eastAsia="等线" w:ascii="Arial" w:cs="Arial" w:hAnsi="Arial"/>
          <w:sz w:val="22"/>
        </w:rPr>
        <w:t>备注：后续以Momenta与硬件供应商沟通的正式版CIA为基准。</w:t>
      </w:r>
    </w:p>
    <w:p>
      <w:pPr>
        <w:spacing w:before="120" w:after="120" w:line="288" w:lineRule="auto"/>
        <w:ind w:left="0"/>
      </w:pPr>
      <w:r>
        <w:object>
          <v:shape id="_x0000_i1032" style="width:414pt;height:197pt;mso-width-percent:0;mso-height-percent:0;mso-width-percent:0;mso-height-percent:0" type="#_x0000_t75" o:ole="">
            <v:imagedata r:id="rId29" o:title=""/>
          </v:shape>
          <o:OLEObject DrawAspect="Icon" ObjectID="_1718471226" ProgID="Excel.Sheet.12" ShapeID="_x0000_i1032" Type="Embed" r:id="rId28"/>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7" w:id="47"/>
      <w:r>
        <w:rPr>
          <w:rFonts w:eastAsia="等线" w:ascii="Arial" w:cs="Arial" w:hAnsi="Arial"/>
          <w:color w:val="3370ff"/>
          <w:sz w:val="32"/>
        </w:rPr>
        <w:t xml:space="preserve">7.6 </w:t>
      </w:r>
      <w:r>
        <w:rPr>
          <w:rFonts w:eastAsia="等线" w:ascii="Arial" w:cs="Arial" w:hAnsi="Arial"/>
          <w:b w:val="true"/>
          <w:sz w:val="32"/>
        </w:rPr>
        <w:t xml:space="preserve">免费样件交付 </w:t>
      </w:r>
      <w:bookmarkEnd w:id="47"/>
    </w:p>
    <w:p>
      <w:pPr>
        <w:spacing w:before="120" w:after="120" w:line="288" w:lineRule="auto"/>
        <w:ind w:left="0"/>
        <w:jc w:val="left"/>
      </w:pPr>
      <w:r>
        <w:rPr>
          <w:rFonts w:eastAsia="等线" w:ascii="Arial" w:cs="Arial" w:hAnsi="Arial"/>
          <w:sz w:val="22"/>
        </w:rPr>
        <w:t xml:space="preserve">     供应商需在项目开发的各阶段提供免费样件至Momenta，各阶段需求数量如下：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75"/>
        <w:gridCol w:w="1665"/>
        <w:gridCol w:w="1215"/>
        <w:gridCol w:w="1710"/>
        <w:gridCol w:w="1425"/>
        <w:gridCol w:w="1575"/>
      </w:tblGrid>
      <w:tr>
        <w:tc>
          <w:tcPr>
            <w:tcW w:w="6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28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样件信息</w:t>
            </w:r>
          </w:p>
        </w:tc>
        <w:tc>
          <w:tcPr>
            <w:tcW w:w="1215" w:type="dxa"/>
            <w:hMerge w:val="continue"/>
            <w:tcMar>
              <w:top w:type="dxa" w:w="60"/>
              <w:left w:type="dxa" w:w="120"/>
              <w:bottom w:type="dxa" w:w="30"/>
              <w:right w:type="dxa" w:w="120"/>
            </w:tcMar>
          </w:tcPr>
          <w:p>
            <w:pPr>
              <w:spacing w:before="120" w:after="120" w:line="288" w:lineRule="auto"/>
              <w:ind w:left="0"/>
              <w:jc w:val="center"/>
            </w:pPr>
          </w:p>
        </w:tc>
        <w:tc>
          <w:tcPr>
            <w:tcW w:w="17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预计时间</w:t>
            </w:r>
          </w:p>
        </w:tc>
        <w:tc>
          <w:tcPr>
            <w:tcW w:w="142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免费样件数量</w:t>
            </w:r>
          </w:p>
        </w:tc>
        <w:tc>
          <w:tcPr>
            <w:tcW w:w="15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67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ADCU</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样件阶段</w:t>
            </w:r>
          </w:p>
        </w:tc>
        <w:tc>
          <w:tcPr>
            <w:tcW w:w="1710" w:type="dxa"/>
            <w:vMerge w:val="continue"/>
            <w:tcMar>
              <w:top w:type="dxa" w:w="60"/>
              <w:left w:type="dxa" w:w="120"/>
              <w:bottom w:type="dxa" w:w="30"/>
              <w:right w:type="dxa" w:w="120"/>
            </w:tcMar>
          </w:tcPr>
          <w:p>
            <w:pPr>
              <w:spacing w:before="120" w:after="120" w:line="288" w:lineRule="auto"/>
              <w:ind w:left="0"/>
              <w:jc w:val="center"/>
            </w:pPr>
          </w:p>
        </w:tc>
        <w:tc>
          <w:tcPr>
            <w:tcW w:w="1425" w:type="dxa"/>
            <w:vMerge w:val="continue"/>
            <w:tcMar>
              <w:top w:type="dxa" w:w="60"/>
              <w:left w:type="dxa" w:w="120"/>
              <w:bottom w:type="dxa" w:w="30"/>
              <w:right w:type="dxa" w:w="120"/>
            </w:tcMar>
          </w:tcPr>
          <w:p>
            <w:pPr>
              <w:spacing w:before="120" w:after="120" w:line="288" w:lineRule="auto"/>
              <w:ind w:left="0"/>
              <w:jc w:val="center"/>
            </w:pPr>
          </w:p>
        </w:tc>
        <w:tc>
          <w:tcPr>
            <w:tcW w:w="1575" w:type="dxa"/>
            <w:vMerge w:val="continue"/>
            <w:tcMar>
              <w:top w:type="dxa" w:w="60"/>
              <w:left w:type="dxa" w:w="120"/>
              <w:bottom w:type="dxa" w:w="30"/>
              <w:right w:type="dxa" w:w="120"/>
            </w:tcMar>
          </w:tcPr>
          <w:p>
            <w:pPr>
              <w:spacing w:before="120" w:after="120" w:line="288" w:lineRule="auto"/>
              <w:ind w:left="0"/>
              <w:jc w:val="center"/>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8650+底板+外壳</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665" w:type="dxa"/>
            <w:vMerge w:val="continue"/>
            <w:tcMar>
              <w:top w:type="dxa" w:w="60"/>
              <w:left w:type="dxa" w:w="120"/>
              <w:bottom w:type="dxa" w:w="30"/>
              <w:right w:type="dxa" w:w="120"/>
            </w:tcMar>
          </w:tcPr>
          <w:p>
            <w:pPr>
              <w:spacing w:before="120" w:after="120" w:line="288" w:lineRule="auto"/>
              <w:ind w:left="0"/>
              <w:jc w:val="center"/>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665" w:type="dxa"/>
            <w:vMerge w:val="continue"/>
            <w:tcMar>
              <w:top w:type="dxa" w:w="60"/>
              <w:left w:type="dxa" w:w="120"/>
              <w:bottom w:type="dxa" w:w="30"/>
              <w:right w:type="dxa" w:w="120"/>
            </w:tcMar>
          </w:tcPr>
          <w:p>
            <w:pPr>
              <w:spacing w:before="120" w:after="120" w:line="288" w:lineRule="auto"/>
              <w:ind w:left="0"/>
              <w:jc w:val="center"/>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SOP样件</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X7 SIP+底板+外壳</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SOP样件</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48" w:id="48"/>
      <w:r>
        <w:rPr>
          <w:rFonts w:eastAsia="等线" w:ascii="Arial" w:cs="Arial" w:hAnsi="Arial"/>
          <w:color w:val="3370ff"/>
          <w:sz w:val="36"/>
        </w:rPr>
        <w:t xml:space="preserve">8. </w:t>
      </w:r>
      <w:r>
        <w:rPr>
          <w:rFonts w:eastAsia="等线" w:ascii="Arial" w:cs="Arial" w:hAnsi="Arial"/>
          <w:b w:val="true"/>
          <w:sz w:val="36"/>
        </w:rPr>
        <w:t>Change History</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1305"/>
        <w:gridCol w:w="1005"/>
        <w:gridCol w:w="5070"/>
      </w:tblGrid>
      <w:tr>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版本</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作者</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日期</w:t>
            </w:r>
          </w:p>
        </w:tc>
        <w:tc>
          <w:tcPr>
            <w:tcW w:w="5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变更履历</w:t>
            </w:r>
          </w:p>
        </w:tc>
      </w:tr>
      <w:tr>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V0.1</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Searay Qi</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2025.04.07</w:t>
            </w:r>
          </w:p>
        </w:tc>
        <w:tc>
          <w:tcPr>
            <w:tcW w:w="5070" w:type="dxa"/>
            <w:tcMar>
              <w:top w:type="dxa" w:w="60"/>
              <w:left w:type="dxa" w:w="120"/>
              <w:bottom w:type="dxa" w:w="30"/>
              <w:right w:type="dxa" w:w="120"/>
            </w:tcMar>
          </w:tcPr>
          <w:p>
            <w:pPr>
              <w:numPr>
                <w:numId w:val="80"/>
              </w:numPr>
              <w:spacing w:before="120" w:after="120" w:line="288" w:lineRule="auto"/>
              <w:ind w:left="0"/>
              <w:jc w:val="left"/>
            </w:pPr>
            <w:r>
              <w:rPr>
                <w:rFonts w:eastAsia="等线" w:ascii="Arial" w:cs="Arial" w:hAnsi="Arial"/>
                <w:sz w:val="22"/>
              </w:rPr>
              <w:t>初始创建</w:t>
            </w:r>
          </w:p>
        </w:tc>
      </w:tr>
      <w:tr>
        <w:tc>
          <w:tcPr>
            <w:tcW w:w="90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5070"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5070"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507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3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332638">
    <w:lvl>
      <w:start w:val="1"/>
      <w:numFmt w:val="decimal"/>
      <w:suff w:val="tab"/>
      <w:lvlText w:val="%1."/>
      <w:rPr>
        <w:color w:val="3370ff"/>
      </w:rPr>
    </w:lvl>
  </w:abstractNum>
  <w:abstractNum w:abstractNumId="332639">
    <w:lvl>
      <w:start w:val="2"/>
      <w:numFmt w:val="decimal"/>
      <w:suff w:val="tab"/>
      <w:lvlText w:val="%1."/>
      <w:rPr>
        <w:color w:val="3370ff"/>
      </w:rPr>
    </w:lvl>
  </w:abstractNum>
  <w:abstractNum w:abstractNumId="332640">
    <w:lvl>
      <w:start w:val="3"/>
      <w:numFmt w:val="decimal"/>
      <w:suff w:val="tab"/>
      <w:lvlText w:val="%1."/>
      <w:rPr>
        <w:color w:val="3370ff"/>
      </w:rPr>
    </w:lvl>
  </w:abstractNum>
  <w:abstractNum w:abstractNumId="332641">
    <w:lvl>
      <w:numFmt w:val="bullet"/>
      <w:suff w:val="tab"/>
      <w:lvlText w:val="•"/>
      <w:rPr>
        <w:color w:val="3370ff"/>
      </w:rPr>
    </w:lvl>
  </w:abstractNum>
  <w:abstractNum w:abstractNumId="332642">
    <w:lvl>
      <w:numFmt w:val="bullet"/>
      <w:suff w:val="tab"/>
      <w:lvlText w:val="•"/>
      <w:rPr>
        <w:color w:val="3370ff"/>
      </w:rPr>
    </w:lvl>
  </w:abstractNum>
  <w:abstractNum w:abstractNumId="332643">
    <w:lvl>
      <w:numFmt w:val="bullet"/>
      <w:suff w:val="tab"/>
      <w:lvlText w:val="￮"/>
      <w:rPr>
        <w:color w:val="3370ff"/>
      </w:rPr>
    </w:lvl>
  </w:abstractNum>
  <w:abstractNum w:abstractNumId="332644">
    <w:lvl>
      <w:numFmt w:val="bullet"/>
      <w:suff w:val="tab"/>
      <w:lvlText w:val="￮"/>
      <w:rPr>
        <w:color w:val="3370ff"/>
      </w:rPr>
    </w:lvl>
  </w:abstractNum>
  <w:abstractNum w:abstractNumId="332645">
    <w:lvl>
      <w:numFmt w:val="bullet"/>
      <w:suff w:val="tab"/>
      <w:lvlText w:val="￮"/>
      <w:rPr>
        <w:color w:val="3370ff"/>
      </w:rPr>
    </w:lvl>
  </w:abstractNum>
  <w:abstractNum w:abstractNumId="332646">
    <w:lvl>
      <w:numFmt w:val="bullet"/>
      <w:suff w:val="tab"/>
      <w:lvlText w:val="￮"/>
      <w:rPr>
        <w:color w:val="3370ff"/>
      </w:rPr>
    </w:lvl>
  </w:abstractNum>
  <w:abstractNum w:abstractNumId="332647">
    <w:lvl>
      <w:numFmt w:val="bullet"/>
      <w:suff w:val="tab"/>
      <w:lvlText w:val="￮"/>
      <w:rPr>
        <w:color w:val="3370ff"/>
      </w:rPr>
    </w:lvl>
  </w:abstractNum>
  <w:abstractNum w:abstractNumId="332648">
    <w:lvl>
      <w:numFmt w:val="bullet"/>
      <w:suff w:val="tab"/>
      <w:lvlText w:val="￮"/>
      <w:rPr>
        <w:color w:val="3370ff"/>
      </w:rPr>
    </w:lvl>
  </w:abstractNum>
  <w:abstractNum w:abstractNumId="332649">
    <w:lvl>
      <w:numFmt w:val="bullet"/>
      <w:suff w:val="tab"/>
      <w:lvlText w:val="￮"/>
      <w:rPr>
        <w:color w:val="3370ff"/>
      </w:rPr>
    </w:lvl>
  </w:abstractNum>
  <w:abstractNum w:abstractNumId="332650">
    <w:lvl>
      <w:numFmt w:val="bullet"/>
      <w:suff w:val="tab"/>
      <w:lvlText w:val="￮"/>
      <w:rPr>
        <w:color w:val="3370ff"/>
      </w:rPr>
    </w:lvl>
  </w:abstractNum>
  <w:abstractNum w:abstractNumId="332651">
    <w:lvl>
      <w:numFmt w:val="bullet"/>
      <w:suff w:val="tab"/>
      <w:lvlText w:val="￮"/>
      <w:rPr>
        <w:color w:val="3370ff"/>
      </w:rPr>
    </w:lvl>
  </w:abstractNum>
  <w:abstractNum w:abstractNumId="332652">
    <w:lvl>
      <w:numFmt w:val="bullet"/>
      <w:suff w:val="tab"/>
      <w:lvlText w:val="￮"/>
      <w:rPr>
        <w:color w:val="3370ff"/>
      </w:rPr>
    </w:lvl>
  </w:abstractNum>
  <w:abstractNum w:abstractNumId="332653">
    <w:lvl>
      <w:numFmt w:val="bullet"/>
      <w:suff w:val="tab"/>
      <w:lvlText w:val="￮"/>
      <w:rPr>
        <w:color w:val="3370ff"/>
      </w:rPr>
    </w:lvl>
  </w:abstractNum>
  <w:abstractNum w:abstractNumId="332654">
    <w:lvl>
      <w:numFmt w:val="bullet"/>
      <w:suff w:val="tab"/>
      <w:lvlText w:val="￮"/>
      <w:rPr>
        <w:color w:val="3370ff"/>
      </w:rPr>
    </w:lvl>
  </w:abstractNum>
  <w:abstractNum w:abstractNumId="332655">
    <w:lvl>
      <w:numFmt w:val="bullet"/>
      <w:suff w:val="tab"/>
      <w:lvlText w:val="￮"/>
      <w:rPr>
        <w:color w:val="3370ff"/>
      </w:rPr>
    </w:lvl>
  </w:abstractNum>
  <w:abstractNum w:abstractNumId="332656">
    <w:lvl>
      <w:numFmt w:val="bullet"/>
      <w:suff w:val="tab"/>
      <w:lvlText w:val="￮"/>
      <w:rPr>
        <w:color w:val="3370ff"/>
      </w:rPr>
    </w:lvl>
  </w:abstractNum>
  <w:abstractNum w:abstractNumId="332657">
    <w:lvl>
      <w:numFmt w:val="bullet"/>
      <w:suff w:val="tab"/>
      <w:lvlText w:val="￮"/>
      <w:rPr>
        <w:color w:val="3370ff"/>
      </w:rPr>
    </w:lvl>
  </w:abstractNum>
  <w:abstractNum w:abstractNumId="332658">
    <w:lvl>
      <w:numFmt w:val="bullet"/>
      <w:suff w:val="tab"/>
      <w:lvlText w:val="￮"/>
      <w:rPr>
        <w:color w:val="3370ff"/>
      </w:rPr>
    </w:lvl>
  </w:abstractNum>
  <w:abstractNum w:abstractNumId="332659">
    <w:lvl>
      <w:numFmt w:val="bullet"/>
      <w:suff w:val="tab"/>
      <w:lvlText w:val="￮"/>
      <w:rPr>
        <w:color w:val="3370ff"/>
      </w:rPr>
    </w:lvl>
  </w:abstractNum>
  <w:abstractNum w:abstractNumId="332660">
    <w:lvl>
      <w:numFmt w:val="bullet"/>
      <w:suff w:val="tab"/>
      <w:lvlText w:val="￮"/>
      <w:rPr>
        <w:color w:val="3370ff"/>
      </w:rPr>
    </w:lvl>
  </w:abstractNum>
  <w:abstractNum w:abstractNumId="332661">
    <w:lvl>
      <w:numFmt w:val="bullet"/>
      <w:suff w:val="tab"/>
      <w:lvlText w:val="￮"/>
      <w:rPr>
        <w:color w:val="3370ff"/>
      </w:rPr>
    </w:lvl>
  </w:abstractNum>
  <w:abstractNum w:abstractNumId="332662">
    <w:lvl>
      <w:numFmt w:val="bullet"/>
      <w:suff w:val="tab"/>
      <w:lvlText w:val="￮"/>
      <w:rPr>
        <w:color w:val="3370ff"/>
      </w:rPr>
    </w:lvl>
  </w:abstractNum>
  <w:abstractNum w:abstractNumId="332663">
    <w:lvl>
      <w:numFmt w:val="bullet"/>
      <w:suff w:val="tab"/>
      <w:lvlText w:val="￮"/>
      <w:rPr>
        <w:color w:val="3370ff"/>
      </w:rPr>
    </w:lvl>
  </w:abstractNum>
  <w:abstractNum w:abstractNumId="332664">
    <w:lvl>
      <w:numFmt w:val="bullet"/>
      <w:suff w:val="tab"/>
      <w:lvlText w:val="￮"/>
      <w:rPr>
        <w:color w:val="3370ff"/>
      </w:rPr>
    </w:lvl>
  </w:abstractNum>
  <w:abstractNum w:abstractNumId="332665">
    <w:lvl>
      <w:numFmt w:val="bullet"/>
      <w:suff w:val="tab"/>
      <w:lvlText w:val="￮"/>
      <w:rPr>
        <w:color w:val="3370ff"/>
      </w:rPr>
    </w:lvl>
  </w:abstractNum>
  <w:abstractNum w:abstractNumId="332666">
    <w:lvl>
      <w:numFmt w:val="bullet"/>
      <w:suff w:val="tab"/>
      <w:lvlText w:val="￮"/>
      <w:rPr>
        <w:color w:val="3370ff"/>
      </w:rPr>
    </w:lvl>
  </w:abstractNum>
  <w:abstractNum w:abstractNumId="332667">
    <w:lvl>
      <w:numFmt w:val="bullet"/>
      <w:suff w:val="tab"/>
      <w:lvlText w:val="￮"/>
      <w:rPr>
        <w:color w:val="3370ff"/>
      </w:rPr>
    </w:lvl>
  </w:abstractNum>
  <w:abstractNum w:abstractNumId="332668">
    <w:lvl>
      <w:numFmt w:val="bullet"/>
      <w:suff w:val="tab"/>
      <w:lvlText w:val="￮"/>
      <w:rPr>
        <w:color w:val="3370ff"/>
      </w:rPr>
    </w:lvl>
  </w:abstractNum>
  <w:abstractNum w:abstractNumId="332669">
    <w:lvl>
      <w:numFmt w:val="bullet"/>
      <w:suff w:val="tab"/>
      <w:lvlText w:val="￮"/>
      <w:rPr>
        <w:color w:val="3370ff"/>
      </w:rPr>
    </w:lvl>
  </w:abstractNum>
  <w:abstractNum w:abstractNumId="332670">
    <w:lvl>
      <w:numFmt w:val="bullet"/>
      <w:suff w:val="tab"/>
      <w:lvlText w:val="￮"/>
      <w:rPr>
        <w:color w:val="3370ff"/>
      </w:rPr>
    </w:lvl>
  </w:abstractNum>
  <w:abstractNum w:abstractNumId="332671">
    <w:lvl>
      <w:numFmt w:val="bullet"/>
      <w:suff w:val="tab"/>
      <w:lvlText w:val="￮"/>
      <w:rPr>
        <w:color w:val="3370ff"/>
      </w:rPr>
    </w:lvl>
  </w:abstractNum>
  <w:abstractNum w:abstractNumId="332672">
    <w:lvl>
      <w:numFmt w:val="bullet"/>
      <w:suff w:val="tab"/>
      <w:lvlText w:val="￮"/>
      <w:rPr>
        <w:color w:val="3370ff"/>
      </w:rPr>
    </w:lvl>
  </w:abstractNum>
  <w:abstractNum w:abstractNumId="332673">
    <w:lvl>
      <w:numFmt w:val="bullet"/>
      <w:suff w:val="tab"/>
      <w:lvlText w:val="￮"/>
      <w:rPr>
        <w:color w:val="3370ff"/>
      </w:rPr>
    </w:lvl>
  </w:abstractNum>
  <w:abstractNum w:abstractNumId="332674">
    <w:lvl>
      <w:numFmt w:val="bullet"/>
      <w:suff w:val="tab"/>
      <w:lvlText w:val="￮"/>
      <w:rPr>
        <w:color w:val="3370ff"/>
      </w:rPr>
    </w:lvl>
  </w:abstractNum>
  <w:abstractNum w:abstractNumId="332675">
    <w:lvl>
      <w:numFmt w:val="bullet"/>
      <w:suff w:val="tab"/>
      <w:lvlText w:val="￮"/>
      <w:rPr>
        <w:color w:val="3370ff"/>
      </w:rPr>
    </w:lvl>
  </w:abstractNum>
  <w:abstractNum w:abstractNumId="332676">
    <w:lvl>
      <w:numFmt w:val="bullet"/>
      <w:suff w:val="tab"/>
      <w:lvlText w:val="￮"/>
      <w:rPr>
        <w:color w:val="3370ff"/>
      </w:rPr>
    </w:lvl>
  </w:abstractNum>
  <w:abstractNum w:abstractNumId="332677">
    <w:lvl>
      <w:numFmt w:val="bullet"/>
      <w:suff w:val="tab"/>
      <w:lvlText w:val="￮"/>
      <w:rPr>
        <w:color w:val="3370ff"/>
      </w:rPr>
    </w:lvl>
  </w:abstractNum>
  <w:abstractNum w:abstractNumId="332678">
    <w:lvl>
      <w:start w:val="1"/>
      <w:numFmt w:val="lowerRoman"/>
      <w:suff w:val="tab"/>
      <w:lvlText w:val="%1."/>
      <w:rPr>
        <w:color w:val="3370ff"/>
      </w:rPr>
    </w:lvl>
  </w:abstractNum>
  <w:abstractNum w:abstractNumId="332679">
    <w:lvl>
      <w:start w:val="2"/>
      <w:numFmt w:val="lowerRoman"/>
      <w:suff w:val="tab"/>
      <w:lvlText w:val="%1."/>
      <w:rPr>
        <w:color w:val="3370ff"/>
      </w:rPr>
    </w:lvl>
  </w:abstractNum>
  <w:abstractNum w:abstractNumId="332680">
    <w:lvl>
      <w:start w:val="3"/>
      <w:numFmt w:val="lowerRoman"/>
      <w:suff w:val="tab"/>
      <w:lvlText w:val="%1."/>
      <w:rPr>
        <w:color w:val="3370ff"/>
      </w:rPr>
    </w:lvl>
  </w:abstractNum>
  <w:abstractNum w:abstractNumId="332681">
    <w:lvl>
      <w:start w:val="4"/>
      <w:numFmt w:val="lowerRoman"/>
      <w:suff w:val="tab"/>
      <w:lvlText w:val="%1."/>
      <w:rPr>
        <w:color w:val="3370ff"/>
      </w:rPr>
    </w:lvl>
  </w:abstractNum>
  <w:abstractNum w:abstractNumId="332682">
    <w:lvl>
      <w:start w:val="5"/>
      <w:numFmt w:val="lowerRoman"/>
      <w:suff w:val="tab"/>
      <w:lvlText w:val="%1."/>
      <w:rPr>
        <w:color w:val="3370ff"/>
      </w:rPr>
    </w:lvl>
  </w:abstractNum>
  <w:abstractNum w:abstractNumId="332683">
    <w:lvl>
      <w:start w:val="6"/>
      <w:numFmt w:val="lowerRoman"/>
      <w:suff w:val="tab"/>
      <w:lvlText w:val="%1."/>
      <w:rPr>
        <w:color w:val="3370ff"/>
      </w:rPr>
    </w:lvl>
  </w:abstractNum>
  <w:abstractNum w:abstractNumId="332684">
    <w:lvl>
      <w:numFmt w:val="bullet"/>
      <w:suff w:val="tab"/>
      <w:lvlText w:val="￮"/>
      <w:rPr>
        <w:color w:val="3370ff"/>
      </w:rPr>
    </w:lvl>
  </w:abstractNum>
  <w:abstractNum w:abstractNumId="332685">
    <w:lvl>
      <w:numFmt w:val="bullet"/>
      <w:suff w:val="tab"/>
      <w:lvlText w:val="￮"/>
      <w:rPr>
        <w:color w:val="3370ff"/>
      </w:rPr>
    </w:lvl>
  </w:abstractNum>
  <w:abstractNum w:abstractNumId="332686">
    <w:lvl>
      <w:numFmt w:val="bullet"/>
      <w:suff w:val="tab"/>
      <w:lvlText w:val="￮"/>
      <w:rPr>
        <w:color w:val="3370ff"/>
      </w:rPr>
    </w:lvl>
  </w:abstractNum>
  <w:abstractNum w:abstractNumId="332687">
    <w:lvl>
      <w:numFmt w:val="bullet"/>
      <w:suff w:val="tab"/>
      <w:lvlText w:val="￮"/>
      <w:rPr>
        <w:color w:val="3370ff"/>
      </w:rPr>
    </w:lvl>
  </w:abstractNum>
  <w:abstractNum w:abstractNumId="332688">
    <w:lvl>
      <w:numFmt w:val="bullet"/>
      <w:suff w:val="tab"/>
      <w:lvlText w:val="￮"/>
      <w:rPr>
        <w:color w:val="3370ff"/>
      </w:rPr>
    </w:lvl>
  </w:abstractNum>
  <w:abstractNum w:abstractNumId="332689">
    <w:lvl>
      <w:numFmt w:val="bullet"/>
      <w:suff w:val="tab"/>
      <w:lvlText w:val="￮"/>
      <w:rPr>
        <w:color w:val="3370ff"/>
      </w:rPr>
    </w:lvl>
  </w:abstractNum>
  <w:abstractNum w:abstractNumId="332690">
    <w:lvl>
      <w:numFmt w:val="bullet"/>
      <w:suff w:val="tab"/>
      <w:lvlText w:val="￮"/>
      <w:rPr>
        <w:color w:val="3370ff"/>
      </w:rPr>
    </w:lvl>
  </w:abstractNum>
  <w:abstractNum w:abstractNumId="332691">
    <w:lvl>
      <w:numFmt w:val="bullet"/>
      <w:suff w:val="tab"/>
      <w:lvlText w:val="￮"/>
      <w:rPr>
        <w:color w:val="3370ff"/>
      </w:rPr>
    </w:lvl>
  </w:abstractNum>
  <w:abstractNum w:abstractNumId="332692">
    <w:lvl>
      <w:numFmt w:val="bullet"/>
      <w:suff w:val="tab"/>
      <w:lvlText w:val="￮"/>
      <w:rPr>
        <w:color w:val="3370ff"/>
      </w:rPr>
    </w:lvl>
  </w:abstractNum>
  <w:abstractNum w:abstractNumId="332693">
    <w:lvl>
      <w:numFmt w:val="bullet"/>
      <w:suff w:val="tab"/>
      <w:lvlText w:val="￮"/>
      <w:rPr>
        <w:color w:val="3370ff"/>
      </w:rPr>
    </w:lvl>
  </w:abstractNum>
  <w:abstractNum w:abstractNumId="332694">
    <w:lvl>
      <w:numFmt w:val="bullet"/>
      <w:suff w:val="tab"/>
      <w:lvlText w:val="￮"/>
      <w:rPr>
        <w:color w:val="3370ff"/>
      </w:rPr>
    </w:lvl>
  </w:abstractNum>
  <w:abstractNum w:abstractNumId="332695">
    <w:lvl>
      <w:numFmt w:val="bullet"/>
      <w:suff w:val="tab"/>
      <w:lvlText w:val="￮"/>
      <w:rPr>
        <w:color w:val="3370ff"/>
      </w:rPr>
    </w:lvl>
  </w:abstractNum>
  <w:abstractNum w:abstractNumId="332696">
    <w:lvl>
      <w:numFmt w:val="bullet"/>
      <w:suff w:val="tab"/>
      <w:lvlText w:val="￮"/>
      <w:rPr>
        <w:color w:val="3370ff"/>
      </w:rPr>
    </w:lvl>
  </w:abstractNum>
  <w:abstractNum w:abstractNumId="332697">
    <w:lvl>
      <w:numFmt w:val="bullet"/>
      <w:suff w:val="tab"/>
      <w:lvlText w:val="￮"/>
      <w:rPr>
        <w:color w:val="3370ff"/>
      </w:rPr>
    </w:lvl>
  </w:abstractNum>
  <w:abstractNum w:abstractNumId="332698">
    <w:lvl>
      <w:numFmt w:val="bullet"/>
      <w:suff w:val="tab"/>
      <w:lvlText w:val="￮"/>
      <w:rPr>
        <w:color w:val="3370ff"/>
      </w:rPr>
    </w:lvl>
  </w:abstractNum>
  <w:abstractNum w:abstractNumId="332699">
    <w:lvl>
      <w:numFmt w:val="bullet"/>
      <w:suff w:val="tab"/>
      <w:lvlText w:val="￮"/>
      <w:rPr>
        <w:color w:val="3370ff"/>
      </w:rPr>
    </w:lvl>
  </w:abstractNum>
  <w:abstractNum w:abstractNumId="332700">
    <w:lvl>
      <w:numFmt w:val="bullet"/>
      <w:suff w:val="tab"/>
      <w:lvlText w:val="￮"/>
      <w:rPr>
        <w:color w:val="3370ff"/>
      </w:rPr>
    </w:lvl>
  </w:abstractNum>
  <w:abstractNum w:abstractNumId="332701">
    <w:lvl>
      <w:numFmt w:val="bullet"/>
      <w:suff w:val="tab"/>
      <w:lvlText w:val="￮"/>
      <w:rPr>
        <w:color w:val="3370ff"/>
      </w:rPr>
    </w:lvl>
  </w:abstractNum>
  <w:abstractNum w:abstractNumId="332702">
    <w:lvl>
      <w:numFmt w:val="bullet"/>
      <w:suff w:val="tab"/>
      <w:lvlText w:val="￮"/>
      <w:rPr>
        <w:color w:val="3370ff"/>
      </w:rPr>
    </w:lvl>
  </w:abstractNum>
  <w:abstractNum w:abstractNumId="332703">
    <w:lvl>
      <w:numFmt w:val="bullet"/>
      <w:suff w:val="tab"/>
      <w:lvlText w:val="￮"/>
      <w:rPr>
        <w:color w:val="3370ff"/>
      </w:rPr>
    </w:lvl>
  </w:abstractNum>
  <w:abstractNum w:abstractNumId="332704">
    <w:lvl>
      <w:numFmt w:val="bullet"/>
      <w:suff w:val="tab"/>
      <w:lvlText w:val="￮"/>
      <w:rPr>
        <w:color w:val="3370ff"/>
      </w:rPr>
    </w:lvl>
  </w:abstractNum>
  <w:abstractNum w:abstractNumId="332705">
    <w:lvl>
      <w:numFmt w:val="bullet"/>
      <w:suff w:val="tab"/>
      <w:lvlText w:val="￮"/>
      <w:rPr>
        <w:color w:val="3370ff"/>
      </w:rPr>
    </w:lvl>
  </w:abstractNum>
  <w:abstractNum w:abstractNumId="332706">
    <w:lvl>
      <w:numFmt w:val="bullet"/>
      <w:suff w:val="tab"/>
      <w:lvlText w:val="￮"/>
      <w:rPr>
        <w:color w:val="3370ff"/>
      </w:rPr>
    </w:lvl>
  </w:abstractNum>
  <w:abstractNum w:abstractNumId="332707">
    <w:lvl>
      <w:numFmt w:val="bullet"/>
      <w:suff w:val="tab"/>
      <w:lvlText w:val="￮"/>
      <w:rPr>
        <w:color w:val="3370ff"/>
      </w:rPr>
    </w:lvl>
  </w:abstractNum>
  <w:abstractNum w:abstractNumId="332708">
    <w:lvl>
      <w:numFmt w:val="bullet"/>
      <w:suff w:val="tab"/>
      <w:lvlText w:val="￮"/>
      <w:rPr>
        <w:color w:val="3370ff"/>
      </w:rPr>
    </w:lvl>
  </w:abstractNum>
  <w:abstractNum w:abstractNumId="332709">
    <w:lvl>
      <w:numFmt w:val="bullet"/>
      <w:suff w:val="tab"/>
      <w:lvlText w:val="￮"/>
      <w:rPr>
        <w:color w:val="3370ff"/>
      </w:rPr>
    </w:lvl>
  </w:abstractNum>
  <w:abstractNum w:abstractNumId="332710">
    <w:lvl>
      <w:numFmt w:val="bullet"/>
      <w:suff w:val="tab"/>
      <w:lvlText w:val="￮"/>
      <w:rPr>
        <w:color w:val="3370ff"/>
      </w:rPr>
    </w:lvl>
  </w:abstractNum>
  <w:abstractNum w:abstractNumId="332711">
    <w:lvl>
      <w:numFmt w:val="bullet"/>
      <w:suff w:val="tab"/>
      <w:lvlText w:val="￮"/>
      <w:rPr>
        <w:color w:val="3370ff"/>
      </w:rPr>
    </w:lvl>
  </w:abstractNum>
  <w:abstractNum w:abstractNumId="332712">
    <w:lvl>
      <w:numFmt w:val="bullet"/>
      <w:suff w:val="tab"/>
      <w:lvlText w:val="￮"/>
      <w:rPr>
        <w:color w:val="3370ff"/>
      </w:rPr>
    </w:lvl>
  </w:abstractNum>
  <w:abstractNum w:abstractNumId="332713">
    <w:lvl>
      <w:numFmt w:val="bullet"/>
      <w:suff w:val="tab"/>
      <w:lvlText w:val="￮"/>
      <w:rPr>
        <w:color w:val="3370ff"/>
      </w:rPr>
    </w:lvl>
  </w:abstractNum>
  <w:abstractNum w:abstractNumId="332714">
    <w:lvl>
      <w:numFmt w:val="bullet"/>
      <w:suff w:val="tab"/>
      <w:lvlText w:val="￮"/>
      <w:rPr>
        <w:color w:val="3370ff"/>
      </w:rPr>
    </w:lvl>
  </w:abstractNum>
  <w:abstractNum w:abstractNumId="332715">
    <w:lvl>
      <w:numFmt w:val="bullet"/>
      <w:suff w:val="tab"/>
      <w:lvlText w:val="￮"/>
      <w:rPr>
        <w:color w:val="3370ff"/>
      </w:rPr>
    </w:lvl>
  </w:abstractNum>
  <w:abstractNum w:abstractNumId="332716">
    <w:lvl>
      <w:numFmt w:val="bullet"/>
      <w:suff w:val="tab"/>
      <w:lvlText w:val="￮"/>
      <w:rPr>
        <w:color w:val="3370ff"/>
      </w:rPr>
    </w:lvl>
  </w:abstractNum>
  <w:abstractNum w:abstractNumId="332717">
    <w:lvl>
      <w:start w:val="1"/>
      <w:numFmt w:val="decimal"/>
      <w:suff w:val="tab"/>
      <w:lvlText w:val="%1."/>
      <w:rPr>
        <w:color w:val="3370ff"/>
      </w:rPr>
    </w:lvl>
  </w:abstractNum>
  <w:num w:numId="1">
    <w:abstractNumId w:val="332638"/>
  </w:num>
  <w:num w:numId="2">
    <w:abstractNumId w:val="332639"/>
  </w:num>
  <w:num w:numId="3">
    <w:abstractNumId w:val="332640"/>
  </w:num>
  <w:num w:numId="4">
    <w:abstractNumId w:val="332641"/>
  </w:num>
  <w:num w:numId="5">
    <w:abstractNumId w:val="332642"/>
  </w:num>
  <w:num w:numId="6">
    <w:abstractNumId w:val="332643"/>
  </w:num>
  <w:num w:numId="7">
    <w:abstractNumId w:val="332644"/>
  </w:num>
  <w:num w:numId="8">
    <w:abstractNumId w:val="332645"/>
  </w:num>
  <w:num w:numId="9">
    <w:abstractNumId w:val="332646"/>
  </w:num>
  <w:num w:numId="10">
    <w:abstractNumId w:val="332647"/>
  </w:num>
  <w:num w:numId="11">
    <w:abstractNumId w:val="332648"/>
  </w:num>
  <w:num w:numId="12">
    <w:abstractNumId w:val="332649"/>
  </w:num>
  <w:num w:numId="13">
    <w:abstractNumId w:val="332650"/>
  </w:num>
  <w:num w:numId="14">
    <w:abstractNumId w:val="332651"/>
  </w:num>
  <w:num w:numId="15">
    <w:abstractNumId w:val="332652"/>
  </w:num>
  <w:num w:numId="16">
    <w:abstractNumId w:val="332653"/>
  </w:num>
  <w:num w:numId="17">
    <w:abstractNumId w:val="332654"/>
  </w:num>
  <w:num w:numId="18">
    <w:abstractNumId w:val="332655"/>
  </w:num>
  <w:num w:numId="19">
    <w:abstractNumId w:val="332656"/>
  </w:num>
  <w:num w:numId="20">
    <w:abstractNumId w:val="332657"/>
  </w:num>
  <w:num w:numId="21">
    <w:abstractNumId w:val="332658"/>
  </w:num>
  <w:num w:numId="22">
    <w:abstractNumId w:val="332659"/>
  </w:num>
  <w:num w:numId="23">
    <w:abstractNumId w:val="332660"/>
  </w:num>
  <w:num w:numId="24">
    <w:abstractNumId w:val="332661"/>
  </w:num>
  <w:num w:numId="25">
    <w:abstractNumId w:val="332662"/>
  </w:num>
  <w:num w:numId="26">
    <w:abstractNumId w:val="332663"/>
  </w:num>
  <w:num w:numId="27">
    <w:abstractNumId w:val="332664"/>
  </w:num>
  <w:num w:numId="28">
    <w:abstractNumId w:val="332665"/>
  </w:num>
  <w:num w:numId="29">
    <w:abstractNumId w:val="332666"/>
  </w:num>
  <w:num w:numId="30">
    <w:abstractNumId w:val="332667"/>
  </w:num>
  <w:num w:numId="31">
    <w:abstractNumId w:val="332668"/>
  </w:num>
  <w:num w:numId="32">
    <w:abstractNumId w:val="332669"/>
  </w:num>
  <w:num w:numId="33">
    <w:abstractNumId w:val="332670"/>
  </w:num>
  <w:num w:numId="34">
    <w:abstractNumId w:val="332671"/>
  </w:num>
  <w:num w:numId="35">
    <w:abstractNumId w:val="332672"/>
  </w:num>
  <w:num w:numId="36">
    <w:abstractNumId w:val="332673"/>
  </w:num>
  <w:num w:numId="37">
    <w:abstractNumId w:val="332674"/>
  </w:num>
  <w:num w:numId="38">
    <w:abstractNumId w:val="332675"/>
  </w:num>
  <w:num w:numId="39">
    <w:abstractNumId w:val="332676"/>
  </w:num>
  <w:num w:numId="40">
    <w:abstractNumId w:val="332677"/>
  </w:num>
  <w:num w:numId="41">
    <w:abstractNumId w:val="332678"/>
  </w:num>
  <w:num w:numId="42">
    <w:abstractNumId w:val="332679"/>
  </w:num>
  <w:num w:numId="43">
    <w:abstractNumId w:val="332680"/>
  </w:num>
  <w:num w:numId="44">
    <w:abstractNumId w:val="332681"/>
  </w:num>
  <w:num w:numId="45">
    <w:abstractNumId w:val="332682"/>
  </w:num>
  <w:num w:numId="46">
    <w:abstractNumId w:val="332683"/>
  </w:num>
  <w:num w:numId="47">
    <w:abstractNumId w:val="332684"/>
  </w:num>
  <w:num w:numId="48">
    <w:abstractNumId w:val="332685"/>
  </w:num>
  <w:num w:numId="49">
    <w:abstractNumId w:val="332686"/>
  </w:num>
  <w:num w:numId="50">
    <w:abstractNumId w:val="332687"/>
  </w:num>
  <w:num w:numId="51">
    <w:abstractNumId w:val="332688"/>
  </w:num>
  <w:num w:numId="52">
    <w:abstractNumId w:val="332689"/>
  </w:num>
  <w:num w:numId="53">
    <w:abstractNumId w:val="332690"/>
  </w:num>
  <w:num w:numId="54">
    <w:abstractNumId w:val="332691"/>
  </w:num>
  <w:num w:numId="55">
    <w:abstractNumId w:val="332692"/>
  </w:num>
  <w:num w:numId="56">
    <w:abstractNumId w:val="332693"/>
  </w:num>
  <w:num w:numId="57">
    <w:abstractNumId w:val="332694"/>
  </w:num>
  <w:num w:numId="58">
    <w:abstractNumId w:val="332695"/>
  </w:num>
  <w:num w:numId="59">
    <w:abstractNumId w:val="332696"/>
  </w:num>
  <w:num w:numId="60">
    <w:abstractNumId w:val="332697"/>
  </w:num>
  <w:num w:numId="61">
    <w:abstractNumId w:val="332698"/>
  </w:num>
  <w:num w:numId="62">
    <w:abstractNumId w:val="332699"/>
  </w:num>
  <w:num w:numId="63">
    <w:abstractNumId w:val="332700"/>
  </w:num>
  <w:num w:numId="64">
    <w:abstractNumId w:val="332701"/>
  </w:num>
  <w:num w:numId="65">
    <w:abstractNumId w:val="332702"/>
  </w:num>
  <w:num w:numId="66">
    <w:abstractNumId w:val="332703"/>
  </w:num>
  <w:num w:numId="67">
    <w:abstractNumId w:val="332704"/>
  </w:num>
  <w:num w:numId="68">
    <w:abstractNumId w:val="332705"/>
  </w:num>
  <w:num w:numId="69">
    <w:abstractNumId w:val="332706"/>
  </w:num>
  <w:num w:numId="70">
    <w:abstractNumId w:val="332707"/>
  </w:num>
  <w:num w:numId="71">
    <w:abstractNumId w:val="332708"/>
  </w:num>
  <w:num w:numId="72">
    <w:abstractNumId w:val="332709"/>
  </w:num>
  <w:num w:numId="73">
    <w:abstractNumId w:val="332710"/>
  </w:num>
  <w:num w:numId="74">
    <w:abstractNumId w:val="332711"/>
  </w:num>
  <w:num w:numId="75">
    <w:abstractNumId w:val="332712"/>
  </w:num>
  <w:num w:numId="76">
    <w:abstractNumId w:val="332713"/>
  </w:num>
  <w:num w:numId="77">
    <w:abstractNumId w:val="332714"/>
  </w:num>
  <w:num w:numId="78">
    <w:abstractNumId w:val="332715"/>
  </w:num>
  <w:num w:numId="79">
    <w:abstractNumId w:val="332716"/>
  </w:num>
  <w:num w:numId="80">
    <w:abstractNumId w:val="33271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media/image5.jpeg" Type="http://schemas.openxmlformats.org/officeDocument/2006/relationships/image"/><Relationship Id="rId12" Target="media/image6.jpeg" Type="http://schemas.openxmlformats.org/officeDocument/2006/relationships/image"/><Relationship Id="rId13" Target="media/image7.jpeg" Type="http://schemas.openxmlformats.org/officeDocument/2006/relationships/image"/><Relationship Id="rId14" Target="embeddings/Microsoft_Excel_Worksheet3.xlsx" Type="http://schemas.openxmlformats.org/officeDocument/2006/relationships/package"/><Relationship Id="rId15" Target="media/image8.png" Type="http://schemas.openxmlformats.org/officeDocument/2006/relationships/image"/><Relationship Id="rId16" Target="media/image9.jpeg" Type="http://schemas.openxmlformats.org/officeDocument/2006/relationships/image"/><Relationship Id="rId17" Target="embeddings/Microsoft_Excel_Worksheet4.xlsx" Type="http://schemas.openxmlformats.org/officeDocument/2006/relationships/package"/><Relationship Id="rId18" Target="media/image10.png" Type="http://schemas.openxmlformats.org/officeDocument/2006/relationships/image"/><Relationship Id="rId19" Target="embeddings/Microsoft_Excel_Worksheet5.xlsx" Type="http://schemas.openxmlformats.org/officeDocument/2006/relationships/package"/><Relationship Id="rId2" Target="styles.xml" Type="http://schemas.openxmlformats.org/officeDocument/2006/relationships/styles"/><Relationship Id="rId20" Target="media/image11.png" Type="http://schemas.openxmlformats.org/officeDocument/2006/relationships/image"/><Relationship Id="rId21" Target="embeddings/Microsoft_Excel_Worksheet6.xlsx" Type="http://schemas.openxmlformats.org/officeDocument/2006/relationships/package"/><Relationship Id="rId22" Target="media/image12.png" Type="http://schemas.openxmlformats.org/officeDocument/2006/relationships/image"/><Relationship Id="rId23" Target="media/image13.png" Type="http://schemas.openxmlformats.org/officeDocument/2006/relationships/image"/><Relationship Id="rId24" Target="https://momenta.feishu.cn/sheets/UMm9sL6VkhPtoxtyKkocUSfpnT5?sheet=1QFhcC" TargetMode="External" Type="http://schemas.openxmlformats.org/officeDocument/2006/relationships/hyperlink"/><Relationship Id="rId25" Target="embeddings/Microsoft_Excel_Worksheet7.xlsx" Type="http://schemas.openxmlformats.org/officeDocument/2006/relationships/package"/><Relationship Id="rId26" Target="media/image14.png" Type="http://schemas.openxmlformats.org/officeDocument/2006/relationships/image"/><Relationship Id="rId27" Target="https://momenta.feishu.cn/wiki/DayTwojkIipBMbkvB1AcALTyncb" TargetMode="External" Type="http://schemas.openxmlformats.org/officeDocument/2006/relationships/hyperlink"/><Relationship Id="rId28" Target="embeddings/Microsoft_Excel_Worksheet8.xlsx" Type="http://schemas.openxmlformats.org/officeDocument/2006/relationships/package"/><Relationship Id="rId29" Target="media/image15.png" Type="http://schemas.openxmlformats.org/officeDocument/2006/relationships/image"/><Relationship Id="rId3" Target="footer1.xml" Type="http://schemas.openxmlformats.org/officeDocument/2006/relationships/footer"/><Relationship Id="rId30" Target="header1.xml" Type="http://schemas.openxmlformats.org/officeDocument/2006/relationships/head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embeddings/Microsoft_Excel_Worksheet1.xlsx" Type="http://schemas.openxmlformats.org/officeDocument/2006/relationships/package"/><Relationship Id="rId8" Target="media/image3.png" Type="http://schemas.openxmlformats.org/officeDocument/2006/relationships/image"/><Relationship Id="rId9" Target="embeddings/Microsoft_Excel_Worksheet2.xlsx" Type="http://schemas.openxmlformats.org/officeDocument/2006/relationships/package"/></Relationships>
</file>

<file path=word/_rels/header1.xml.rels><?xml version="1.0" encoding="UTF-8" standalone="yes"?><Relationships xmlns="http://schemas.openxmlformats.org/package/2006/relationships"><Relationship Id="rId1" Target="media/image1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2026-04-03T03:10:30Z</dcterms:created>
  <dc:creator>Apache POI</dc:creator>
</cp:coreProperties>
</file>