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BMC自动驾驶域控制_</w:t>
      </w:r>
      <w:r>
        <w:rPr>
          <w:rFonts w:eastAsia="等线" w:ascii="Arial" w:cs="Arial" w:hAnsi="Arial"/>
          <w:b w:val="true"/>
          <w:sz w:val="52"/>
        </w:rPr>
        <w:t>RoboVan</w:t>
      </w:r>
      <w:r>
        <w:rPr>
          <w:rFonts w:eastAsia="等线" w:ascii="Arial" w:cs="Arial" w:hAnsi="Arial"/>
          <w:b w:val="true"/>
          <w:sz w:val="52"/>
        </w:rPr>
        <w:t>_SOW_V1.</w:t>
      </w:r>
      <w:r>
        <w:rPr>
          <w:rFonts w:eastAsia="等线" w:ascii="Arial" w:cs="Arial" w:hAnsi="Arial"/>
          <w:b w:val="true"/>
          <w:sz w:val="52"/>
        </w:rPr>
        <w:t>1</w:t>
      </w:r>
      <w:r>
        <w:rPr>
          <w:rFonts w:eastAsia="等线" w:ascii="Arial" w:cs="Arial" w:hAnsi="Arial"/>
          <w:b w:val="true"/>
          <w:sz w:val="52"/>
        </w:rPr>
        <w:t xml:space="preserve"> </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rPr>
        <w:t xml:space="preserve">Momenta </w:t>
      </w:r>
      <w:r>
        <w:rPr>
          <w:rFonts w:eastAsia="等线" w:ascii="Arial" w:cs="Arial" w:hAnsi="Arial"/>
          <w:sz w:val="22"/>
        </w:rPr>
        <w:t>RoboVan</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r>
        <w:rPr>
          <w:rFonts w:eastAsia="等线" w:ascii="Arial" w:cs="Arial" w:hAnsi="Arial"/>
          <w:sz w:val="22"/>
        </w:rPr>
        <w:t>RoboVan</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p>
      <w:pPr>
        <w:spacing w:before="120" w:after="120" w:line="288" w:lineRule="auto"/>
        <w:ind w:left="453"/>
        <w:jc w:val="left"/>
      </w:pPr>
      <w:r>
        <w:rPr>
          <w:rFonts w:eastAsia="等线" w:ascii="Arial" w:cs="Arial" w:hAnsi="Arial"/>
          <w:sz w:val="22"/>
        </w:rPr>
        <w:t>RoboVan</w:t>
      </w:r>
      <w:r>
        <w:rPr>
          <w:rFonts w:eastAsia="等线" w:ascii="Arial" w:cs="Arial" w:hAnsi="Arial"/>
          <w:sz w:val="22"/>
        </w:rPr>
        <w:t>的量纲：</w:t>
      </w:r>
    </w:p>
    <w:p>
      <w:pPr>
        <w:spacing w:before="120" w:after="120" w:line="288" w:lineRule="auto"/>
        <w:ind w:left="453"/>
        <w:jc w:val="left"/>
      </w:pPr>
      <w:r>
        <w:rPr>
          <w:rFonts w:eastAsia="等线" w:ascii="Arial" w:cs="Arial" w:hAnsi="Arial"/>
          <w:sz w:val="22"/>
        </w:rPr>
        <w:t>2026年，计划需求10K；</w:t>
      </w:r>
    </w:p>
    <w:p>
      <w:pPr>
        <w:spacing w:before="120" w:after="120" w:line="288" w:lineRule="auto"/>
        <w:ind w:left="453"/>
        <w:jc w:val="left"/>
      </w:pPr>
      <w:r>
        <w:rPr>
          <w:rFonts w:eastAsia="等线" w:ascii="Arial" w:cs="Arial" w:hAnsi="Arial"/>
          <w:sz w:val="22"/>
        </w:rPr>
        <w:t>2027年，计划需求60K；</w:t>
      </w:r>
    </w:p>
    <w:p>
      <w:pPr>
        <w:spacing w:before="120" w:after="120" w:line="288" w:lineRule="auto"/>
        <w:ind w:left="453"/>
        <w:jc w:val="left"/>
      </w:pPr>
      <w:r>
        <w:rPr>
          <w:rFonts w:eastAsia="等线" w:ascii="Arial" w:cs="Arial" w:hAnsi="Arial"/>
          <w:sz w:val="22"/>
        </w:rPr>
        <w:t>2028年，计划需求400K；</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@Searay Qi</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13352208851</w:t>
            </w: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searay.qi@momenta.ai</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@Bidan Pan</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18258404720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bidan.pan@momenta.ai</w:t>
            </w: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@Steven Hou</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18911962872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steven.hou@momenta.ai</w:t>
            </w: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@Daniel Wei</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r>
              <w:rPr>
                <w:rFonts w:eastAsia="等线" w:ascii="Arial" w:cs="Arial" w:hAnsi="Arial"/>
                <w:sz w:val="22"/>
              </w:rPr>
              <w:t>17600806106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daniel.wei@momenta.ai</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@Yi Ren</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15961823094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yi.ren@momenta.ai</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@Hongfa Zhang</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18452016569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hongfa.zhang@momenta.ai</w:t>
            </w:r>
          </w:p>
        </w:tc>
        <w:tc>
          <w:tcPr>
            <w:tcW w:w="9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spacing w:before="120" w:after="120" w:line="288" w:lineRule="auto"/>
        <w:ind w:left="0"/>
        <w:jc w:val="left"/>
      </w:pPr>
      <w:r>
        <w:rPr>
          <w:rFonts w:eastAsia="等线" w:ascii="Arial" w:cs="Arial" w:hAnsi="Arial"/>
          <w:b w:val="true"/>
          <w:sz w:val="22"/>
        </w:rPr>
        <w:t>B样阶段</w:t>
      </w:r>
    </w:p>
    <w:p>
      <w:pPr>
        <w:spacing w:before="120" w:after="120" w:line="288" w:lineRule="auto"/>
        <w:ind w:left="0"/>
        <w:jc w:val="left"/>
      </w:pPr>
      <w:r>
        <w:rPr>
          <w:rFonts w:eastAsia="等线" w:ascii="Arial" w:cs="Arial" w:hAnsi="Arial"/>
          <w:sz w:val="22"/>
        </w:rPr>
        <w:t>0602 B样发版；</w:t>
      </w:r>
    </w:p>
    <w:p>
      <w:pPr>
        <w:spacing w:before="120" w:after="120" w:line="288" w:lineRule="auto"/>
        <w:ind w:left="0"/>
        <w:jc w:val="left"/>
      </w:pPr>
      <w:r>
        <w:rPr>
          <w:rFonts w:eastAsia="等线" w:ascii="Arial" w:cs="Arial" w:hAnsi="Arial"/>
          <w:sz w:val="22"/>
        </w:rPr>
        <w:t>0621 B样开始生产；</w:t>
      </w:r>
    </w:p>
    <w:p>
      <w:pPr>
        <w:spacing w:before="120" w:after="120" w:line="288" w:lineRule="auto"/>
        <w:ind w:left="0"/>
        <w:jc w:val="left"/>
      </w:pPr>
      <w:r>
        <w:rPr>
          <w:rFonts w:eastAsia="等线" w:ascii="Arial" w:cs="Arial" w:hAnsi="Arial"/>
          <w:sz w:val="22"/>
        </w:rPr>
        <w:t>0702 DV试验开始；</w:t>
      </w:r>
    </w:p>
    <w:p>
      <w:pPr>
        <w:spacing w:before="120" w:after="120" w:line="288" w:lineRule="auto"/>
        <w:ind w:left="0"/>
        <w:jc w:val="left"/>
      </w:pPr>
      <w:r>
        <w:rPr>
          <w:rFonts w:eastAsia="等线" w:ascii="Arial" w:cs="Arial" w:hAnsi="Arial"/>
          <w:sz w:val="22"/>
        </w:rPr>
        <w:t>0923 DV试验结束；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C样阶段</w:t>
      </w:r>
    </w:p>
    <w:p>
      <w:pPr>
        <w:spacing w:before="120" w:after="120" w:line="288" w:lineRule="auto"/>
        <w:ind w:left="0"/>
        <w:jc w:val="left"/>
      </w:pPr>
      <w:r>
        <w:rPr>
          <w:rFonts w:eastAsia="等线" w:ascii="Arial" w:cs="Arial" w:hAnsi="Arial"/>
          <w:sz w:val="22"/>
        </w:rPr>
        <w:t>0904 C样发版；</w:t>
      </w:r>
    </w:p>
    <w:p>
      <w:pPr>
        <w:spacing w:before="120" w:after="120" w:line="288" w:lineRule="auto"/>
        <w:ind w:left="0"/>
        <w:jc w:val="left"/>
      </w:pPr>
      <w:r>
        <w:rPr>
          <w:rFonts w:eastAsia="等线" w:ascii="Arial" w:cs="Arial" w:hAnsi="Arial"/>
          <w:sz w:val="22"/>
        </w:rPr>
        <w:t xml:space="preserve">0923 C样开始生产； </w:t>
      </w:r>
    </w:p>
    <w:p>
      <w:pPr>
        <w:spacing w:before="120" w:after="120" w:line="288" w:lineRule="auto"/>
        <w:ind w:left="0"/>
        <w:jc w:val="left"/>
      </w:pPr>
      <w:r>
        <w:rPr>
          <w:rFonts w:eastAsia="等线" w:ascii="Arial" w:cs="Arial" w:hAnsi="Arial"/>
          <w:sz w:val="22"/>
        </w:rPr>
        <w:t>0930 PV试验开始；</w:t>
      </w:r>
    </w:p>
    <w:p>
      <w:pPr>
        <w:spacing w:before="120" w:after="120" w:line="288" w:lineRule="auto"/>
        <w:ind w:left="0"/>
        <w:jc w:val="left"/>
      </w:pPr>
      <w:r>
        <w:rPr>
          <w:rFonts w:eastAsia="等线" w:ascii="Arial" w:cs="Arial" w:hAnsi="Arial"/>
          <w:sz w:val="22"/>
        </w:rPr>
        <w:t>1221 PV试验结束；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D样阶段 </w:t>
      </w:r>
    </w:p>
    <w:p>
      <w:pPr>
        <w:spacing w:before="120" w:after="120" w:line="288" w:lineRule="auto"/>
        <w:ind w:left="0"/>
        <w:jc w:val="left"/>
      </w:pPr>
      <w:r>
        <w:rPr>
          <w:rFonts w:eastAsia="等线" w:ascii="Arial" w:cs="Arial" w:hAnsi="Arial"/>
          <w:sz w:val="22"/>
        </w:rPr>
        <w:t>1221 D样发版；</w:t>
      </w:r>
    </w:p>
    <w:p>
      <w:pPr>
        <w:spacing w:before="120" w:after="120" w:line="288" w:lineRule="auto"/>
        <w:ind w:left="0"/>
        <w:jc w:val="left"/>
      </w:pPr>
      <w:r>
        <w:rPr>
          <w:rFonts w:eastAsia="等线" w:ascii="Arial" w:cs="Arial" w:hAnsi="Arial"/>
          <w:sz w:val="22"/>
        </w:rPr>
        <w:t>0108 D样开始生产；</w:t>
      </w:r>
    </w:p>
    <w:p>
      <w:pPr>
        <w:spacing w:before="120" w:after="120" w:line="288" w:lineRule="auto"/>
        <w:ind w:left="0"/>
        <w:jc w:val="left"/>
      </w:pPr>
      <w:r>
        <w:rPr>
          <w:rFonts w:eastAsia="等线" w:ascii="Arial" w:cs="Arial" w:hAnsi="Arial"/>
          <w:sz w:val="22"/>
        </w:rPr>
        <w:t>0115 PV2试验开始；</w:t>
      </w:r>
    </w:p>
    <w:p>
      <w:pPr>
        <w:spacing w:before="120" w:after="120" w:line="288" w:lineRule="auto"/>
        <w:ind w:left="0"/>
        <w:jc w:val="left"/>
      </w:pPr>
      <w:r>
        <w:rPr>
          <w:rFonts w:eastAsia="等线" w:ascii="Arial" w:cs="Arial" w:hAnsi="Arial"/>
          <w:sz w:val="22"/>
        </w:rPr>
        <w:t>0405 PV2试验结束；</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持续迭代</w:t>
      </w: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2070"/>
        <w:gridCol w:w="1500"/>
        <w:gridCol w:w="2115"/>
        <w:gridCol w:w="1755"/>
      </w:tblGrid>
      <w:tr>
        <w:tc>
          <w:tcPr>
            <w:tcW w:w="8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35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500" w:type="dxa"/>
            <w:hMerge w:val="continue"/>
            <w:tcMar>
              <w:top w:type="dxa" w:w="60"/>
              <w:left w:type="dxa" w:w="120"/>
              <w:bottom w:type="dxa" w:w="30"/>
              <w:right w:type="dxa" w:w="120"/>
            </w:tcMar>
          </w:tcPr>
          <w:p>
            <w:pPr>
              <w:spacing w:before="120" w:after="120" w:line="288" w:lineRule="auto"/>
              <w:ind w:left="0"/>
              <w:jc w:val="center"/>
            </w:pPr>
          </w:p>
        </w:tc>
        <w:tc>
          <w:tcPr>
            <w:tcW w:w="21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7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数量</w:t>
            </w:r>
          </w:p>
        </w:tc>
      </w:tr>
      <w:tr>
        <w:tc>
          <w:tcPr>
            <w:tcW w:w="840" w:type="dxa"/>
            <w:vMerge w:val="continue"/>
            <w:tcMar>
              <w:top w:type="dxa" w:w="60"/>
              <w:left w:type="dxa" w:w="120"/>
              <w:bottom w:type="dxa" w:w="30"/>
              <w:right w:type="dxa" w:w="120"/>
            </w:tcMar>
          </w:tcPr>
          <w:p>
            <w:pPr>
              <w:spacing w:before="120" w:after="120" w:line="288" w:lineRule="auto"/>
              <w:ind w:left="0"/>
              <w:jc w:val="center"/>
            </w:pP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2115" w:type="dxa"/>
            <w:vMerge w:val="continue"/>
            <w:tcMar>
              <w:top w:type="dxa" w:w="60"/>
              <w:left w:type="dxa" w:w="120"/>
              <w:bottom w:type="dxa" w:w="30"/>
              <w:right w:type="dxa" w:w="120"/>
            </w:tcMar>
          </w:tcPr>
          <w:p>
            <w:pPr>
              <w:spacing w:before="120" w:after="120" w:line="288" w:lineRule="auto"/>
              <w:ind w:left="0"/>
              <w:jc w:val="center"/>
            </w:pPr>
          </w:p>
        </w:tc>
        <w:tc>
          <w:tcPr>
            <w:tcW w:w="1755" w:type="dxa"/>
            <w:vMerge w:val="continue"/>
            <w:tcMar>
              <w:top w:type="dxa" w:w="60"/>
              <w:left w:type="dxa" w:w="120"/>
              <w:bottom w:type="dxa" w:w="30"/>
              <w:right w:type="dxa" w:w="120"/>
            </w:tcMar>
          </w:tcPr>
          <w:p>
            <w:pPr>
              <w:spacing w:before="120" w:after="120" w:line="288" w:lineRule="auto"/>
              <w:ind w:left="0"/>
              <w:jc w:val="center"/>
            </w:pP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X7 SIP+底板+外壳</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vMerge w:val="continue"/>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2026/06/25</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70" w:type="dxa"/>
            <w:vMerge w:val="continue"/>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2026/09/20</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vMerge w:val="continue"/>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D样</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2027/01/11</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bl>
    <w:p>
      <w:pPr>
        <w:numPr>
          <w:numId w:val="4"/>
        </w:numPr>
        <w:spacing w:before="120" w:after="120" w:line="288" w:lineRule="auto"/>
        <w:ind w:left="0"/>
        <w:jc w:val="left"/>
      </w:pPr>
      <w:r>
        <w:rPr>
          <w:rFonts w:eastAsia="等线" w:ascii="Arial" w:cs="Arial" w:hAnsi="Arial"/>
          <w:sz w:val="22"/>
        </w:rPr>
        <w:t>量产量纲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865"/>
        <w:gridCol w:w="2865"/>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2026年量产</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2027年量产</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2028年量产</w:t>
            </w:r>
          </w:p>
        </w:tc>
      </w:tr>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PP+SOP / B样</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w:t>
            </w:r>
          </w:p>
        </w:tc>
      </w:tr>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1</w:t>
            </w:r>
            <w:r>
              <w:rPr>
                <w:rFonts w:eastAsia="等线" w:ascii="Arial" w:cs="Arial" w:hAnsi="Arial"/>
                <w:b w:val="true"/>
                <w:sz w:val="22"/>
              </w:rPr>
              <w:t>万</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r>
              <w:rPr>
                <w:rFonts w:eastAsia="等线" w:ascii="Arial" w:cs="Arial" w:hAnsi="Arial"/>
                <w:b w:val="true"/>
                <w:sz w:val="22"/>
              </w:rPr>
              <w:t>万</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40万</w:t>
            </w:r>
          </w:p>
        </w:tc>
      </w:tr>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0815~1231</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全年</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全年</w:t>
            </w: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此文件用于支持Momenta自动驾驶域控制器的</w:t>
      </w:r>
      <w:r>
        <w:rPr>
          <w:rFonts w:eastAsia="等线" w:ascii="Arial" w:cs="Arial" w:hAnsi="Arial"/>
          <w:sz w:val="22"/>
        </w:rPr>
        <w:t>生产制造</w:t>
      </w:r>
      <w:r>
        <w:rPr>
          <w:rFonts w:eastAsia="等线" w:ascii="Arial" w:cs="Arial" w:hAnsi="Arial"/>
          <w:sz w:val="22"/>
        </w:rPr>
        <w:t>。该控制器将会采用</w:t>
      </w:r>
      <w:r>
        <w:rPr>
          <w:rFonts w:eastAsia="等线" w:ascii="Arial" w:cs="Arial" w:hAnsi="Arial"/>
          <w:sz w:val="22"/>
        </w:rPr>
        <w:t>XH</w:t>
      </w:r>
      <w:r>
        <w:rPr>
          <w:rFonts w:eastAsia="等线" w:ascii="Arial" w:cs="Arial" w:hAnsi="Arial"/>
          <w:sz w:val="22"/>
        </w:rPr>
        <w:t xml:space="preserve">eart芯片，预计使用在Momenta的一系列车型项目中。这需要Momenta和硬件供应商之间达成新的协议，以便硬件供应商能够提供合格的域控制器。  </w:t>
      </w:r>
    </w:p>
    <w:p>
      <w:pPr>
        <w:spacing w:before="120" w:after="120" w:line="288" w:lineRule="auto"/>
        <w:ind w:left="0" w:firstLine="420"/>
        <w:jc w:val="left"/>
      </w:pPr>
      <w:r>
        <w:rPr>
          <w:rFonts w:eastAsia="等线" w:ascii="Arial" w:cs="Arial" w:hAnsi="Arial"/>
          <w:sz w:val="22"/>
        </w:rPr>
        <w:t>Momenta保留对本文档的最终解释权。</w:t>
      </w: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系统方案</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3.1 </w:t>
      </w:r>
      <w:r>
        <w:rPr>
          <w:rFonts w:eastAsia="等线" w:ascii="Arial" w:cs="Arial" w:hAnsi="Arial"/>
          <w:b w:val="true"/>
          <w:sz w:val="32"/>
        </w:rPr>
        <w:t>系统方案：</w:t>
      </w:r>
      <w:bookmarkEnd w:id="9"/>
    </w:p>
    <w:p>
      <w:pPr>
        <w:spacing w:before="120" w:after="120" w:line="288" w:lineRule="auto"/>
        <w:ind w:left="0"/>
        <w:jc w:val="left"/>
      </w:pPr>
      <w:r>
        <w:rPr>
          <w:rFonts w:eastAsia="等线" w:ascii="Arial" w:cs="Arial" w:hAnsi="Arial"/>
          <w:sz w:val="22"/>
        </w:rPr>
        <w:t>SOC: 使用 X7 Gen1 x2</w:t>
      </w:r>
    </w:p>
    <w:p>
      <w:pPr>
        <w:spacing w:before="120" w:after="120" w:line="288" w:lineRule="auto"/>
        <w:ind w:left="0"/>
        <w:jc w:val="left"/>
      </w:pPr>
      <w:r>
        <w:rPr>
          <w:rFonts w:eastAsia="等线" w:ascii="Arial" w:cs="Arial" w:hAnsi="Arial"/>
          <w:sz w:val="22"/>
        </w:rPr>
        <w:t>MCU：RH850 U2A16 x 2</w:t>
      </w:r>
    </w:p>
    <w:p>
      <w:pPr>
        <w:spacing w:before="120" w:after="120" w:line="288" w:lineRule="auto"/>
        <w:ind w:left="0"/>
        <w:jc w:val="left"/>
      </w:pPr>
      <w:r>
        <w:rPr>
          <w:rFonts w:eastAsia="等线" w:ascii="Arial" w:cs="Arial" w:hAnsi="Arial"/>
          <w:sz w:val="22"/>
        </w:rPr>
        <w:t xml:space="preserve">DDR:  48GB（域控总容量 24GB x 2 ） </w:t>
      </w:r>
    </w:p>
    <w:p>
      <w:pPr>
        <w:spacing w:before="120" w:after="120" w:line="288" w:lineRule="auto"/>
        <w:ind w:left="0"/>
        <w:jc w:val="left"/>
      </w:pPr>
      <w:r>
        <w:rPr>
          <w:rFonts w:eastAsia="等线" w:ascii="Arial" w:cs="Arial" w:hAnsi="Arial"/>
          <w:sz w:val="22"/>
        </w:rPr>
        <w:t xml:space="preserve">UFS：512GB（域控总容量256GB x 2） </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3.2 </w:t>
      </w:r>
      <w:r>
        <w:rPr>
          <w:rFonts w:eastAsia="等线" w:ascii="Arial" w:cs="Arial" w:hAnsi="Arial"/>
          <w:b w:val="true"/>
          <w:sz w:val="32"/>
        </w:rPr>
        <w:t>接口配置</w:t>
      </w:r>
      <w:bookmarkEnd w:id="1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7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3.3 </w:t>
      </w:r>
      <w:r>
        <w:rPr>
          <w:rFonts w:eastAsia="等线" w:ascii="Arial" w:cs="Arial" w:hAnsi="Arial"/>
          <w:b w:val="true"/>
          <w:sz w:val="32"/>
        </w:rPr>
        <w:t>系统架构图</w:t>
      </w:r>
      <w:bookmarkEnd w:id="11"/>
    </w:p>
    <w:p>
      <w:pPr>
        <w:spacing w:before="120" w:after="120" w:line="288" w:lineRule="auto"/>
        <w:ind w:left="0"/>
        <w:jc w:val="center"/>
      </w:pPr>
      <w:r>
        <w:drawing>
          <wp:inline distT="0" distR="0" distB="0" distL="0">
            <wp:extent cx="5257800" cy="2752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752725"/>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3.4 </w:t>
      </w:r>
      <w:r>
        <w:rPr>
          <w:rFonts w:eastAsia="等线" w:ascii="Arial" w:cs="Arial" w:hAnsi="Arial"/>
          <w:b w:val="true"/>
          <w:sz w:val="32"/>
        </w:rPr>
        <w:t>核心器件</w:t>
      </w:r>
      <w:bookmarkEnd w:id="12"/>
    </w:p>
    <w:p>
      <w:pPr>
        <w:spacing w:before="120" w:after="120" w:line="288" w:lineRule="auto"/>
        <w:ind w:left="0"/>
        <w:jc w:val="left"/>
      </w:pPr>
      <w:r>
        <w:rPr>
          <w:rFonts w:eastAsia="等线" w:ascii="Arial" w:cs="Arial" w:hAnsi="Arial"/>
          <w:sz w:val="22"/>
        </w:rPr>
        <w:t>建议的核心器件选型为下表；最终的核心器件以双方确认为准；</w:t>
      </w:r>
    </w:p>
    <w:p>
      <w:pPr>
        <w:spacing w:before="120" w:after="120" w:line="288" w:lineRule="auto"/>
        <w:ind w:left="0"/>
      </w:pPr>
      <w:r>
        <w:object>
          <v:shape id="_x0000_i1026" style="width:414pt;height:19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备注：以Momenta在各阶段释放的BOM为准。</w:t>
      </w: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4. </w:t>
      </w:r>
      <w:r>
        <w:rPr>
          <w:rFonts w:eastAsia="等线" w:ascii="Arial" w:cs="Arial" w:hAnsi="Arial"/>
          <w:b w:val="true"/>
          <w:sz w:val="36"/>
        </w:rPr>
        <w:t>工作范围</w:t>
      </w:r>
      <w:bookmarkEnd w:id="13"/>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4.1 </w:t>
      </w:r>
      <w:r>
        <w:rPr>
          <w:rFonts w:eastAsia="等线" w:ascii="Arial" w:cs="Arial" w:hAnsi="Arial"/>
          <w:b w:val="true"/>
          <w:sz w:val="32"/>
        </w:rPr>
        <w:t>工作任务和职责概述</w:t>
      </w:r>
      <w:bookmarkEnd w:id="14"/>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4.1.1 </w:t>
      </w:r>
      <w:r>
        <w:rPr>
          <w:rFonts w:eastAsia="等线" w:ascii="Arial" w:cs="Arial" w:hAnsi="Arial"/>
          <w:b w:val="true"/>
          <w:sz w:val="30"/>
        </w:rPr>
        <w:t>ADCU工作任务和职责概述</w:t>
      </w:r>
      <w:bookmarkEnd w:id="15"/>
    </w:p>
    <w:p>
      <w:pPr>
        <w:spacing w:before="120" w:after="120" w:line="288" w:lineRule="auto"/>
        <w:ind w:left="0" w:firstLine="420"/>
        <w:jc w:val="left"/>
      </w:pPr>
      <w:r>
        <w:rPr>
          <w:rFonts w:eastAsia="等线" w:ascii="Arial" w:cs="Arial" w:hAnsi="Arial"/>
          <w:sz w:val="22"/>
        </w:rPr>
        <w:t>为保证对于车型项目的交付和质量，Momenta作为客户提供整体的智驾解决方案。硬件供应商需要提供域控硬件生产制造解决方案。硬件供应商需要承担项目中域控硬件生产，交付，售后等职责。</w:t>
      </w:r>
    </w:p>
    <w:p>
      <w:pPr>
        <w:spacing w:before="120" w:after="120" w:line="288" w:lineRule="auto"/>
        <w:ind w:left="0"/>
        <w:jc w:val="center"/>
      </w:pPr>
      <w:r>
        <w:drawing>
          <wp:inline distT="0" distR="0" distB="0" distL="0">
            <wp:extent cx="5257800" cy="5257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4.2 </w:t>
      </w:r>
      <w:r>
        <w:rPr>
          <w:rFonts w:eastAsia="等线" w:ascii="Arial" w:cs="Arial" w:hAnsi="Arial"/>
          <w:b w:val="true"/>
          <w:sz w:val="32"/>
        </w:rPr>
        <w:t>自动驾驶域控制器开发分工</w:t>
      </w:r>
      <w:bookmarkEnd w:id="16"/>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4.2.1 </w:t>
      </w:r>
      <w:r>
        <w:rPr>
          <w:rFonts w:eastAsia="等线" w:ascii="Arial" w:cs="Arial" w:hAnsi="Arial"/>
          <w:b w:val="true"/>
          <w:sz w:val="30"/>
        </w:rPr>
        <w:t>双</w:t>
      </w:r>
      <w:r>
        <w:rPr>
          <w:rFonts w:eastAsia="等线" w:ascii="Arial" w:cs="Arial" w:hAnsi="Arial"/>
          <w:b w:val="true"/>
          <w:sz w:val="30"/>
        </w:rPr>
        <w:t>X7</w:t>
      </w:r>
      <w:r>
        <w:rPr>
          <w:rFonts w:eastAsia="等线" w:ascii="Arial" w:cs="Arial" w:hAnsi="Arial"/>
          <w:b w:val="true"/>
          <w:sz w:val="30"/>
        </w:rPr>
        <w:t>域控开发分工</w:t>
      </w:r>
      <w:bookmarkEnd w:id="17"/>
    </w:p>
    <w:p>
      <w:pPr>
        <w:spacing w:before="120" w:after="120" w:line="288" w:lineRule="auto"/>
        <w:ind w:left="0"/>
        <w:jc w:val="left"/>
      </w:pPr>
      <w:r>
        <w:rPr>
          <w:rFonts w:eastAsia="等线" w:ascii="Arial" w:cs="Arial" w:hAnsi="Arial"/>
          <w:sz w:val="22"/>
        </w:rPr>
        <w:t>硬件供应商需和Momenta签订协议，明确如下RASIC：</w:t>
      </w:r>
    </w:p>
    <w:p>
      <w:pPr>
        <w:numPr>
          <w:numId w:val="5"/>
        </w:numPr>
        <w:spacing w:before="120" w:after="120" w:line="288" w:lineRule="auto"/>
        <w:ind w:left="0"/>
        <w:jc w:val="left"/>
      </w:pPr>
      <w:r>
        <w:rPr>
          <w:rFonts w:eastAsia="等线" w:ascii="Arial" w:cs="Arial" w:hAnsi="Arial"/>
          <w:sz w:val="22"/>
        </w:rPr>
        <w:t>开发阶段，整体方案由Momenta负责</w:t>
      </w:r>
    </w:p>
    <w:p>
      <w:pPr>
        <w:numPr>
          <w:numId w:val="6"/>
        </w:numPr>
        <w:spacing w:before="120" w:after="120" w:line="288" w:lineRule="auto"/>
        <w:ind w:left="0"/>
        <w:jc w:val="left"/>
      </w:pPr>
      <w:r>
        <w:rPr>
          <w:rFonts w:eastAsia="等线" w:ascii="Arial" w:cs="Arial" w:hAnsi="Arial"/>
          <w:sz w:val="22"/>
        </w:rPr>
        <w:t>批产后，售后问题由Momenta负责分析，软件责任归Momenta，硬件设计责任归Momenta，硬件生产制造责任归ADCU供应商</w:t>
      </w:r>
    </w:p>
    <w:p>
      <w:pPr>
        <w:numPr>
          <w:numId w:val="7"/>
        </w:numPr>
        <w:spacing w:before="120" w:after="120" w:line="288" w:lineRule="auto"/>
        <w:ind w:left="0"/>
        <w:jc w:val="left"/>
      </w:pPr>
      <w:r>
        <w:rPr>
          <w:rFonts w:eastAsia="等线" w:ascii="Arial" w:cs="Arial" w:hAnsi="Arial"/>
          <w:sz w:val="22"/>
        </w:rPr>
        <w:t>批产后的物流和保供由ADCU硬件供应商负责</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4.2.2 </w:t>
      </w:r>
      <w:r>
        <w:rPr>
          <w:rFonts w:eastAsia="等线" w:ascii="Arial" w:cs="Arial" w:hAnsi="Arial"/>
          <w:b w:val="true"/>
          <w:sz w:val="30"/>
        </w:rPr>
        <w:t>双</w:t>
      </w:r>
      <w:r>
        <w:rPr>
          <w:rFonts w:eastAsia="等线" w:ascii="Arial" w:cs="Arial" w:hAnsi="Arial"/>
          <w:b w:val="true"/>
          <w:sz w:val="30"/>
        </w:rPr>
        <w:t>X7域控开发分工</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55"/>
        <w:gridCol w:w="990"/>
        <w:gridCol w:w="1410"/>
        <w:gridCol w:w="3225"/>
      </w:tblGrid>
      <w:tr>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 Items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Momenta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HW Supplier</w:t>
            </w:r>
          </w:p>
        </w:tc>
        <w:tc>
          <w:tcPr>
            <w:tcW w:w="32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Comments</w:t>
            </w:r>
          </w:p>
        </w:tc>
      </w:tr>
      <w:tr>
        <w:tc>
          <w:tcPr>
            <w:tcW w:w="50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项目管理 Project Management</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项目整体计划开发</w:t>
              <w:br/>
            </w:r>
            <w:r>
              <w:rPr>
                <w:rFonts w:eastAsia="等线" w:ascii="Arial" w:cs="Arial" w:hAnsi="Arial"/>
                <w:sz w:val="22"/>
              </w:rPr>
              <w:t xml:space="preserve">Project overall timing </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硬件供应</w:t>
            </w:r>
            <w:r>
              <w:rPr>
                <w:rFonts w:eastAsia="等线" w:ascii="Arial" w:cs="Arial" w:hAnsi="Arial"/>
                <w:sz w:val="22"/>
              </w:rPr>
              <w:t>商关键节点计划</w:t>
              <w:br/>
            </w:r>
            <w:r>
              <w:rPr>
                <w:rFonts w:eastAsia="等线" w:ascii="Arial" w:cs="Arial" w:hAnsi="Arial"/>
                <w:sz w:val="22"/>
              </w:rPr>
              <w:t>Supplier critical timing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ADCU问题根本原因调查和解决 </w:t>
              <w:br/>
            </w:r>
            <w:r>
              <w:rPr>
                <w:rFonts w:eastAsia="等线" w:ascii="Arial" w:cs="Arial" w:hAnsi="Arial"/>
                <w:sz w:val="22"/>
              </w:rPr>
              <w:t>ADCU issue RC investgation and resolution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Momenta负责牵头，生产制造问题由</w:t>
            </w:r>
            <w:r>
              <w:rPr>
                <w:rFonts w:eastAsia="等线" w:ascii="Arial" w:cs="Arial" w:hAnsi="Arial"/>
                <w:sz w:val="22"/>
              </w:rPr>
              <w:t>硬件</w:t>
            </w:r>
            <w:r>
              <w:rPr>
                <w:rFonts w:eastAsia="等线" w:ascii="Arial" w:cs="Arial" w:hAnsi="Arial"/>
                <w:sz w:val="22"/>
              </w:rPr>
              <w:t>供应商负责</w:t>
            </w:r>
          </w:p>
          <w:p>
            <w:pPr>
              <w:spacing w:before="120" w:after="120" w:line="288" w:lineRule="auto"/>
              <w:ind w:left="0"/>
              <w:jc w:val="left"/>
            </w:pPr>
          </w:p>
        </w:tc>
      </w:tr>
      <w:tr>
        <w:tc>
          <w:tcPr>
            <w:tcW w:w="50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硬件开发 Hardware Elecrical Development</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硬件开发需要硬件供应商现场支持，并协助输出开发文档。</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硬件技术要求 Hardware technical requirement </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ADCU参考设计</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硬件架构设计（包括功能安全、网络安全等）</w:t>
              <w:br/>
            </w:r>
            <w:r>
              <w:rPr>
                <w:rFonts w:eastAsia="等线" w:ascii="Arial" w:cs="Arial" w:hAnsi="Arial"/>
                <w:sz w:val="22"/>
              </w:rPr>
              <w:t>Architecture design(include Fusa, cyber security,etc.)</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关键器件选择 Key Part selection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原理图设计 Schematic design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原理图设计评审 Schematic review</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PCB布局设计 PCB layout design </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PCB评审 PCB review</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SP/PI仿真 SP/PI simulation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硬件调试与测试 Hardware debug and test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Momenta输出测试方案，硬件供应商提供人力支持调试和测试，硬件供应商输出测试文档和报告</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面向制造的设计DFM（design for  manufacture）</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Momenta进行DFM开发工作，硬件供应商提供人力支持Momenta进行DFM开发工作并支持文档输出</w:t>
            </w:r>
          </w:p>
        </w:tc>
      </w:tr>
      <w:tr>
        <w:tc>
          <w:tcPr>
            <w:tcW w:w="50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机械结构开发 Mechanical Development</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机械结构要求（包括支架适配） Mechanicial technical requirement （include Bracket requirements adaption）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机械设计（尺寸、外观、质量等） </w:t>
              <w:br/>
            </w:r>
            <w:r>
              <w:rPr>
                <w:rFonts w:eastAsia="等线" w:ascii="Arial" w:cs="Arial" w:hAnsi="Arial"/>
                <w:sz w:val="22"/>
              </w:rPr>
              <w:t>Mechanicial design（size,appearance,mass,etc）</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散热解决方案 Thermal solution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2D/3D设计 2D/3D design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连接器解决方案 Connector solution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CAE模拟（包括冷却、模流等） CAE simulation （include cooling, mold flow, etc.）</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冷却验证 Cooling verfication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机械设计评审 Mechanical design review  </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安装要求 Mounting requirements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支架设计与制造 bracket design and manufacture</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模具DFM</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软件开发Software Developoment </w:t>
            </w:r>
          </w:p>
        </w:tc>
        <w:tc>
          <w:tcPr>
            <w:tcW w:w="5625" w:type="dxa"/>
            <w:hMerge w:val="restart"/>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OBF与第三方合作说明书（全栈交付模式）</w:t>
              </w:r>
            </w:hyperlink>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hMerge w:val="continue"/>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Software technical requirement </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Architecture design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 MCAL&amp;CDD development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软件测试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硬件供应商负责的软件开发部分需要自测并提交报告</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ADCU Bringup（PMIC/DDR/EMMC/SWITCH/OS部分）</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ADCU 工厂下线检测软件_下位机</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ADCU的ICT/EOL/FCT等</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integration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实验 Validation</w:t>
            </w:r>
          </w:p>
        </w:tc>
        <w:tc>
          <w:tcPr>
            <w:tcW w:w="99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实验要求</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实验策划与准备</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实验执行</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报告提交</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生产工艺</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hMerge w:val="continue"/>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产线开发计划</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工艺路线的确定</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设备选型</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工艺参数标准确定</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工装治具设计方案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工装治具设计方案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检具设计方案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检具制作</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胶水，锡膏等选型</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产线DFM</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r>
              <w:rPr>
                <w:rFonts w:eastAsia="等线" w:ascii="Arial" w:cs="Arial" w:hAnsi="Arial"/>
                <w:sz w:val="22"/>
              </w:rPr>
              <w: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设备验收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工装治具验收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检具验收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产线开发进度的跟踪</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样件生产制造</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r>
              <w:rPr>
                <w:rFonts w:eastAsia="等线" w:ascii="Arial" w:cs="Arial" w:hAnsi="Arial"/>
                <w:sz w:val="22"/>
              </w:rPr>
              <w: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EOL和FCT上位机软件开发</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r>
              <w:rPr>
                <w:rFonts w:eastAsia="等线" w:ascii="Arial" w:cs="Arial" w:hAnsi="Arial"/>
                <w:sz w:val="22"/>
              </w:rPr>
              <w: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EOL设备</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EOL测试项目</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产线升级及测试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质量管理</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hMerge w:val="continue"/>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APQP开发计划</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APQP阶段评审</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样件的检验规范</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样件的检验报告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变更管理履历</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工程认可文件（OTS）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过程审核报告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2TP产能审核报告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特殊特性清单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Momenta定义产品特殊特性，硬件供应商负责过程特殊特性</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DFMEA</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PFMEA</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过程流程图</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控制计划</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 作业指导书</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尺寸测量报告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材料检测报告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性能试验报告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材料/分供方清单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初始过程研究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测量系统分析</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工装、模具、设备清单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量检具、检测试验设备清单</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具有资格的实验室文件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生产件标准样品</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PPAP文件提交</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零部件提交保证书（PSW）</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GP12方案的策划</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GP12场地/设施/人员</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GP12的实施</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GP12的审核</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受控发运方案的策划</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受控发运的实施</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受控发运的审核监察</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物流交付</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hMerge w:val="continue"/>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样件的需求输入</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样件包装方案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量产包装方案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产品交付</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物料交付</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（生产用EE电器元器件）</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分供方的子零件交付</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量产订单和预测信息输入</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备料和安全建储</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物流问题的解决</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售后管理</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3225" w:type="dxa"/>
            <w:hMerge w:val="continue"/>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0KM和售后问题的整体对接</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市场/0KM问题的初步分析</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问题信息反馈</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硬件制造问题的分析</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硬件制造问题整改措施制定</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硬件制造问题报告的提交</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NTF问题的试验复现</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3225" w:type="dxa"/>
            <w:tcMar>
              <w:top w:type="dxa" w:w="60"/>
              <w:left w:type="dxa" w:w="120"/>
              <w:bottom w:type="dxa" w:w="30"/>
              <w:right w:type="dxa" w:w="120"/>
            </w:tcMar>
          </w:tcPr>
          <w:p>
            <w:pPr>
              <w:spacing w:before="120" w:after="120" w:line="288" w:lineRule="auto"/>
              <w:ind w:left="0"/>
              <w:jc w:val="left"/>
            </w:pP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NTF问题的判定</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22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5. </w:t>
      </w:r>
      <w:r>
        <w:rPr>
          <w:rFonts w:eastAsia="等线" w:ascii="Arial" w:cs="Arial" w:hAnsi="Arial"/>
          <w:b w:val="true"/>
          <w:sz w:val="36"/>
        </w:rPr>
        <w:t>工作流程</w:t>
      </w:r>
      <w:bookmarkEnd w:id="19"/>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20"/>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5.1.1 </w:t>
      </w:r>
      <w:r>
        <w:rPr>
          <w:rFonts w:eastAsia="等线" w:ascii="Arial" w:cs="Arial" w:hAnsi="Arial"/>
          <w:b w:val="true"/>
          <w:sz w:val="30"/>
        </w:rPr>
        <w:t>硬件开发</w:t>
      </w:r>
      <w:bookmarkEnd w:id="21"/>
    </w:p>
    <w:p>
      <w:pPr>
        <w:spacing w:before="120" w:after="120" w:line="288" w:lineRule="auto"/>
        <w:ind w:left="0" w:firstLine="420"/>
        <w:jc w:val="left"/>
      </w:pPr>
      <w:r>
        <w:rPr>
          <w:rFonts w:eastAsia="等线" w:ascii="Arial" w:cs="Arial" w:hAnsi="Arial"/>
          <w:sz w:val="22"/>
        </w:rPr>
        <w:t>本项目硬件设计开发由Momenta完成，硬件供应商完成硬件的</w:t>
      </w:r>
      <w:r>
        <w:rPr>
          <w:rFonts w:eastAsia="等线" w:ascii="Arial" w:cs="Arial" w:hAnsi="Arial"/>
          <w:sz w:val="22"/>
        </w:rPr>
        <w:t>测试、</w:t>
      </w:r>
      <w:r>
        <w:rPr>
          <w:rFonts w:eastAsia="等线" w:ascii="Arial" w:cs="Arial" w:hAnsi="Arial"/>
          <w:sz w:val="22"/>
        </w:rPr>
        <w:t>生产制造和物流运输。</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5.1.2 </w:t>
      </w:r>
      <w:r>
        <w:rPr>
          <w:rFonts w:eastAsia="等线" w:ascii="Arial" w:cs="Arial" w:hAnsi="Arial"/>
          <w:b w:val="true"/>
          <w:sz w:val="30"/>
        </w:rPr>
        <w:t>底软开发</w:t>
      </w:r>
      <w:bookmarkEnd w:id="22"/>
    </w:p>
    <w:p>
      <w:pPr>
        <w:spacing w:before="120" w:after="120" w:line="288" w:lineRule="auto"/>
        <w:ind w:left="0" w:firstLine="420"/>
        <w:jc w:val="left"/>
      </w:pPr>
      <w:r>
        <w:rPr>
          <w:rFonts w:eastAsia="等线" w:ascii="Arial" w:cs="Arial" w:hAnsi="Arial"/>
          <w:sz w:val="22"/>
        </w:rPr>
        <w:t>本项目软件RASIC定义软件开发分工，除EOL软件外，其他软件由Mome</w:t>
      </w:r>
      <w:r>
        <w:rPr>
          <w:rFonts w:eastAsia="等线" w:ascii="Arial" w:cs="Arial" w:hAnsi="Arial"/>
          <w:sz w:val="22"/>
        </w:rPr>
        <w:t>n</w:t>
      </w:r>
      <w:r>
        <w:rPr>
          <w:rFonts w:eastAsia="等线" w:ascii="Arial" w:cs="Arial" w:hAnsi="Arial"/>
          <w:sz w:val="22"/>
        </w:rPr>
        <w:t>ta负责完成。</w:t>
      </w:r>
    </w:p>
    <w:p>
      <w:pPr>
        <w:spacing w:before="120" w:after="120" w:line="288" w:lineRule="auto"/>
        <w:ind w:left="0" w:firstLine="420"/>
        <w:jc w:val="left"/>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5.2 </w:t>
      </w:r>
      <w:r>
        <w:rPr>
          <w:rFonts w:eastAsia="等线" w:ascii="Arial" w:cs="Arial" w:hAnsi="Arial"/>
          <w:b w:val="true"/>
          <w:sz w:val="32"/>
        </w:rPr>
        <w:t xml:space="preserve">质量管理 </w:t>
      </w:r>
      <w:bookmarkEnd w:id="23"/>
    </w:p>
    <w:p>
      <w:pPr>
        <w:spacing w:before="120" w:after="120" w:line="288" w:lineRule="auto"/>
        <w:ind w:left="0"/>
        <w:jc w:val="left"/>
      </w:pPr>
      <w:r>
        <w:rPr>
          <w:rFonts w:eastAsia="等线" w:ascii="Arial" w:cs="Arial" w:hAnsi="Arial"/>
          <w:sz w:val="22"/>
        </w:rPr>
        <w:t xml:space="preserve">      硬件供应商对于本项目的质量管理活动按照Momenta对供应商质量管理要求开展。</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5.2.1 </w:t>
      </w:r>
      <w:r>
        <w:rPr>
          <w:rFonts w:eastAsia="等线" w:ascii="Arial" w:cs="Arial" w:hAnsi="Arial"/>
          <w:b w:val="true"/>
          <w:sz w:val="30"/>
        </w:rPr>
        <w:t>供应商管理</w:t>
      </w:r>
      <w:bookmarkEnd w:id="24"/>
    </w:p>
    <w:p>
      <w:pPr>
        <w:numPr>
          <w:numId w:val="8"/>
        </w:numPr>
        <w:spacing w:before="120" w:after="120" w:line="288" w:lineRule="auto"/>
        <w:ind w:left="453"/>
        <w:jc w:val="left"/>
      </w:pPr>
      <w:r>
        <w:rPr>
          <w:rFonts w:eastAsia="等线" w:ascii="Arial" w:cs="Arial" w:hAnsi="Arial"/>
          <w:sz w:val="22"/>
        </w:rPr>
        <w:t xml:space="preserve">硬件供应商应指定一名在质量、制造和试验验等方面具有丰富经验的人员作为Momenta该项目的专职代表，来共同组织小组会议。负责统筹协调项目的进度及项目节点的执行状态，确保项目顺利实施。 </w:t>
      </w:r>
    </w:p>
    <w:p>
      <w:pPr>
        <w:numPr>
          <w:numId w:val="9"/>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采购，试验验证，工艺，生产制造，质量，物流，售后，SQE等人员。</w:t>
      </w:r>
    </w:p>
    <w:p>
      <w:pPr>
        <w:numPr>
          <w:numId w:val="10"/>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11"/>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2"/>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5" w:id="25"/>
      <w:r>
        <w:rPr>
          <w:rFonts w:eastAsia="等线" w:ascii="Arial" w:cs="Arial" w:hAnsi="Arial"/>
          <w:color w:val="3370ff"/>
          <w:sz w:val="30"/>
        </w:rPr>
        <w:t xml:space="preserve">5.2.2 </w:t>
      </w:r>
      <w:r>
        <w:rPr>
          <w:rFonts w:eastAsia="等线" w:ascii="Arial" w:cs="Arial" w:hAnsi="Arial"/>
          <w:b w:val="true"/>
          <w:sz w:val="30"/>
        </w:rPr>
        <w:t>质量目标</w:t>
      </w:r>
      <w:bookmarkEnd w:id="25"/>
    </w:p>
    <w:p>
      <w:pPr>
        <w:numPr>
          <w:numId w:val="13"/>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4"/>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5.2.3 </w:t>
      </w:r>
      <w:r>
        <w:rPr>
          <w:rFonts w:eastAsia="等线" w:ascii="Arial" w:cs="Arial" w:hAnsi="Arial"/>
          <w:b w:val="true"/>
          <w:sz w:val="30"/>
        </w:rPr>
        <w:t>模具和检具要求</w:t>
      </w:r>
      <w:bookmarkEnd w:id="26"/>
    </w:p>
    <w:p>
      <w:pPr>
        <w:numPr>
          <w:numId w:val="15"/>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6"/>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7"/>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5.2.4 </w:t>
      </w:r>
      <w:r>
        <w:rPr>
          <w:rFonts w:eastAsia="等线" w:ascii="Arial" w:cs="Arial" w:hAnsi="Arial"/>
          <w:b w:val="true"/>
          <w:sz w:val="30"/>
        </w:rPr>
        <w:t>新产品阶段质量管理</w:t>
      </w:r>
      <w:bookmarkEnd w:id="27"/>
    </w:p>
    <w:p>
      <w:pPr>
        <w:numPr>
          <w:numId w:val="18"/>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9"/>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20"/>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21"/>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2"/>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3"/>
        </w:numPr>
        <w:spacing w:before="120" w:after="120" w:line="288" w:lineRule="auto"/>
        <w:ind w:left="453"/>
        <w:jc w:val="left"/>
      </w:pPr>
      <w:r>
        <w:rPr>
          <w:rFonts w:eastAsia="等线" w:ascii="Arial" w:cs="Arial" w:hAnsi="Arial"/>
          <w:sz w:val="22"/>
        </w:rPr>
        <w:t>硬件供应商产线验收的结论最终需满足Momenta的验收标准。</w:t>
      </w:r>
    </w:p>
    <w:p>
      <w:pPr>
        <w:numPr>
          <w:numId w:val="24"/>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5"/>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5.2.5 </w:t>
      </w:r>
      <w:r>
        <w:rPr>
          <w:rFonts w:eastAsia="等线" w:ascii="Arial" w:cs="Arial" w:hAnsi="Arial"/>
          <w:b w:val="true"/>
          <w:sz w:val="30"/>
        </w:rPr>
        <w:t>量产阶段质量管理</w:t>
      </w:r>
      <w:bookmarkEnd w:id="28"/>
    </w:p>
    <w:p>
      <w:pPr>
        <w:numPr>
          <w:numId w:val="26"/>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7"/>
        </w:numPr>
        <w:spacing w:before="120" w:after="120" w:line="288" w:lineRule="auto"/>
        <w:ind w:left="453"/>
        <w:jc w:val="left"/>
      </w:pPr>
      <w:r>
        <w:rPr>
          <w:rFonts w:eastAsia="等线" w:ascii="Arial" w:cs="Arial" w:hAnsi="Arial"/>
          <w:sz w:val="22"/>
        </w:rPr>
        <w:t>硬件供应商应建立质量问题围堵流程，确保市场、整车制造现场的质量问题，在硬件供应商的生产过程得到检出和围堵，防止问题再流出。</w:t>
      </w:r>
    </w:p>
    <w:p>
      <w:pPr>
        <w:numPr>
          <w:numId w:val="28"/>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9"/>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30"/>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31"/>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5.3 </w:t>
      </w:r>
      <w:r>
        <w:rPr>
          <w:rFonts w:eastAsia="等线" w:ascii="Arial" w:cs="Arial" w:hAnsi="Arial"/>
          <w:b w:val="true"/>
          <w:sz w:val="32"/>
        </w:rPr>
        <w:t xml:space="preserve">售后管理 </w:t>
      </w:r>
      <w:bookmarkEnd w:id="29"/>
    </w:p>
    <w:p>
      <w:pPr>
        <w:spacing w:before="120" w:after="120" w:line="288" w:lineRule="auto"/>
        <w:ind w:left="0"/>
        <w:jc w:val="left"/>
      </w:pPr>
      <w:r>
        <w:rPr>
          <w:rFonts w:eastAsia="等线" w:ascii="Arial" w:cs="Arial" w:hAnsi="Arial"/>
          <w:sz w:val="22"/>
        </w:rPr>
        <w:t xml:space="preserve">        硬件供应商对本项目的售后活动和售后管理要最终以Momenta的售后要求为准。</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5.3.1 </w:t>
      </w:r>
      <w:r>
        <w:rPr>
          <w:rFonts w:eastAsia="等线" w:ascii="Arial" w:cs="Arial" w:hAnsi="Arial"/>
          <w:b w:val="true"/>
          <w:sz w:val="30"/>
        </w:rPr>
        <w:t>质保期要求</w:t>
      </w:r>
      <w:bookmarkEnd w:id="30"/>
    </w:p>
    <w:p>
      <w:pPr>
        <w:numPr>
          <w:numId w:val="32"/>
        </w:numPr>
        <w:spacing w:before="120" w:after="120" w:line="288" w:lineRule="auto"/>
        <w:ind w:left="453"/>
        <w:jc w:val="left"/>
      </w:pPr>
      <w:r>
        <w:rPr>
          <w:rFonts w:eastAsia="等线" w:ascii="Arial" w:cs="Arial" w:hAnsi="Arial"/>
          <w:sz w:val="22"/>
        </w:rPr>
        <w:t>可靠性担保期为 10 年/250 000KM ，质量保证期计算以时间或行驶里程以先到者为准，最终以Momenta的售后要求为准。</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5.3.2 </w:t>
      </w:r>
      <w:r>
        <w:rPr>
          <w:rFonts w:eastAsia="等线" w:ascii="Arial" w:cs="Arial" w:hAnsi="Arial"/>
          <w:b w:val="true"/>
          <w:sz w:val="30"/>
        </w:rPr>
        <w:t xml:space="preserve">售后备件    </w:t>
      </w:r>
      <w:bookmarkEnd w:id="31"/>
    </w:p>
    <w:p>
      <w:pPr>
        <w:numPr>
          <w:numId w:val="33"/>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4"/>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5"/>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6"/>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5.3.3 </w:t>
      </w:r>
      <w:r>
        <w:rPr>
          <w:rFonts w:eastAsia="等线" w:ascii="Arial" w:cs="Arial" w:hAnsi="Arial"/>
          <w:b w:val="true"/>
          <w:sz w:val="30"/>
        </w:rPr>
        <w:t xml:space="preserve">售后服务 </w:t>
      </w:r>
      <w:bookmarkEnd w:id="32"/>
    </w:p>
    <w:p>
      <w:pPr>
        <w:numPr>
          <w:numId w:val="37"/>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8"/>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9"/>
        </w:numPr>
        <w:spacing w:before="120" w:after="120" w:line="288" w:lineRule="auto"/>
        <w:ind w:left="453"/>
        <w:jc w:val="left"/>
      </w:pPr>
      <w:r>
        <w:rPr>
          <w:rFonts w:eastAsia="等线" w:ascii="Arial" w:cs="Arial" w:hAnsi="Arial"/>
          <w:sz w:val="22"/>
        </w:rPr>
        <w:t>硬件供应商应安排主机厂产线的驻厂服务人员，以快速响应现场的质量问题或客户需求，现场质量问题信息应及时反馈给Momenta，以快速定位问题及知道解决措施。质量问题响应速度及问题处理时间不低于Momenta的质量协议要求。</w:t>
      </w:r>
    </w:p>
    <w:p>
      <w:pPr>
        <w:numPr>
          <w:numId w:val="40"/>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41"/>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售后标定需采取动态标定方案，需要硬件供应商提供售后标定文件，操作指导等文件，支持Momenta完成对售后标定工具开发，支持在售后端的工作开展；标定时长需满足售后需求；</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5.4 </w:t>
      </w:r>
      <w:r>
        <w:rPr>
          <w:rFonts w:eastAsia="等线" w:ascii="Arial" w:cs="Arial" w:hAnsi="Arial"/>
          <w:b w:val="true"/>
          <w:sz w:val="32"/>
        </w:rPr>
        <w:t xml:space="preserve">生产交付  </w:t>
      </w:r>
      <w:bookmarkEnd w:id="33"/>
    </w:p>
    <w:p>
      <w:pPr>
        <w:pStyle w:val="3"/>
        <w:spacing w:before="300" w:after="120" w:line="288" w:lineRule="auto"/>
        <w:ind w:left="453"/>
        <w:jc w:val="left"/>
        <w:outlineLvl w:val="2"/>
      </w:pPr>
      <w:bookmarkStart w:name="heading_34" w:id="34"/>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4"/>
    </w:p>
    <w:p>
      <w:pPr>
        <w:numPr>
          <w:numId w:val="42"/>
        </w:numPr>
        <w:spacing w:before="120" w:after="120" w:line="288" w:lineRule="auto"/>
        <w:ind w:left="453"/>
        <w:jc w:val="left"/>
      </w:pPr>
      <w:r>
        <w:rPr>
          <w:rFonts w:eastAsia="等线" w:ascii="Arial" w:cs="Arial" w:hAnsi="Arial"/>
          <w:sz w:val="22"/>
        </w:rPr>
        <w:t>样件阶段的自动驾驶域控制器的生产交付流程：</w:t>
      </w:r>
    </w:p>
    <w:p>
      <w:pPr>
        <w:numPr>
          <w:numId w:val="43"/>
        </w:numPr>
        <w:spacing w:before="120" w:after="120" w:line="288" w:lineRule="auto"/>
        <w:ind w:left="907"/>
        <w:jc w:val="left"/>
      </w:pPr>
      <w:r>
        <w:rPr>
          <w:rFonts w:eastAsia="等线" w:ascii="Arial" w:cs="Arial" w:hAnsi="Arial"/>
          <w:sz w:val="22"/>
        </w:rPr>
        <w:t>Momenta下发样件需求给硬件供应商</w:t>
      </w:r>
    </w:p>
    <w:p>
      <w:pPr>
        <w:numPr>
          <w:numId w:val="44"/>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5"/>
        </w:numPr>
        <w:spacing w:before="120" w:after="120" w:line="288" w:lineRule="auto"/>
        <w:ind w:left="907"/>
        <w:jc w:val="left"/>
      </w:pPr>
      <w:r>
        <w:rPr>
          <w:rFonts w:eastAsia="等线" w:ascii="Arial" w:cs="Arial" w:hAnsi="Arial"/>
          <w:sz w:val="22"/>
        </w:rPr>
        <w:t>ADCU成品经过Momenta最终状态确认后，进行收件确认；</w:t>
      </w:r>
    </w:p>
    <w:p>
      <w:pPr>
        <w:numPr>
          <w:numId w:val="46"/>
        </w:numPr>
        <w:spacing w:before="120" w:after="120" w:line="288" w:lineRule="auto"/>
        <w:ind w:left="453"/>
        <w:jc w:val="left"/>
      </w:pPr>
      <w:r>
        <w:rPr>
          <w:rFonts w:eastAsia="等线" w:ascii="Arial" w:cs="Arial" w:hAnsi="Arial"/>
          <w:sz w:val="22"/>
        </w:rPr>
        <w:t>量产阶段的自动驾驶域控制器的生产交付流程以双方约定的交付流程进行；</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5.4.2 </w:t>
      </w:r>
      <w:r>
        <w:rPr>
          <w:rFonts w:eastAsia="等线" w:ascii="Arial" w:cs="Arial" w:hAnsi="Arial"/>
          <w:b w:val="true"/>
          <w:sz w:val="30"/>
        </w:rPr>
        <w:t xml:space="preserve">生产工艺 </w:t>
      </w:r>
      <w:bookmarkEnd w:id="35"/>
    </w:p>
    <w:p>
      <w:pPr>
        <w:numPr>
          <w:numId w:val="47"/>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8"/>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49"/>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0"/>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1"/>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2"/>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3"/>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200"/>
        <w:gridCol w:w="4215"/>
        <w:gridCol w:w="1200"/>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需求描述</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硬件供应商</w:t>
            </w:r>
          </w:p>
        </w:tc>
      </w:tr>
      <w:tr>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可视化生产管理系统</w:t>
            </w: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Kanban 1</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SMT Yield Report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SMT AOI DPPM </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SMT抛料率</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Quality Alarm system -QRAP</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Kanban 2</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ICT Yield Report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EOL Yield Report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Aging Yield Report</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温湿度 - SMT、测试、包装、仓库</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Kanban 3</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SMT output - 日/周/月</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output  - 日/周/月</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Packing output - 日/周/月</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vMerge w:val="continue"/>
            <w:tcMar>
              <w:top w:type="dxa" w:w="60"/>
              <w:left w:type="dxa" w:w="120"/>
              <w:bottom w:type="dxa" w:w="30"/>
              <w:right w:type="dxa" w:w="120"/>
            </w:tcMar>
          </w:tcPr>
          <w:p>
            <w:pPr>
              <w:spacing w:before="120" w:after="120" w:line="288" w:lineRule="auto"/>
              <w:ind w:left="0"/>
              <w:jc w:val="left"/>
            </w:pP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order aging - 生产订单持续天数(未关闭的）</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1275" w:type="dxa"/>
            <w:vMerge w:val="continue"/>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MES系统可读权限</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MES生产管理系统 - Momenta产品线</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spacing w:before="120" w:after="120" w:line="288" w:lineRule="auto"/>
        <w:ind w:left="453"/>
        <w:jc w:val="left"/>
      </w:pPr>
    </w:p>
    <w:p>
      <w:pPr>
        <w:numPr>
          <w:numId w:val="54"/>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2"/>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5.4.3 </w:t>
      </w:r>
      <w:r>
        <w:rPr>
          <w:rFonts w:eastAsia="等线" w:ascii="Arial" w:cs="Arial" w:hAnsi="Arial"/>
          <w:b w:val="true"/>
          <w:sz w:val="30"/>
        </w:rPr>
        <w:t>样件要求</w:t>
      </w:r>
      <w:bookmarkEnd w:id="36"/>
    </w:p>
    <w:p>
      <w:pPr>
        <w:numPr>
          <w:numId w:val="55"/>
        </w:numPr>
        <w:spacing w:before="120" w:after="120" w:line="288" w:lineRule="auto"/>
        <w:ind w:left="453"/>
        <w:jc w:val="left"/>
      </w:pPr>
      <w:r>
        <w:rPr>
          <w:rFonts w:eastAsia="等线" w:ascii="Arial" w:cs="Arial" w:hAnsi="Arial"/>
          <w:sz w:val="22"/>
        </w:rPr>
        <w:t>样件需按照双方确认的图纸和标准执行并满足Momenta的装车要求。</w:t>
      </w:r>
    </w:p>
    <w:p>
      <w:pPr>
        <w:numPr>
          <w:numId w:val="56"/>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7"/>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8"/>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59"/>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0"/>
        </w:numPr>
        <w:spacing w:before="120" w:after="120" w:line="288" w:lineRule="auto"/>
        <w:ind w:left="453"/>
        <w:jc w:val="left"/>
      </w:pPr>
      <w:r>
        <w:rPr>
          <w:rFonts w:eastAsia="等线" w:ascii="Arial" w:cs="Arial" w:hAnsi="Arial"/>
          <w:sz w:val="22"/>
        </w:rPr>
        <w:t>样件交付时间节点必须满足Momenta要求的装车时间。</w:t>
      </w:r>
    </w:p>
    <w:p>
      <w:pPr>
        <w:spacing w:before="120" w:after="120" w:line="288" w:lineRule="auto"/>
        <w:ind w:left="453"/>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5.4.4 </w:t>
      </w:r>
      <w:r>
        <w:rPr>
          <w:rFonts w:eastAsia="等线" w:ascii="Arial" w:cs="Arial" w:hAnsi="Arial"/>
          <w:b w:val="true"/>
          <w:sz w:val="30"/>
        </w:rPr>
        <w:t>量产件要求</w:t>
      </w:r>
      <w:bookmarkEnd w:id="37"/>
    </w:p>
    <w:p>
      <w:pPr>
        <w:numPr>
          <w:numId w:val="61"/>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2"/>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3"/>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4"/>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5"/>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8"/>
    </w:p>
    <w:p>
      <w:pPr>
        <w:numPr>
          <w:numId w:val="66"/>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7"/>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8"/>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69"/>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0"/>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1"/>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2"/>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3"/>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4"/>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5"/>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6"/>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7"/>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8"/>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9" w:id="39"/>
      <w:r>
        <w:rPr>
          <w:rFonts w:eastAsia="等线" w:ascii="Arial" w:cs="Arial" w:hAnsi="Arial"/>
          <w:color w:val="3370ff"/>
          <w:sz w:val="36"/>
        </w:rPr>
        <w:t xml:space="preserve">6. </w:t>
      </w:r>
      <w:r>
        <w:rPr>
          <w:rFonts w:eastAsia="等线" w:ascii="Arial" w:cs="Arial" w:hAnsi="Arial"/>
          <w:b w:val="true"/>
          <w:sz w:val="36"/>
        </w:rPr>
        <w:t xml:space="preserve"> 知识产权  </w:t>
      </w:r>
      <w:bookmarkEnd w:id="39"/>
    </w:p>
    <w:p>
      <w:pPr>
        <w:spacing w:before="120" w:after="120" w:line="288" w:lineRule="auto"/>
        <w:ind w:left="0" w:firstLine="420"/>
        <w:jc w:val="left"/>
      </w:pPr>
      <w:r>
        <w:rPr>
          <w:rFonts w:eastAsia="等线" w:ascii="Arial" w:cs="Arial" w:hAnsi="Arial"/>
          <w:sz w:val="22"/>
        </w:rPr>
        <w:t>本项目产生的全部工作成果及交付物（含阶段性成果）的知识产权（包括但不限于著作权、专利申请权、专利权及商业秘密等），自产生之日起即自动、排他地归甲方所有。</w:t>
      </w:r>
    </w:p>
    <w:p>
      <w:pPr>
        <w:pStyle w:val="1"/>
        <w:spacing w:before="380" w:after="140" w:line="288" w:lineRule="auto"/>
        <w:ind w:left="0"/>
        <w:jc w:val="left"/>
        <w:outlineLvl w:val="0"/>
      </w:pPr>
      <w:bookmarkStart w:name="heading_40" w:id="40"/>
      <w:r>
        <w:rPr>
          <w:rFonts w:eastAsia="等线" w:ascii="Arial" w:cs="Arial" w:hAnsi="Arial"/>
          <w:color w:val="3370ff"/>
          <w:sz w:val="36"/>
        </w:rPr>
        <w:t xml:space="preserve">7. </w:t>
      </w:r>
      <w:r>
        <w:rPr>
          <w:rFonts w:eastAsia="等线" w:ascii="Arial" w:cs="Arial" w:hAnsi="Arial"/>
          <w:b w:val="true"/>
          <w:sz w:val="36"/>
        </w:rPr>
        <w:t xml:space="preserve">交付物 </w:t>
      </w:r>
      <w:bookmarkEnd w:id="40"/>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7.1 </w:t>
      </w:r>
      <w:r>
        <w:rPr>
          <w:rFonts w:eastAsia="等线" w:ascii="Arial" w:cs="Arial" w:hAnsi="Arial"/>
          <w:b w:val="true"/>
          <w:sz w:val="32"/>
        </w:rPr>
        <w:t>自动驾驶域控制器交付物</w:t>
      </w:r>
      <w:bookmarkEnd w:id="41"/>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7.1.1 </w:t>
      </w:r>
      <w:r>
        <w:rPr>
          <w:rFonts w:eastAsia="等线" w:ascii="Arial" w:cs="Arial" w:hAnsi="Arial"/>
          <w:b w:val="true"/>
          <w:sz w:val="30"/>
        </w:rPr>
        <w:t>X7 SIP+主板</w:t>
      </w:r>
      <w:bookmarkEnd w:id="4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20"/>
        <w:gridCol w:w="2460"/>
      </w:tblGrid>
      <w:tr>
        <w:tc>
          <w:tcPr>
            <w:tcW w:w="58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项目Items</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是否提交</w:t>
            </w:r>
            <w:r>
              <w:rPr>
                <w:rFonts w:eastAsia="等线" w:ascii="Arial" w:cs="Arial" w:hAnsi="Arial"/>
                <w:sz w:val="22"/>
              </w:rPr>
              <w:br/>
            </w:r>
            <w:r>
              <w:rPr>
                <w:rFonts w:eastAsia="等线" w:ascii="Arial" w:cs="Arial" w:hAnsi="Arial"/>
                <w:b w:val="true"/>
                <w:sz w:val="22"/>
              </w:rPr>
              <w:t>Yes/No</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项目管理 Project Management</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时间计划（设计、生产、交样）Timeline（design,manufacture,delivery）</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里程碑评审报告 Milestone review report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硬件开发 Hardware Elecrical Development</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原理图文档（pdf/.DSN）SCH design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PCB设计文档（.brd文件）PCB design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WCA分析报告 WCA report file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DFMEA报告 DFMEA</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HSI文档 HSI File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SI/PI仿真报告 SI/PI simulation report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Map文档（包含MCU和SOC) IO Map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系统电源树System Power Tree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板级电路测试报告 Hardware test report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原理图设计说明书Hardware or SCH design specification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PCB设计说明书 PCB design specification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功能安全相关文档 Functional safety work product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设计评审报告（原理图和Layout) Design review reports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量产项目阶段ECR&amp; ECN</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硬件DFM</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产线PFD</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硬件FPD</w:t>
            </w:r>
            <w:r>
              <w:rPr>
                <w:rFonts w:eastAsia="等线" w:ascii="Arial" w:cs="Arial" w:hAnsi="Arial"/>
                <w:sz w:val="22"/>
                <w:shd w:fill="fff67a"/>
              </w:rPr>
              <w:t>（硬件制造生产流程）</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BOM文件（PCBA BOM和域控制器总成BOM） BOM files</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机械开发 Mechanical Development</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2D/3D图纸（外壳+支架+ADCU总成） 2D/3D drawing（housing+bracket+ADCU总成）</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CAE机械仿真报告（包括模态，随机振动，冲击等）CAE simulation report（include Modal, vibration，shock ect.）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结构热设计方案及热仿真报告（Thermal simulation）</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结构物料表MBOM</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PCBA结构限位图</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干涉检查报告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结构设计checklist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结构设计评审报告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温升测试报告和闭环热仿真分析报告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结构DFM（包括模具检具开发计划，模流分析报告，模具DFM，2D图纸可行性评估等）</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连接器ICD表格（包括线束2D图纸）</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结构DFMEA</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公差分析报告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结构设计方案说明书</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生产交付</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免费样件</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下线检查报告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上位机台架（软件源码）</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EOL上位机软件</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质量</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APQP交付物</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PPAP交付物</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试产报告/2TP报告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验证和确认 V&amp;V</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DVP</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DV整改方案及报告 DV rectification plan and report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设计验证报告 DV（design Validation） report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实验原始 log 文件</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DV台架上位机软件白盒交付 （Teststand 和 python 等软件源码）</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软件开发 Software Development </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提供MCAL 对应配置文件，复杂驱动源码 MCAL configuration file and CDD code，以及对应测试报告、测试用例</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提供获取温度、电压、MCAL, BSP以及硬件错误相关接口 API of reading teampture, voltage, hardware error and other basic interface.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br/>
            </w:r>
            <w:r>
              <w:rPr>
                <w:rFonts w:eastAsia="等线" w:ascii="Arial" w:cs="Arial" w:hAnsi="Arial"/>
                <w:sz w:val="22"/>
              </w:rPr>
              <w:t>PMIC/DDR/EMMC/SWITCH/OS及其他外设源代码，测试报告和测试Sample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BSP Bringup 的源码，及测试用例的源码</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上位机源码，（上位机产物包，且可配置，支持M搭建上位机环境）</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 安全存储，安全刷新，安全通讯接口、测试用例以及对应的测试报告，提供 VSS/FVM/IDPS 模块</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自动化测试的测试规范 + 测试源码</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 Soc 侧 SAIL 和 SWITCH 及其他相关组件的刷写固件</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 MCU 侧 bootloader 对应配置文件和code及对应测试报告，及测试用例</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CAN/以太网一致性</w:t>
            </w:r>
            <w:r>
              <w:rPr>
                <w:rFonts w:eastAsia="等线" w:ascii="Arial" w:cs="Arial" w:hAnsi="Arial"/>
                <w:sz w:val="22"/>
              </w:rPr>
              <w:t>（全部）</w:t>
            </w:r>
            <w:r>
              <w:rPr>
                <w:rFonts w:eastAsia="等线" w:ascii="Arial" w:cs="Arial" w:hAnsi="Arial"/>
                <w:sz w:val="22"/>
              </w:rPr>
              <w:t>测试</w:t>
            </w:r>
            <w:r>
              <w:rPr>
                <w:rFonts w:eastAsia="等线" w:ascii="Arial" w:cs="Arial" w:hAnsi="Arial"/>
                <w:sz w:val="22"/>
              </w:rPr>
              <w:t>及测试</w:t>
            </w:r>
            <w:r>
              <w:rPr>
                <w:rFonts w:eastAsia="等线" w:ascii="Arial" w:cs="Arial" w:hAnsi="Arial"/>
                <w:sz w:val="22"/>
              </w:rPr>
              <w:t>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功能安全 Functional Safety</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DIA中罗列的共计68个由硬件供应商负责的交付物  (7.5章节)</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信息安全 Cyber Security </w:t>
            </w:r>
          </w:p>
        </w:tc>
        <w:tc>
          <w:tcPr>
            <w:tcW w:w="2460" w:type="dxa"/>
            <w:tcMar>
              <w:top w:type="dxa" w:w="60"/>
              <w:left w:type="dxa" w:w="120"/>
              <w:bottom w:type="dxa" w:w="30"/>
              <w:right w:type="dxa" w:w="120"/>
            </w:tcMar>
          </w:tcPr>
          <w:p>
            <w:pPr>
              <w:spacing w:before="120" w:after="120" w:line="288" w:lineRule="auto"/>
              <w:ind w:left="0"/>
              <w:jc w:val="left"/>
            </w:pP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参考双方CIA中规定的交付物</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提交TLS1.2源码、测试用例以及测试报告，且符合客户企标需求</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按照CIA执行渗透测试，并提交测试报告</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r>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采购并提供信息安全必要的第三方库（如VSS软件包)</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w:t>
            </w:r>
          </w:p>
        </w:tc>
      </w:tr>
    </w:tbl>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7.2 </w:t>
      </w:r>
      <w:r>
        <w:rPr>
          <w:rFonts w:eastAsia="等线" w:ascii="Arial" w:cs="Arial" w:hAnsi="Arial"/>
          <w:b w:val="true"/>
          <w:sz w:val="32"/>
        </w:rPr>
        <w:t>供应商开发交付物</w:t>
      </w:r>
      <w:bookmarkEnd w:id="4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5145"/>
        <w:gridCol w:w="1965"/>
      </w:tblGrid>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51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交付物清单</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是否提交</w:t>
            </w:r>
            <w:r>
              <w:rPr>
                <w:rFonts w:eastAsia="等线" w:ascii="Arial" w:cs="Arial" w:hAnsi="Arial"/>
                <w:sz w:val="22"/>
              </w:rPr>
              <w:br/>
            </w:r>
            <w:r>
              <w:rPr>
                <w:rFonts w:eastAsia="等线" w:ascii="Arial" w:cs="Arial" w:hAnsi="Arial"/>
                <w:b w:val="true"/>
                <w:sz w:val="22"/>
              </w:rPr>
              <w:t>Yes/No</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供应商情况介绍</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支持此次报价的工程能力介绍</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开发时间（是否满足项目节点）</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偏差问题解决方法（签字确认）</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关键物料清单</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BOM 中零件的材料清单</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BOM 中零件的供应商清单</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DFMEA 及 PFMEA</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项目的 RAISC 表（确认）</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ADV 计划及试验报告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TIR 历史记录问题解决</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BIR 历史记录问题解决</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项目组织机构及其个人情况</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产品生产流程简图</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初始化的 APQP 计划</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生产制造情况（生产地，产量等）</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项目实施计划</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实施组织规划</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系统需求规格说明书</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系统架构设计</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网络安全产品说明书</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渗透测试报告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整体测试策略</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系统测试方案</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性能测试用例</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项目验收总结报告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系统配置安装手册</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培训方案</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用户手册</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工程图纸和 CAD 文件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CATIA 数模文件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DVP 实验计划</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DVP 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接插件信息表ICD</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交样报告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供应商产品质量保证书</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整改计划（如果是“临时认可件”）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尺寸检验报告（结构件）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尺寸检验报告</w:t>
            </w:r>
            <w:r>
              <w:rPr>
                <w:rFonts w:eastAsia="等线" w:ascii="Arial" w:cs="Arial" w:hAnsi="Arial"/>
                <w:sz w:val="22"/>
              </w:rPr>
              <w:t>（产品总成）</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材料报告/IMDS 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硬件设计方案</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关键芯片及元器件选型分析结果</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热仿真报告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问题失效分析报告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产线工艺可行性分析报告包含 DFM DFT</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CAE 报告（振动，冲击）</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模流分析报告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检查基准书（产品总成）</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模具开发进度表</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零部件分供方清单</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软件开发进度计划</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FSR/FSC</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对手件需求规范</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算法/平台软件架构</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版本日志</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软硬件集成测试报告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系统集成测试报告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封闭场地测试报告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公开道路测试报告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仿真测试报告及视频</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标定方案</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数据看板</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提供数采设备</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关联件需求规范</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软件架构设计文档</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零件系统需求规范</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功能需求规范</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产线及售后标定规范</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项目开发里程碑评估报告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原理图文档（pdf/.DSN）</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PCB设计文档（.brd文件）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WCA分析报告 WCA</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HSI文档</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SI/PI仿真报告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 Map文档（包含MCU和SOC)</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系统电源树</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板级电路测试报告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原理图设计说明书</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PCB设计说明书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功能安全相关文档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设计评审报告（原理图和Layout)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量产项目阶段ECR&amp; ECN</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硬件DFM</w:t>
            </w:r>
            <w:r>
              <w:rPr>
                <w:rFonts w:eastAsia="等线" w:ascii="Arial" w:cs="Arial" w:hAnsi="Arial"/>
                <w:sz w:val="22"/>
              </w:rPr>
              <w:t>(产线)</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硬件PFD(过程流程图)</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2D/3D图纸（外壳+支架）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88</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CAE仿真报告（包括热仿真、模流、DFM等）</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89</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免费样件</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90</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下线检查报告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91</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APQP交付物</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92</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PPAP交付物</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93</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试产报告/2TP报告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94</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DV整改方案及报告 </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95</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提供MCAL 对应配置文件，复杂驱动源码 MCAL configuration file and CDD code，以及对应测试报告</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96</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提供获取温度、电压、MCAL, BSP以及硬件错误相关接口 API of reading teampture, voltage, hardware error and other basic interface.</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97</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PMIC/DDR/EMMC/SWITCH/OS源代码，测试报告和测试Sample</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w:t>
            </w:r>
          </w:p>
        </w:tc>
      </w:tr>
    </w:tbl>
    <w:p>
      <w:pPr>
        <w:pStyle w:val="2"/>
        <w:spacing w:before="320" w:after="120" w:line="288" w:lineRule="auto"/>
        <w:ind w:left="0"/>
        <w:jc w:val="left"/>
        <w:outlineLvl w:val="1"/>
      </w:pPr>
      <w:bookmarkStart w:name="heading_44" w:id="44"/>
      <w:r>
        <w:rPr>
          <w:rFonts w:eastAsia="等线" w:ascii="Arial" w:cs="Arial" w:hAnsi="Arial"/>
          <w:color w:val="3370ff"/>
          <w:sz w:val="32"/>
        </w:rPr>
        <w:t xml:space="preserve">7.3 </w:t>
      </w:r>
      <w:r>
        <w:rPr>
          <w:rFonts w:eastAsia="等线" w:ascii="Arial" w:cs="Arial" w:hAnsi="Arial"/>
          <w:b w:val="true"/>
          <w:sz w:val="32"/>
        </w:rPr>
        <w:t>质量交付物</w:t>
      </w:r>
      <w:bookmarkEnd w:id="44"/>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7.3.1 </w:t>
      </w:r>
      <w:r>
        <w:rPr>
          <w:rFonts w:eastAsia="等线" w:ascii="Arial" w:cs="Arial" w:hAnsi="Arial"/>
          <w:b w:val="true"/>
          <w:sz w:val="30"/>
        </w:rPr>
        <w:t>APQP交付物：</w:t>
      </w:r>
      <w:bookmarkEnd w:id="45"/>
    </w:p>
    <w:p>
      <w:pPr>
        <w:spacing w:before="120" w:after="120" w:line="288" w:lineRule="auto"/>
        <w:ind w:left="0"/>
        <w:jc w:val="center"/>
      </w:pPr>
      <w:r>
        <w:drawing>
          <wp:inline distT="0" distR="0" distB="0" distL="0">
            <wp:extent cx="5257800" cy="25908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7.3.2 </w:t>
      </w:r>
      <w:r>
        <w:rPr>
          <w:rFonts w:eastAsia="等线" w:ascii="Arial" w:cs="Arial" w:hAnsi="Arial"/>
          <w:b w:val="true"/>
          <w:sz w:val="30"/>
        </w:rPr>
        <w:t>PPAP交付物：</w:t>
      </w:r>
      <w:bookmarkEnd w:id="46"/>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7.4 </w:t>
      </w:r>
      <w:r>
        <w:rPr>
          <w:rFonts w:eastAsia="等线" w:ascii="Arial" w:cs="Arial" w:hAnsi="Arial"/>
          <w:b w:val="true"/>
          <w:sz w:val="32"/>
        </w:rPr>
        <w:t>功能安全交付物</w:t>
      </w:r>
      <w:bookmarkEnd w:id="47"/>
    </w:p>
    <w:p>
      <w:pPr>
        <w:spacing w:before="120" w:after="120" w:line="288" w:lineRule="auto"/>
        <w:ind w:left="0"/>
        <w:jc w:val="left"/>
      </w:pPr>
      <w:r>
        <w:rPr>
          <w:rFonts w:eastAsia="等线" w:ascii="Arial" w:cs="Arial" w:hAnsi="Arial"/>
          <w:sz w:val="22"/>
        </w:rPr>
        <w:t>DIA:</w:t>
      </w:r>
      <w:hyperlink r:id="rId1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3510"/>
        <w:gridCol w:w="1530"/>
        <w:gridCol w:w="2265"/>
      </w:tblGrid>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26262标准中的交付物</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硬件供应商交付物（英文）</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硬件供应商交付物（中文）</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Organization-specific rules and processes for functional safety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Policy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安全政策</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competence management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Competency Management matrix</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能力管理矩阵</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Identified safety anomaly reports, if applicable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Identified safety anomaly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已识别安全异常报告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安全计划</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case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case (only applicable to the selected WP in this DIA)</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安全案例 (仅适用于此 DIA 中选定的 WP)</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Confirmation measure reports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 reporet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 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 for production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 for Production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生产放行报告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safety management regarding production, operation, service and decommissioning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process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过程</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Hardware-software interface (HSI)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 (硬件-软件接口)</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Specification of requirements for production, operation, service and decommissioning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Spec</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Hardware-software interface specification (HSI)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 (硬件-软件接口)</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safety requirements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HSR VR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HSR VR 报告 (硬件安全需求验证报告)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design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 design SPEC</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硬件设计规范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safety analysis report (DFMEA)</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DFMEA+DFA+FTA</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DFMEA+DFA+FTA (失效模式影响分析+失效分析+故障树分析)</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design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硬件供应商 technical design review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硬件供应商 技术设计评审报告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"Specification of requirements related to production, operation, service and decommissioning"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Requirements (Hardware relevant)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POSD 要求 (硬件相关)</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integration and verification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 integration test spec</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硬件集成测试规范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integration and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 integration test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硬件集成测试报告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Documentation of the software development environment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Architecture Design Guideline/SW Code Analysis Tool Guideline/SW Codeing Guideline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软件架构设计指南/软件代码分析工具指南/软件编码指南</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safety requirements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SSR</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SSR (软件安全需求)</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Hardware-software interface (HSI) specification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HSI (硬件-软件接口)</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SSR VR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SSR VR 报告 (软件安全需求验证报告)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architectural design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Architecture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Safety analysis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safety analysis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软件安全分析</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Dependent failures analysis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Safety Design Analysis (硬件供应商-specific-analysis to cover DFA)</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软件安全设计分析 (硬件供应商 特定分析，涵盖 DFA)</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Architecture VR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软件架构验证报告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unit design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detail design SPEC</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软件详细设计规范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unit implementation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SW code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生成的软件代码</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Unit Test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软件单元测试规范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report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Unit Test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软件单元测试报告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specification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Integration and Test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软件集成和测试规范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data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Configuration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软件配置规范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data</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Configuration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软件配置规范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specification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Configuration &amp; Calibration Verification Review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软件配置和校准验证评审报告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Verification report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Configuration &amp; Calibration Verification Review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软件配置和校准验证评审报告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architectural design specification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Architecture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Documentation of the software development environment (refined)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Architecture Design Guideline/SW Code Analysis Tool Guideline/SW Codeing Guideline</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软件架构设计指南/软件代码分析工具指南/软件编码指南</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information, including the user manual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manual</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安全手册</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production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production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*生产计划的安全相关内容</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production control plan, including the test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production control plan, including the test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*生产控制计划（包括测试计划）的安全相关内容</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Producibility requirements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*Producibility requirements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*生产可制造性要求规范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process capability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process capability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生产过程能力报告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service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service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服务计划的安全相关内容</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service instructions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service instructions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服务指导书的安全相关内容</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decommissioning instructions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decommissioning instructions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退役指导书的安全相关内容</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service and decommissioning requirements specification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service and decommissioning requirements specification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运行、服务和退役要求规范</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Safety-related content of the rescue services instructions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Rescue services instructions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救援服务指导书</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 measures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 measures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控制措施报告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process capability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process capability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生产过程能力报告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observation instructions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observation instructions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现场观察指导书</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Development interface agreement (DIA)</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DIA (开发接口协议)</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Supplier's safety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safety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安全计划</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agreement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agreement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供货协议</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management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management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配置管理计划</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management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management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变更管理计划</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request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request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变更请求</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 analysis and change request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 analysis and change request plan</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影响分析和变更请求计划</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59</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Documentation management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management plan,including document management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配置管理计划，包括文档管理</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60</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Documentation guideline requirements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management plan,including document management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配置管理计划，包括文档管理</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61</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tool criteria evaluation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Tool Evaluation and Qualification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软件工具评估和鉴定报告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62</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tool qualification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Tool Evaluation and Qualification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软件工具评估和鉴定报告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63</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component documentation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Component Qualification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软件组件鉴定报告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64</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component qualification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Component Qualification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软件组件鉴定报告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65</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Software component qualification verification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 Component Qualification Report VR</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软件组件鉴定报告 VR (验证报告)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66</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evaluation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evaluation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硬件元件评估报告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67</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test plan</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evaluation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硬件元件评估报告</w:t>
            </w:r>
          </w:p>
        </w:tc>
      </w:tr>
      <w:tr>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68</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evaluation report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Hardware element evaluation report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硬件元件评估报告</w:t>
            </w:r>
          </w:p>
        </w:tc>
      </w:tr>
    </w:tbl>
    <w:p>
      <w:pPr>
        <w:pStyle w:val="2"/>
        <w:spacing w:before="320" w:after="120" w:line="288" w:lineRule="auto"/>
        <w:ind w:left="0"/>
        <w:jc w:val="left"/>
        <w:outlineLvl w:val="1"/>
      </w:pPr>
      <w:bookmarkStart w:name="heading_48" w:id="48"/>
      <w:r>
        <w:rPr>
          <w:rFonts w:eastAsia="等线" w:ascii="Arial" w:cs="Arial" w:hAnsi="Arial"/>
          <w:color w:val="3370ff"/>
          <w:sz w:val="32"/>
        </w:rPr>
        <w:t xml:space="preserve">7.5 </w:t>
      </w:r>
      <w:r>
        <w:rPr>
          <w:rFonts w:eastAsia="等线" w:ascii="Arial" w:cs="Arial" w:hAnsi="Arial"/>
          <w:b w:val="true"/>
          <w:sz w:val="32"/>
        </w:rPr>
        <w:t>信息安全交付物</w:t>
      </w:r>
      <w:bookmarkEnd w:id="48"/>
    </w:p>
    <w:p>
      <w:pPr>
        <w:spacing w:before="120" w:after="120" w:line="288" w:lineRule="auto"/>
        <w:ind w:left="0"/>
        <w:jc w:val="left"/>
      </w:pPr>
      <w:r>
        <w:rPr>
          <w:rFonts w:eastAsia="等线" w:ascii="Arial" w:cs="Arial" w:hAnsi="Arial"/>
          <w:sz w:val="22"/>
        </w:rPr>
        <w:t>CIA：</w:t>
      </w:r>
      <w:hyperlink r:id="rId15">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4440"/>
        <w:gridCol w:w="975"/>
        <w:gridCol w:w="1875"/>
      </w:tblGrid>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21434标准中的交付物</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硬件供应商交付物</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硬件供应商交付形式</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policy, rules and processes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competence management, awareness management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the organization's management systems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tool management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Organizational cybersecurity audit report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plan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SeDP</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case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SeCase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assessment report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 status can be audited.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 for post-development report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 status can be audited.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interface agreement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seDIA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shall be signed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Sources for cybersecurity information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vulnerability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vulnerability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events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Weaknesses from cybersecurity events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Vulnerability Analysis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of managed vulnerabilities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definition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goals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claims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report for cybersecurity goals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concept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concept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report of cybersecurity concept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specifications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requirements for post-development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sePRI</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Documentation of the modelling, design or programming languages and coding guidelines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Verification report for the cybersecurity specifications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Weaknesses found during product development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and verification specification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and verification reports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Validation report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 and MCAL/BSP/SDK需要分析</w:t>
            </w:r>
          </w:p>
        </w:tc>
        <w:tc>
          <w:tcPr>
            <w:tcW w:w="1875" w:type="dxa"/>
            <w:tcMar>
              <w:top w:type="dxa" w:w="60"/>
              <w:left w:type="dxa" w:w="120"/>
              <w:bottom w:type="dxa" w:w="30"/>
              <w:right w:type="dxa" w:w="120"/>
            </w:tcMar>
          </w:tcPr>
          <w:p>
            <w:pPr>
              <w:spacing w:before="120" w:after="120" w:line="288" w:lineRule="auto"/>
              <w:ind w:left="0"/>
              <w:jc w:val="left"/>
            </w:pP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 control plan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Cybersecurity incident response plan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audited in the field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Procedures to communicate the end of cybersecurity support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CIA</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35</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Damage scenarios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Assets with cybersecurity properties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37</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Threat scenarios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38</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 ratings with associated impact categories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39</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Attack paths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Attack feasibility ratings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 values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r>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42</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Risk treatment decisions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TARA report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delivered</w:t>
            </w:r>
          </w:p>
        </w:tc>
      </w:tr>
    </w:tbl>
    <w:p>
      <w:pPr>
        <w:spacing w:before="120" w:after="120" w:line="288" w:lineRule="auto"/>
        <w:ind w:left="0"/>
        <w:jc w:val="left"/>
      </w:pPr>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9"/>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p>
            <w:pPr>
              <w:spacing w:before="120" w:after="120" w:line="288" w:lineRule="auto"/>
              <w:ind w:left="0"/>
              <w:jc w:val="left"/>
            </w:pP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2026/06/25</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2026/09/20</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D样</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2027/01/11</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50" w:id="50"/>
      <w:r>
        <w:rPr>
          <w:rFonts w:eastAsia="等线" w:ascii="Arial" w:cs="Arial" w:hAnsi="Arial"/>
          <w:color w:val="3370ff"/>
          <w:sz w:val="36"/>
        </w:rPr>
        <w:t xml:space="preserve">8. </w:t>
      </w:r>
      <w:r>
        <w:rPr>
          <w:rFonts w:eastAsia="等线" w:ascii="Arial" w:cs="Arial" w:hAnsi="Arial"/>
          <w:b w:val="true"/>
          <w:sz w:val="36"/>
        </w:rPr>
        <w:t>Change History</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Liming Meng</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2026.2.28</w:t>
            </w:r>
          </w:p>
        </w:tc>
        <w:tc>
          <w:tcPr>
            <w:tcW w:w="5070" w:type="dxa"/>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初始创建</w:t>
            </w:r>
            <w:r>
              <w:rPr>
                <w:rFonts w:eastAsia="等线" w:ascii="Arial" w:cs="Arial" w:hAnsi="Arial"/>
                <w:sz w:val="22"/>
              </w:rPr>
              <w:t>RoboVan</w:t>
            </w:r>
            <w:r>
              <w:rPr>
                <w:rFonts w:eastAsia="等线" w:ascii="Arial" w:cs="Arial" w:hAnsi="Arial"/>
                <w:sz w:val="22"/>
              </w:rPr>
              <w:t>版本</w:t>
            </w:r>
          </w:p>
        </w:tc>
      </w:tr>
      <w:tr>
        <w:tc>
          <w:tcPr>
            <w:tcW w:w="9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w:t>
            </w:r>
          </w:p>
        </w:tc>
        <w:tc>
          <w:tcPr>
            <w:tcW w:w="13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3370ff"/>
                <w:sz w:val="22"/>
              </w:rPr>
              <w:t>@Searay Qi</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2026.3.13</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4.2.2章节，硬件开发测试部分，硬件调试与测试 Hardware debug and test的职责变更为：硬件Tier1作为R，Momenta作为S；</w:t>
            </w:r>
          </w:p>
          <w:p>
            <w:pPr>
              <w:numPr>
                <w:numId w:val="81"/>
              </w:numPr>
              <w:spacing w:before="120" w:after="120" w:line="288" w:lineRule="auto"/>
              <w:ind w:left="0"/>
              <w:jc w:val="left"/>
            </w:pPr>
            <w:r>
              <w:rPr>
                <w:rFonts w:eastAsia="等线" w:ascii="Arial" w:cs="Arial" w:hAnsi="Arial"/>
                <w:sz w:val="22"/>
              </w:rPr>
              <w:t>3.4章节，BOM里面的BMC-SIP变更为X7-SIP；</w:t>
            </w:r>
          </w:p>
          <w:p>
            <w:pPr>
              <w:numPr>
                <w:numId w:val="82"/>
              </w:numPr>
              <w:spacing w:before="120" w:after="120" w:line="288" w:lineRule="auto"/>
              <w:ind w:left="0"/>
              <w:jc w:val="left"/>
            </w:pPr>
            <w:r>
              <w:rPr>
                <w:rFonts w:eastAsia="等线" w:ascii="Arial" w:cs="Arial" w:hAnsi="Arial"/>
                <w:sz w:val="22"/>
              </w:rPr>
              <w:t>3.1章节，SOC: 使用BMC X7 Gen1 x2变更为SOC: 使用 X7 Gen1 x2；</w:t>
            </w:r>
          </w:p>
          <w:p>
            <w:pPr>
              <w:numPr>
                <w:numId w:val="83"/>
              </w:numPr>
              <w:spacing w:before="120" w:after="120" w:line="288" w:lineRule="auto"/>
              <w:ind w:left="0"/>
              <w:jc w:val="left"/>
            </w:pPr>
            <w:r>
              <w:rPr>
                <w:rFonts w:eastAsia="等线" w:ascii="Arial" w:cs="Arial" w:hAnsi="Arial"/>
                <w:sz w:val="22"/>
              </w:rPr>
              <w:t>4.1.1章节，职责架构图调整（硬件和测试部分）</w:t>
            </w:r>
          </w:p>
        </w:tc>
      </w:tr>
      <w:tr>
        <w:tc>
          <w:tcPr>
            <w:tcW w:w="900" w:type="dxa"/>
            <w:vMerge w:val="continue"/>
            <w:tcMar>
              <w:top w:type="dxa" w:w="60"/>
              <w:left w:type="dxa" w:w="120"/>
              <w:bottom w:type="dxa" w:w="30"/>
              <w:right w:type="dxa" w:w="120"/>
            </w:tcMar>
          </w:tcPr>
          <w:p>
            <w:pPr>
              <w:spacing w:before="120" w:after="120" w:line="288" w:lineRule="auto"/>
              <w:ind w:left="0"/>
              <w:jc w:val="left"/>
            </w:pPr>
          </w:p>
        </w:tc>
        <w:tc>
          <w:tcPr>
            <w:tcW w:w="1305" w:type="dxa"/>
            <w:v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2026.3.23</w:t>
            </w:r>
          </w:p>
        </w:tc>
        <w:tc>
          <w:tcPr>
            <w:tcW w:w="5070" w:type="dxa"/>
            <w:tcMar>
              <w:top w:type="dxa" w:w="60"/>
              <w:left w:type="dxa" w:w="120"/>
              <w:bottom w:type="dxa" w:w="30"/>
              <w:right w:type="dxa" w:w="120"/>
            </w:tcMar>
          </w:tcPr>
          <w:p>
            <w:pPr>
              <w:numPr>
                <w:numId w:val="84"/>
              </w:numPr>
              <w:spacing w:before="120" w:after="120" w:line="288" w:lineRule="auto"/>
              <w:ind w:left="0"/>
              <w:jc w:val="left"/>
            </w:pPr>
            <w:r>
              <w:rPr>
                <w:rFonts w:eastAsia="等线" w:ascii="Arial" w:cs="Arial" w:hAnsi="Arial"/>
                <w:sz w:val="22"/>
              </w:rPr>
              <w:t>更新量纲信息；</w:t>
            </w:r>
          </w:p>
          <w:p>
            <w:pPr>
              <w:numPr>
                <w:numId w:val="85"/>
              </w:numPr>
              <w:spacing w:before="120" w:after="120" w:line="288" w:lineRule="auto"/>
              <w:ind w:left="0"/>
              <w:jc w:val="left"/>
            </w:pPr>
            <w:r>
              <w:rPr>
                <w:rFonts w:eastAsia="等线" w:ascii="Arial" w:cs="Arial" w:hAnsi="Arial"/>
                <w:sz w:val="22"/>
              </w:rPr>
              <w:t>第4章节，更新双方RASIC相关内容；</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51" w:id="51"/>
      <w:bookmarkEnd w:id="51"/>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93521">
    <w:lvl>
      <w:start w:val="1"/>
      <w:numFmt w:val="decimal"/>
      <w:suff w:val="tab"/>
      <w:lvlText w:val="%1."/>
      <w:rPr>
        <w:color w:val="3370ff"/>
      </w:rPr>
    </w:lvl>
  </w:abstractNum>
  <w:abstractNum w:abstractNumId="493522">
    <w:lvl>
      <w:start w:val="2"/>
      <w:numFmt w:val="decimal"/>
      <w:suff w:val="tab"/>
      <w:lvlText w:val="%1."/>
      <w:rPr>
        <w:color w:val="3370ff"/>
      </w:rPr>
    </w:lvl>
  </w:abstractNum>
  <w:abstractNum w:abstractNumId="493523">
    <w:lvl>
      <w:numFmt w:val="bullet"/>
      <w:suff w:val="tab"/>
      <w:lvlText w:val="•"/>
      <w:rPr>
        <w:color w:val="3370ff"/>
      </w:rPr>
    </w:lvl>
  </w:abstractNum>
  <w:abstractNum w:abstractNumId="493524">
    <w:lvl>
      <w:numFmt w:val="bullet"/>
      <w:suff w:val="tab"/>
      <w:lvlText w:val="•"/>
      <w:rPr>
        <w:color w:val="3370ff"/>
      </w:rPr>
    </w:lvl>
  </w:abstractNum>
  <w:abstractNum w:abstractNumId="493525">
    <w:lvl>
      <w:start w:val="1"/>
      <w:numFmt w:val="decimal"/>
      <w:suff w:val="tab"/>
      <w:lvlText w:val="%1."/>
      <w:rPr>
        <w:color w:val="3370ff"/>
      </w:rPr>
    </w:lvl>
  </w:abstractNum>
  <w:abstractNum w:abstractNumId="493526">
    <w:lvl>
      <w:start w:val="2"/>
      <w:numFmt w:val="decimal"/>
      <w:suff w:val="tab"/>
      <w:lvlText w:val="%1."/>
      <w:rPr>
        <w:color w:val="3370ff"/>
      </w:rPr>
    </w:lvl>
  </w:abstractNum>
  <w:abstractNum w:abstractNumId="493527">
    <w:lvl>
      <w:start w:val="3"/>
      <w:numFmt w:val="decimal"/>
      <w:suff w:val="tab"/>
      <w:lvlText w:val="%1."/>
      <w:rPr>
        <w:color w:val="3370ff"/>
      </w:rPr>
    </w:lvl>
  </w:abstractNum>
  <w:abstractNum w:abstractNumId="493528">
    <w:lvl>
      <w:numFmt w:val="bullet"/>
      <w:suff w:val="tab"/>
      <w:lvlText w:val="￮"/>
      <w:rPr>
        <w:color w:val="3370ff"/>
      </w:rPr>
    </w:lvl>
  </w:abstractNum>
  <w:abstractNum w:abstractNumId="493529">
    <w:lvl>
      <w:numFmt w:val="bullet"/>
      <w:suff w:val="tab"/>
      <w:lvlText w:val="￮"/>
      <w:rPr>
        <w:color w:val="3370ff"/>
      </w:rPr>
    </w:lvl>
  </w:abstractNum>
  <w:abstractNum w:abstractNumId="493530">
    <w:lvl>
      <w:numFmt w:val="bullet"/>
      <w:suff w:val="tab"/>
      <w:lvlText w:val="￮"/>
      <w:rPr>
        <w:color w:val="3370ff"/>
      </w:rPr>
    </w:lvl>
  </w:abstractNum>
  <w:abstractNum w:abstractNumId="493531">
    <w:lvl>
      <w:numFmt w:val="bullet"/>
      <w:suff w:val="tab"/>
      <w:lvlText w:val="￮"/>
      <w:rPr>
        <w:color w:val="3370ff"/>
      </w:rPr>
    </w:lvl>
  </w:abstractNum>
  <w:abstractNum w:abstractNumId="493532">
    <w:lvl>
      <w:numFmt w:val="bullet"/>
      <w:suff w:val="tab"/>
      <w:lvlText w:val="￮"/>
      <w:rPr>
        <w:color w:val="3370ff"/>
      </w:rPr>
    </w:lvl>
  </w:abstractNum>
  <w:abstractNum w:abstractNumId="493533">
    <w:lvl>
      <w:numFmt w:val="bullet"/>
      <w:suff w:val="tab"/>
      <w:lvlText w:val="￮"/>
      <w:rPr>
        <w:color w:val="3370ff"/>
      </w:rPr>
    </w:lvl>
  </w:abstractNum>
  <w:abstractNum w:abstractNumId="493534">
    <w:lvl>
      <w:numFmt w:val="bullet"/>
      <w:suff w:val="tab"/>
      <w:lvlText w:val="￮"/>
      <w:rPr>
        <w:color w:val="3370ff"/>
      </w:rPr>
    </w:lvl>
  </w:abstractNum>
  <w:abstractNum w:abstractNumId="493535">
    <w:lvl>
      <w:numFmt w:val="bullet"/>
      <w:suff w:val="tab"/>
      <w:lvlText w:val="￮"/>
      <w:rPr>
        <w:color w:val="3370ff"/>
      </w:rPr>
    </w:lvl>
  </w:abstractNum>
  <w:abstractNum w:abstractNumId="493536">
    <w:lvl>
      <w:numFmt w:val="bullet"/>
      <w:suff w:val="tab"/>
      <w:lvlText w:val="￮"/>
      <w:rPr>
        <w:color w:val="3370ff"/>
      </w:rPr>
    </w:lvl>
  </w:abstractNum>
  <w:abstractNum w:abstractNumId="493537">
    <w:lvl>
      <w:numFmt w:val="bullet"/>
      <w:suff w:val="tab"/>
      <w:lvlText w:val="￮"/>
      <w:rPr>
        <w:color w:val="3370ff"/>
      </w:rPr>
    </w:lvl>
  </w:abstractNum>
  <w:abstractNum w:abstractNumId="493538">
    <w:lvl>
      <w:numFmt w:val="bullet"/>
      <w:suff w:val="tab"/>
      <w:lvlText w:val="￮"/>
      <w:rPr>
        <w:color w:val="3370ff"/>
      </w:rPr>
    </w:lvl>
  </w:abstractNum>
  <w:abstractNum w:abstractNumId="493539">
    <w:lvl>
      <w:numFmt w:val="bullet"/>
      <w:suff w:val="tab"/>
      <w:lvlText w:val="￮"/>
      <w:rPr>
        <w:color w:val="3370ff"/>
      </w:rPr>
    </w:lvl>
  </w:abstractNum>
  <w:abstractNum w:abstractNumId="493540">
    <w:lvl>
      <w:numFmt w:val="bullet"/>
      <w:suff w:val="tab"/>
      <w:lvlText w:val="￮"/>
      <w:rPr>
        <w:color w:val="3370ff"/>
      </w:rPr>
    </w:lvl>
  </w:abstractNum>
  <w:abstractNum w:abstractNumId="493541">
    <w:lvl>
      <w:numFmt w:val="bullet"/>
      <w:suff w:val="tab"/>
      <w:lvlText w:val="￮"/>
      <w:rPr>
        <w:color w:val="3370ff"/>
      </w:rPr>
    </w:lvl>
  </w:abstractNum>
  <w:abstractNum w:abstractNumId="493542">
    <w:lvl>
      <w:numFmt w:val="bullet"/>
      <w:suff w:val="tab"/>
      <w:lvlText w:val="￮"/>
      <w:rPr>
        <w:color w:val="3370ff"/>
      </w:rPr>
    </w:lvl>
  </w:abstractNum>
  <w:abstractNum w:abstractNumId="493543">
    <w:lvl>
      <w:numFmt w:val="bullet"/>
      <w:suff w:val="tab"/>
      <w:lvlText w:val="￮"/>
      <w:rPr>
        <w:color w:val="3370ff"/>
      </w:rPr>
    </w:lvl>
  </w:abstractNum>
  <w:abstractNum w:abstractNumId="493544">
    <w:lvl>
      <w:numFmt w:val="bullet"/>
      <w:suff w:val="tab"/>
      <w:lvlText w:val="￮"/>
      <w:rPr>
        <w:color w:val="3370ff"/>
      </w:rPr>
    </w:lvl>
  </w:abstractNum>
  <w:abstractNum w:abstractNumId="493545">
    <w:lvl>
      <w:numFmt w:val="bullet"/>
      <w:suff w:val="tab"/>
      <w:lvlText w:val="￮"/>
      <w:rPr>
        <w:color w:val="3370ff"/>
      </w:rPr>
    </w:lvl>
  </w:abstractNum>
  <w:abstractNum w:abstractNumId="493546">
    <w:lvl>
      <w:numFmt w:val="bullet"/>
      <w:suff w:val="tab"/>
      <w:lvlText w:val="￮"/>
      <w:rPr>
        <w:color w:val="3370ff"/>
      </w:rPr>
    </w:lvl>
  </w:abstractNum>
  <w:abstractNum w:abstractNumId="493547">
    <w:lvl>
      <w:numFmt w:val="bullet"/>
      <w:suff w:val="tab"/>
      <w:lvlText w:val="￮"/>
      <w:rPr>
        <w:color w:val="3370ff"/>
      </w:rPr>
    </w:lvl>
  </w:abstractNum>
  <w:abstractNum w:abstractNumId="493548">
    <w:lvl>
      <w:numFmt w:val="bullet"/>
      <w:suff w:val="tab"/>
      <w:lvlText w:val="￮"/>
      <w:rPr>
        <w:color w:val="3370ff"/>
      </w:rPr>
    </w:lvl>
  </w:abstractNum>
  <w:abstractNum w:abstractNumId="493549">
    <w:lvl>
      <w:numFmt w:val="bullet"/>
      <w:suff w:val="tab"/>
      <w:lvlText w:val="￮"/>
      <w:rPr>
        <w:color w:val="3370ff"/>
      </w:rPr>
    </w:lvl>
  </w:abstractNum>
  <w:abstractNum w:abstractNumId="493550">
    <w:lvl>
      <w:numFmt w:val="bullet"/>
      <w:suff w:val="tab"/>
      <w:lvlText w:val="￮"/>
      <w:rPr>
        <w:color w:val="3370ff"/>
      </w:rPr>
    </w:lvl>
  </w:abstractNum>
  <w:abstractNum w:abstractNumId="493551">
    <w:lvl>
      <w:numFmt w:val="bullet"/>
      <w:suff w:val="tab"/>
      <w:lvlText w:val="￮"/>
      <w:rPr>
        <w:color w:val="3370ff"/>
      </w:rPr>
    </w:lvl>
  </w:abstractNum>
  <w:abstractNum w:abstractNumId="493552">
    <w:lvl>
      <w:numFmt w:val="bullet"/>
      <w:suff w:val="tab"/>
      <w:lvlText w:val="￮"/>
      <w:rPr>
        <w:color w:val="3370ff"/>
      </w:rPr>
    </w:lvl>
  </w:abstractNum>
  <w:abstractNum w:abstractNumId="493553">
    <w:lvl>
      <w:numFmt w:val="bullet"/>
      <w:suff w:val="tab"/>
      <w:lvlText w:val="￮"/>
      <w:rPr>
        <w:color w:val="3370ff"/>
      </w:rPr>
    </w:lvl>
  </w:abstractNum>
  <w:abstractNum w:abstractNumId="493554">
    <w:lvl>
      <w:numFmt w:val="bullet"/>
      <w:suff w:val="tab"/>
      <w:lvlText w:val="￮"/>
      <w:rPr>
        <w:color w:val="3370ff"/>
      </w:rPr>
    </w:lvl>
  </w:abstractNum>
  <w:abstractNum w:abstractNumId="493555">
    <w:lvl>
      <w:numFmt w:val="bullet"/>
      <w:suff w:val="tab"/>
      <w:lvlText w:val="￮"/>
      <w:rPr>
        <w:color w:val="3370ff"/>
      </w:rPr>
    </w:lvl>
  </w:abstractNum>
  <w:abstractNum w:abstractNumId="493556">
    <w:lvl>
      <w:numFmt w:val="bullet"/>
      <w:suff w:val="tab"/>
      <w:lvlText w:val="￮"/>
      <w:rPr>
        <w:color w:val="3370ff"/>
      </w:rPr>
    </w:lvl>
  </w:abstractNum>
  <w:abstractNum w:abstractNumId="493557">
    <w:lvl>
      <w:numFmt w:val="bullet"/>
      <w:suff w:val="tab"/>
      <w:lvlText w:val="￮"/>
      <w:rPr>
        <w:color w:val="3370ff"/>
      </w:rPr>
    </w:lvl>
  </w:abstractNum>
  <w:abstractNum w:abstractNumId="493558">
    <w:lvl>
      <w:numFmt w:val="bullet"/>
      <w:suff w:val="tab"/>
      <w:lvlText w:val="￮"/>
      <w:rPr>
        <w:color w:val="3370ff"/>
      </w:rPr>
    </w:lvl>
  </w:abstractNum>
  <w:abstractNum w:abstractNumId="493559">
    <w:lvl>
      <w:numFmt w:val="bullet"/>
      <w:suff w:val="tab"/>
      <w:lvlText w:val="￮"/>
      <w:rPr>
        <w:color w:val="3370ff"/>
      </w:rPr>
    </w:lvl>
  </w:abstractNum>
  <w:abstractNum w:abstractNumId="493560">
    <w:lvl>
      <w:numFmt w:val="bullet"/>
      <w:suff w:val="tab"/>
      <w:lvlText w:val="￮"/>
      <w:rPr>
        <w:color w:val="3370ff"/>
      </w:rPr>
    </w:lvl>
  </w:abstractNum>
  <w:abstractNum w:abstractNumId="493561">
    <w:lvl>
      <w:numFmt w:val="bullet"/>
      <w:suff w:val="tab"/>
      <w:lvlText w:val="￮"/>
      <w:rPr>
        <w:color w:val="3370ff"/>
      </w:rPr>
    </w:lvl>
  </w:abstractNum>
  <w:abstractNum w:abstractNumId="493562">
    <w:lvl>
      <w:numFmt w:val="bullet"/>
      <w:suff w:val="tab"/>
      <w:lvlText w:val="￮"/>
      <w:rPr>
        <w:color w:val="3370ff"/>
      </w:rPr>
    </w:lvl>
  </w:abstractNum>
  <w:abstractNum w:abstractNumId="493563">
    <w:lvl>
      <w:start w:val="1"/>
      <w:numFmt w:val="lowerRoman"/>
      <w:suff w:val="tab"/>
      <w:lvlText w:val="%1."/>
      <w:rPr>
        <w:color w:val="3370ff"/>
      </w:rPr>
    </w:lvl>
  </w:abstractNum>
  <w:abstractNum w:abstractNumId="493564">
    <w:lvl>
      <w:start w:val="2"/>
      <w:numFmt w:val="lowerRoman"/>
      <w:suff w:val="tab"/>
      <w:lvlText w:val="%1."/>
      <w:rPr>
        <w:color w:val="3370ff"/>
      </w:rPr>
    </w:lvl>
  </w:abstractNum>
  <w:abstractNum w:abstractNumId="493565">
    <w:lvl>
      <w:start w:val="3"/>
      <w:numFmt w:val="lowerRoman"/>
      <w:suff w:val="tab"/>
      <w:lvlText w:val="%1."/>
      <w:rPr>
        <w:color w:val="3370ff"/>
      </w:rPr>
    </w:lvl>
  </w:abstractNum>
  <w:abstractNum w:abstractNumId="493566">
    <w:lvl>
      <w:numFmt w:val="bullet"/>
      <w:suff w:val="tab"/>
      <w:lvlText w:val="￮"/>
      <w:rPr>
        <w:color w:val="3370ff"/>
      </w:rPr>
    </w:lvl>
  </w:abstractNum>
  <w:abstractNum w:abstractNumId="493567">
    <w:lvl>
      <w:numFmt w:val="bullet"/>
      <w:suff w:val="tab"/>
      <w:lvlText w:val="￮"/>
      <w:rPr>
        <w:color w:val="3370ff"/>
      </w:rPr>
    </w:lvl>
  </w:abstractNum>
  <w:abstractNum w:abstractNumId="493568">
    <w:lvl>
      <w:numFmt w:val="bullet"/>
      <w:suff w:val="tab"/>
      <w:lvlText w:val="￮"/>
      <w:rPr>
        <w:color w:val="3370ff"/>
      </w:rPr>
    </w:lvl>
  </w:abstractNum>
  <w:abstractNum w:abstractNumId="493569">
    <w:lvl>
      <w:numFmt w:val="bullet"/>
      <w:suff w:val="tab"/>
      <w:lvlText w:val="￮"/>
      <w:rPr>
        <w:color w:val="3370ff"/>
      </w:rPr>
    </w:lvl>
  </w:abstractNum>
  <w:abstractNum w:abstractNumId="493570">
    <w:lvl>
      <w:numFmt w:val="bullet"/>
      <w:suff w:val="tab"/>
      <w:lvlText w:val="￮"/>
      <w:rPr>
        <w:color w:val="3370ff"/>
      </w:rPr>
    </w:lvl>
  </w:abstractNum>
  <w:abstractNum w:abstractNumId="493571">
    <w:lvl>
      <w:numFmt w:val="bullet"/>
      <w:suff w:val="tab"/>
      <w:lvlText w:val="￮"/>
      <w:rPr>
        <w:color w:val="3370ff"/>
      </w:rPr>
    </w:lvl>
  </w:abstractNum>
  <w:abstractNum w:abstractNumId="493572">
    <w:lvl>
      <w:numFmt w:val="bullet"/>
      <w:suff w:val="tab"/>
      <w:lvlText w:val="￮"/>
      <w:rPr>
        <w:color w:val="3370ff"/>
      </w:rPr>
    </w:lvl>
  </w:abstractNum>
  <w:abstractNum w:abstractNumId="493573">
    <w:lvl>
      <w:numFmt w:val="bullet"/>
      <w:suff w:val="tab"/>
      <w:lvlText w:val="￮"/>
      <w:rPr>
        <w:color w:val="3370ff"/>
      </w:rPr>
    </w:lvl>
  </w:abstractNum>
  <w:abstractNum w:abstractNumId="493574">
    <w:lvl>
      <w:numFmt w:val="bullet"/>
      <w:suff w:val="tab"/>
      <w:lvlText w:val="￮"/>
      <w:rPr>
        <w:color w:val="3370ff"/>
      </w:rPr>
    </w:lvl>
  </w:abstractNum>
  <w:abstractNum w:abstractNumId="493575">
    <w:lvl>
      <w:numFmt w:val="bullet"/>
      <w:suff w:val="tab"/>
      <w:lvlText w:val="￮"/>
      <w:rPr>
        <w:color w:val="3370ff"/>
      </w:rPr>
    </w:lvl>
  </w:abstractNum>
  <w:abstractNum w:abstractNumId="493576">
    <w:lvl>
      <w:numFmt w:val="bullet"/>
      <w:suff w:val="tab"/>
      <w:lvlText w:val="￮"/>
      <w:rPr>
        <w:color w:val="3370ff"/>
      </w:rPr>
    </w:lvl>
  </w:abstractNum>
  <w:abstractNum w:abstractNumId="493577">
    <w:lvl>
      <w:numFmt w:val="bullet"/>
      <w:suff w:val="tab"/>
      <w:lvlText w:val="￮"/>
      <w:rPr>
        <w:color w:val="3370ff"/>
      </w:rPr>
    </w:lvl>
  </w:abstractNum>
  <w:abstractNum w:abstractNumId="493578">
    <w:lvl>
      <w:numFmt w:val="bullet"/>
      <w:suff w:val="tab"/>
      <w:lvlText w:val="￮"/>
      <w:rPr>
        <w:color w:val="3370ff"/>
      </w:rPr>
    </w:lvl>
  </w:abstractNum>
  <w:abstractNum w:abstractNumId="493579">
    <w:lvl>
      <w:numFmt w:val="bullet"/>
      <w:suff w:val="tab"/>
      <w:lvlText w:val="￮"/>
      <w:rPr>
        <w:color w:val="3370ff"/>
      </w:rPr>
    </w:lvl>
  </w:abstractNum>
  <w:abstractNum w:abstractNumId="493580">
    <w:lvl>
      <w:numFmt w:val="bullet"/>
      <w:suff w:val="tab"/>
      <w:lvlText w:val="￮"/>
      <w:rPr>
        <w:color w:val="3370ff"/>
      </w:rPr>
    </w:lvl>
  </w:abstractNum>
  <w:abstractNum w:abstractNumId="493581">
    <w:lvl>
      <w:numFmt w:val="bullet"/>
      <w:suff w:val="tab"/>
      <w:lvlText w:val="￮"/>
      <w:rPr>
        <w:color w:val="3370ff"/>
      </w:rPr>
    </w:lvl>
  </w:abstractNum>
  <w:abstractNum w:abstractNumId="493582">
    <w:lvl>
      <w:numFmt w:val="bullet"/>
      <w:suff w:val="tab"/>
      <w:lvlText w:val="￮"/>
      <w:rPr>
        <w:color w:val="3370ff"/>
      </w:rPr>
    </w:lvl>
  </w:abstractNum>
  <w:abstractNum w:abstractNumId="493583">
    <w:lvl>
      <w:numFmt w:val="bullet"/>
      <w:suff w:val="tab"/>
      <w:lvlText w:val="￮"/>
      <w:rPr>
        <w:color w:val="3370ff"/>
      </w:rPr>
    </w:lvl>
  </w:abstractNum>
  <w:abstractNum w:abstractNumId="493584">
    <w:lvl>
      <w:numFmt w:val="bullet"/>
      <w:suff w:val="tab"/>
      <w:lvlText w:val="￮"/>
      <w:rPr>
        <w:color w:val="3370ff"/>
      </w:rPr>
    </w:lvl>
  </w:abstractNum>
  <w:abstractNum w:abstractNumId="493585">
    <w:lvl>
      <w:numFmt w:val="bullet"/>
      <w:suff w:val="tab"/>
      <w:lvlText w:val="￮"/>
      <w:rPr>
        <w:color w:val="3370ff"/>
      </w:rPr>
    </w:lvl>
  </w:abstractNum>
  <w:abstractNum w:abstractNumId="493586">
    <w:lvl>
      <w:numFmt w:val="bullet"/>
      <w:suff w:val="tab"/>
      <w:lvlText w:val="￮"/>
      <w:rPr>
        <w:color w:val="3370ff"/>
      </w:rPr>
    </w:lvl>
  </w:abstractNum>
  <w:abstractNum w:abstractNumId="493587">
    <w:lvl>
      <w:numFmt w:val="bullet"/>
      <w:suff w:val="tab"/>
      <w:lvlText w:val="￮"/>
      <w:rPr>
        <w:color w:val="3370ff"/>
      </w:rPr>
    </w:lvl>
  </w:abstractNum>
  <w:abstractNum w:abstractNumId="493588">
    <w:lvl>
      <w:numFmt w:val="bullet"/>
      <w:suff w:val="tab"/>
      <w:lvlText w:val="￮"/>
      <w:rPr>
        <w:color w:val="3370ff"/>
      </w:rPr>
    </w:lvl>
  </w:abstractNum>
  <w:abstractNum w:abstractNumId="493589">
    <w:lvl>
      <w:numFmt w:val="bullet"/>
      <w:suff w:val="tab"/>
      <w:lvlText w:val="￮"/>
      <w:rPr>
        <w:color w:val="3370ff"/>
      </w:rPr>
    </w:lvl>
  </w:abstractNum>
  <w:abstractNum w:abstractNumId="493590">
    <w:lvl>
      <w:numFmt w:val="bullet"/>
      <w:suff w:val="tab"/>
      <w:lvlText w:val="￮"/>
      <w:rPr>
        <w:color w:val="3370ff"/>
      </w:rPr>
    </w:lvl>
  </w:abstractNum>
  <w:abstractNum w:abstractNumId="493591">
    <w:lvl>
      <w:numFmt w:val="bullet"/>
      <w:suff w:val="tab"/>
      <w:lvlText w:val="￮"/>
      <w:rPr>
        <w:color w:val="3370ff"/>
      </w:rPr>
    </w:lvl>
  </w:abstractNum>
  <w:abstractNum w:abstractNumId="493592">
    <w:lvl>
      <w:numFmt w:val="bullet"/>
      <w:suff w:val="tab"/>
      <w:lvlText w:val="￮"/>
      <w:rPr>
        <w:color w:val="3370ff"/>
      </w:rPr>
    </w:lvl>
  </w:abstractNum>
  <w:abstractNum w:abstractNumId="493593">
    <w:lvl>
      <w:numFmt w:val="bullet"/>
      <w:suff w:val="tab"/>
      <w:lvlText w:val="￮"/>
      <w:rPr>
        <w:color w:val="3370ff"/>
      </w:rPr>
    </w:lvl>
  </w:abstractNum>
  <w:abstractNum w:abstractNumId="493594">
    <w:lvl>
      <w:numFmt w:val="bullet"/>
      <w:suff w:val="tab"/>
      <w:lvlText w:val="￮"/>
      <w:rPr>
        <w:color w:val="3370ff"/>
      </w:rPr>
    </w:lvl>
  </w:abstractNum>
  <w:abstractNum w:abstractNumId="493595">
    <w:lvl>
      <w:numFmt w:val="bullet"/>
      <w:suff w:val="tab"/>
      <w:lvlText w:val="￮"/>
      <w:rPr>
        <w:color w:val="3370ff"/>
      </w:rPr>
    </w:lvl>
  </w:abstractNum>
  <w:abstractNum w:abstractNumId="493596">
    <w:lvl>
      <w:numFmt w:val="bullet"/>
      <w:suff w:val="tab"/>
      <w:lvlText w:val="￮"/>
      <w:rPr>
        <w:color w:val="3370ff"/>
      </w:rPr>
    </w:lvl>
  </w:abstractNum>
  <w:abstractNum w:abstractNumId="493597">
    <w:lvl>
      <w:numFmt w:val="bullet"/>
      <w:suff w:val="tab"/>
      <w:lvlText w:val="￮"/>
      <w:rPr>
        <w:color w:val="3370ff"/>
      </w:rPr>
    </w:lvl>
  </w:abstractNum>
  <w:abstractNum w:abstractNumId="493598">
    <w:lvl>
      <w:numFmt w:val="bullet"/>
      <w:suff w:val="tab"/>
      <w:lvlText w:val="￮"/>
      <w:rPr>
        <w:color w:val="3370ff"/>
      </w:rPr>
    </w:lvl>
  </w:abstractNum>
  <w:abstractNum w:abstractNumId="493599">
    <w:lvl>
      <w:start w:val="1"/>
      <w:numFmt w:val="decimal"/>
      <w:suff w:val="tab"/>
      <w:lvlText w:val="%1."/>
      <w:rPr>
        <w:color w:val="3370ff"/>
      </w:rPr>
    </w:lvl>
  </w:abstractNum>
  <w:abstractNum w:abstractNumId="493600">
    <w:lvl>
      <w:start w:val="1"/>
      <w:numFmt w:val="decimal"/>
      <w:suff w:val="tab"/>
      <w:lvlText w:val="%1."/>
      <w:rPr>
        <w:color w:val="3370ff"/>
      </w:rPr>
    </w:lvl>
  </w:abstractNum>
  <w:abstractNum w:abstractNumId="493601">
    <w:lvl>
      <w:start w:val="2"/>
      <w:numFmt w:val="decimal"/>
      <w:suff w:val="tab"/>
      <w:lvlText w:val="%1."/>
      <w:rPr>
        <w:color w:val="3370ff"/>
      </w:rPr>
    </w:lvl>
  </w:abstractNum>
  <w:abstractNum w:abstractNumId="493602">
    <w:lvl>
      <w:start w:val="3"/>
      <w:numFmt w:val="decimal"/>
      <w:suff w:val="tab"/>
      <w:lvlText w:val="%1."/>
      <w:rPr>
        <w:color w:val="3370ff"/>
      </w:rPr>
    </w:lvl>
  </w:abstractNum>
  <w:abstractNum w:abstractNumId="493603">
    <w:lvl>
      <w:start w:val="4"/>
      <w:numFmt w:val="decimal"/>
      <w:suff w:val="tab"/>
      <w:lvlText w:val="%1."/>
      <w:rPr>
        <w:color w:val="3370ff"/>
      </w:rPr>
    </w:lvl>
  </w:abstractNum>
  <w:abstractNum w:abstractNumId="493604">
    <w:lvl>
      <w:start w:val="1"/>
      <w:numFmt w:val="decimal"/>
      <w:suff w:val="tab"/>
      <w:lvlText w:val="%1."/>
      <w:rPr>
        <w:color w:val="3370ff"/>
      </w:rPr>
    </w:lvl>
  </w:abstractNum>
  <w:abstractNum w:abstractNumId="493605">
    <w:lvl>
      <w:start w:val="2"/>
      <w:numFmt w:val="decimal"/>
      <w:suff w:val="tab"/>
      <w:lvlText w:val="%1."/>
      <w:rPr>
        <w:color w:val="3370ff"/>
      </w:rPr>
    </w:lvl>
  </w:abstractNum>
  <w:num w:numId="1">
    <w:abstractNumId w:val="493521"/>
  </w:num>
  <w:num w:numId="2">
    <w:abstractNumId w:val="493522"/>
  </w:num>
  <w:num w:numId="3">
    <w:abstractNumId w:val="493523"/>
  </w:num>
  <w:num w:numId="4">
    <w:abstractNumId w:val="493524"/>
  </w:num>
  <w:num w:numId="5">
    <w:abstractNumId w:val="493525"/>
  </w:num>
  <w:num w:numId="6">
    <w:abstractNumId w:val="493526"/>
  </w:num>
  <w:num w:numId="7">
    <w:abstractNumId w:val="493527"/>
  </w:num>
  <w:num w:numId="8">
    <w:abstractNumId w:val="493528"/>
  </w:num>
  <w:num w:numId="9">
    <w:abstractNumId w:val="493529"/>
  </w:num>
  <w:num w:numId="10">
    <w:abstractNumId w:val="493530"/>
  </w:num>
  <w:num w:numId="11">
    <w:abstractNumId w:val="493531"/>
  </w:num>
  <w:num w:numId="12">
    <w:abstractNumId w:val="493532"/>
  </w:num>
  <w:num w:numId="13">
    <w:abstractNumId w:val="493533"/>
  </w:num>
  <w:num w:numId="14">
    <w:abstractNumId w:val="493534"/>
  </w:num>
  <w:num w:numId="15">
    <w:abstractNumId w:val="493535"/>
  </w:num>
  <w:num w:numId="16">
    <w:abstractNumId w:val="493536"/>
  </w:num>
  <w:num w:numId="17">
    <w:abstractNumId w:val="493537"/>
  </w:num>
  <w:num w:numId="18">
    <w:abstractNumId w:val="493538"/>
  </w:num>
  <w:num w:numId="19">
    <w:abstractNumId w:val="493539"/>
  </w:num>
  <w:num w:numId="20">
    <w:abstractNumId w:val="493540"/>
  </w:num>
  <w:num w:numId="21">
    <w:abstractNumId w:val="493541"/>
  </w:num>
  <w:num w:numId="22">
    <w:abstractNumId w:val="493542"/>
  </w:num>
  <w:num w:numId="23">
    <w:abstractNumId w:val="493543"/>
  </w:num>
  <w:num w:numId="24">
    <w:abstractNumId w:val="493544"/>
  </w:num>
  <w:num w:numId="25">
    <w:abstractNumId w:val="493545"/>
  </w:num>
  <w:num w:numId="26">
    <w:abstractNumId w:val="493546"/>
  </w:num>
  <w:num w:numId="27">
    <w:abstractNumId w:val="493547"/>
  </w:num>
  <w:num w:numId="28">
    <w:abstractNumId w:val="493548"/>
  </w:num>
  <w:num w:numId="29">
    <w:abstractNumId w:val="493549"/>
  </w:num>
  <w:num w:numId="30">
    <w:abstractNumId w:val="493550"/>
  </w:num>
  <w:num w:numId="31">
    <w:abstractNumId w:val="493551"/>
  </w:num>
  <w:num w:numId="32">
    <w:abstractNumId w:val="493552"/>
  </w:num>
  <w:num w:numId="33">
    <w:abstractNumId w:val="493553"/>
  </w:num>
  <w:num w:numId="34">
    <w:abstractNumId w:val="493554"/>
  </w:num>
  <w:num w:numId="35">
    <w:abstractNumId w:val="493555"/>
  </w:num>
  <w:num w:numId="36">
    <w:abstractNumId w:val="493556"/>
  </w:num>
  <w:num w:numId="37">
    <w:abstractNumId w:val="493557"/>
  </w:num>
  <w:num w:numId="38">
    <w:abstractNumId w:val="493558"/>
  </w:num>
  <w:num w:numId="39">
    <w:abstractNumId w:val="493559"/>
  </w:num>
  <w:num w:numId="40">
    <w:abstractNumId w:val="493560"/>
  </w:num>
  <w:num w:numId="41">
    <w:abstractNumId w:val="493561"/>
  </w:num>
  <w:num w:numId="42">
    <w:abstractNumId w:val="493562"/>
  </w:num>
  <w:num w:numId="43">
    <w:abstractNumId w:val="493563"/>
  </w:num>
  <w:num w:numId="44">
    <w:abstractNumId w:val="493564"/>
  </w:num>
  <w:num w:numId="45">
    <w:abstractNumId w:val="493565"/>
  </w:num>
  <w:num w:numId="46">
    <w:abstractNumId w:val="493566"/>
  </w:num>
  <w:num w:numId="47">
    <w:abstractNumId w:val="493567"/>
  </w:num>
  <w:num w:numId="48">
    <w:abstractNumId w:val="493568"/>
  </w:num>
  <w:num w:numId="49">
    <w:abstractNumId w:val="493569"/>
  </w:num>
  <w:num w:numId="50">
    <w:abstractNumId w:val="493570"/>
  </w:num>
  <w:num w:numId="51">
    <w:abstractNumId w:val="493571"/>
  </w:num>
  <w:num w:numId="52">
    <w:abstractNumId w:val="493572"/>
  </w:num>
  <w:num w:numId="53">
    <w:abstractNumId w:val="493573"/>
  </w:num>
  <w:num w:numId="54">
    <w:abstractNumId w:val="493574"/>
  </w:num>
  <w:num w:numId="55">
    <w:abstractNumId w:val="493575"/>
  </w:num>
  <w:num w:numId="56">
    <w:abstractNumId w:val="493576"/>
  </w:num>
  <w:num w:numId="57">
    <w:abstractNumId w:val="493577"/>
  </w:num>
  <w:num w:numId="58">
    <w:abstractNumId w:val="493578"/>
  </w:num>
  <w:num w:numId="59">
    <w:abstractNumId w:val="493579"/>
  </w:num>
  <w:num w:numId="60">
    <w:abstractNumId w:val="493580"/>
  </w:num>
  <w:num w:numId="61">
    <w:abstractNumId w:val="493581"/>
  </w:num>
  <w:num w:numId="62">
    <w:abstractNumId w:val="493582"/>
  </w:num>
  <w:num w:numId="63">
    <w:abstractNumId w:val="493583"/>
  </w:num>
  <w:num w:numId="64">
    <w:abstractNumId w:val="493584"/>
  </w:num>
  <w:num w:numId="65">
    <w:abstractNumId w:val="493585"/>
  </w:num>
  <w:num w:numId="66">
    <w:abstractNumId w:val="493586"/>
  </w:num>
  <w:num w:numId="67">
    <w:abstractNumId w:val="493587"/>
  </w:num>
  <w:num w:numId="68">
    <w:abstractNumId w:val="493588"/>
  </w:num>
  <w:num w:numId="69">
    <w:abstractNumId w:val="493589"/>
  </w:num>
  <w:num w:numId="70">
    <w:abstractNumId w:val="493590"/>
  </w:num>
  <w:num w:numId="71">
    <w:abstractNumId w:val="493591"/>
  </w:num>
  <w:num w:numId="72">
    <w:abstractNumId w:val="493592"/>
  </w:num>
  <w:num w:numId="73">
    <w:abstractNumId w:val="493593"/>
  </w:num>
  <w:num w:numId="74">
    <w:abstractNumId w:val="493594"/>
  </w:num>
  <w:num w:numId="75">
    <w:abstractNumId w:val="493595"/>
  </w:num>
  <w:num w:numId="76">
    <w:abstractNumId w:val="493596"/>
  </w:num>
  <w:num w:numId="77">
    <w:abstractNumId w:val="493597"/>
  </w:num>
  <w:num w:numId="78">
    <w:abstractNumId w:val="493598"/>
  </w:num>
  <w:num w:numId="79">
    <w:abstractNumId w:val="493599"/>
  </w:num>
  <w:num w:numId="80">
    <w:abstractNumId w:val="493600"/>
  </w:num>
  <w:num w:numId="81">
    <w:abstractNumId w:val="493601"/>
  </w:num>
  <w:num w:numId="82">
    <w:abstractNumId w:val="493602"/>
  </w:num>
  <w:num w:numId="83">
    <w:abstractNumId w:val="493603"/>
  </w:num>
  <w:num w:numId="84">
    <w:abstractNumId w:val="493604"/>
  </w:num>
  <w:num w:numId="85">
    <w:abstractNumId w:val="4936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jpeg" Type="http://schemas.openxmlformats.org/officeDocument/2006/relationships/image"/><Relationship Id="rId11" Target="https://momenta.feishu.cn/wiki/R2nBwkyeHiMSKCkecbUc6cK0n2s?from=space_search" TargetMode="External" Type="http://schemas.openxmlformats.org/officeDocument/2006/relationships/hyperlink"/><Relationship Id="rId12" Target="media/image5.jpeg" Type="http://schemas.openxmlformats.org/officeDocument/2006/relationships/image"/><Relationship Id="rId13" Target="media/image6.png" Type="http://schemas.openxmlformats.org/officeDocument/2006/relationships/image"/><Relationship Id="rId14" Target="https://momenta.feishu.cn/sheets/UMm9sL6VkhPtoxtyKkocUSfpnT5?sheet=1QFhcC" TargetMode="External" Type="http://schemas.openxmlformats.org/officeDocument/2006/relationships/hyperlink"/><Relationship Id="rId15" Target="https://momenta.feishu.cn/wiki/DayTwojkIipBMbkvB1AcALTyncb" TargetMode="External" Type="http://schemas.openxmlformats.org/officeDocument/2006/relationships/hyperlink"/><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2026-04-07T07:04:34Z</dcterms:created>
  <dc:creator>Apache POI</dc:creator>
</cp:coreProperties>
</file>