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jc w:val="center"/>
      </w:pPr>
      <w:r>
        <w:rPr>
          <w:rFonts w:ascii="Times New Roman" w:hAnsi="Times New Roman" w:eastAsia="Times New Roman"/>
          <w:b/>
          <w:sz w:val="36"/>
        </w:rPr>
        <w:t>Literature Review: Section 3</w:t>
      </w:r>
    </w:p>
    <w:p>
      <w:pPr>
        <w:pStyle w:val="Heading1"/>
      </w:pPr>
      <w:r>
        <w:t>Technical Approaches Used in University Chatbots</w:t>
      </w:r>
    </w:p>
    <w:p>
      <w:pPr>
        <w:spacing w:after="84" w:line="360" w:lineRule="auto"/>
        <w:ind w:firstLine="425"/>
        <w:jc w:val="both"/>
      </w:pPr>
      <w:r>
        <w:rPr>
          <w:rFonts w:ascii="Times New Roman" w:hAnsi="Times New Roman" w:eastAsia="Times New Roman"/>
          <w:sz w:val="24"/>
        </w:rPr>
        <w:t>In the development of university FAQ chatbots, what to choose of technical architecture directly determines the overall performance of systems. To address the diverse needs of students, modern conversational agents have evolved from single method frameworks into systems integrated with multi-modular. This section evaluates various methods and deeply analyzes the core text classification algorithms supporting intent routing.</w:t>
      </w:r>
    </w:p>
    <w:p>
      <w:pPr>
        <w:pStyle w:val="Heading2"/>
      </w:pPr>
      <w:r>
        <w:t>Rule-Based Approaches</w:t>
      </w:r>
    </w:p>
    <w:p>
      <w:pPr>
        <w:spacing w:after="84" w:line="360" w:lineRule="auto"/>
        <w:ind w:firstLine="425"/>
        <w:jc w:val="both"/>
      </w:pPr>
      <w:r>
        <w:rPr>
          <w:rFonts w:ascii="Times New Roman" w:hAnsi="Times New Roman" w:eastAsia="Times New Roman"/>
          <w:sz w:val="24"/>
        </w:rPr>
        <w:t>Rule-based chatbots represent the earliest paradigm in educational systems. They provide specific responses relied on predefined rules and patterns for matching user inputs. Among the reviewed studies, we find Artificial Intelligence Markup Language (AIML) is commonly used to create rule-based chatbots. Khin and Soe</w:t>
      </w:r>
      <w:r>
        <w:rPr>
          <w:rFonts w:ascii="Times New Roman" w:hAnsi="Times New Roman" w:eastAsia="Times New Roman"/>
          <w:sz w:val="24"/>
        </w:rPr>
        <w:t xml:space="preserve"> [1]</w:t>
      </w:r>
      <w:r>
        <w:rPr>
          <w:rFonts w:ascii="Times New Roman" w:hAnsi="Times New Roman" w:eastAsia="Times New Roman"/>
          <w:sz w:val="24"/>
        </w:rPr>
        <w:t>, for example, developed a university chatbot using AIML to provide predefined responses to frequently asked questions. Since they are easy to build, developers tend to use them to address well-defined queries, such as assignments distribution or course schedules</w:t>
      </w:r>
      <w:r>
        <w:rPr>
          <w:rFonts w:ascii="Times New Roman" w:hAnsi="Times New Roman" w:eastAsia="Times New Roman"/>
          <w:sz w:val="24"/>
        </w:rPr>
        <w:t xml:space="preserve"> [2, 3, 4]</w:t>
      </w:r>
      <w:r>
        <w:rPr>
          <w:rFonts w:ascii="Times New Roman" w:hAnsi="Times New Roman" w:eastAsia="Times New Roman"/>
          <w:sz w:val="24"/>
        </w:rPr>
        <w:t>, which can greatly reduce the effort and cost to build other chatbots. However, Lopez and Qamber</w:t>
      </w:r>
      <w:r>
        <w:rPr>
          <w:rFonts w:ascii="Times New Roman" w:hAnsi="Times New Roman" w:eastAsia="Times New Roman"/>
          <w:sz w:val="24"/>
        </w:rPr>
        <w:t xml:space="preserve"> [5]</w:t>
      </w:r>
      <w:r>
        <w:rPr>
          <w:rFonts w:ascii="Times New Roman" w:hAnsi="Times New Roman" w:eastAsia="Times New Roman"/>
          <w:sz w:val="24"/>
        </w:rPr>
        <w:t>observed that chatbots in higher education may struggle when users employ unexpected expressions or submit complex and ambiguous questions. Therefore, the reviewed literature suggests that their reliance on fixed patterns and short for semantic understanding makes them appropriate for narrowly defined queries, which are generally insufficient for university chatbot.</w:t>
      </w:r>
    </w:p>
    <w:p>
      <w:pPr>
        <w:pStyle w:val="Heading2"/>
      </w:pPr>
      <w:r>
        <w:t>Machine-Learning-Based Approaches</w:t>
      </w:r>
    </w:p>
    <w:p>
      <w:pPr>
        <w:spacing w:after="84" w:line="360" w:lineRule="auto"/>
        <w:ind w:firstLine="425"/>
        <w:jc w:val="both"/>
      </w:pPr>
      <w:r>
        <w:rPr>
          <w:rFonts w:ascii="Times New Roman" w:hAnsi="Times New Roman" w:eastAsia="Times New Roman"/>
          <w:sz w:val="24"/>
        </w:rPr>
        <w:t>To overcome the rigidity of pattern matching, researchers have increasingly used machine-learning-based (ML-based) methods for intent and category classification. As the development of natural language processing and machine learning algorithms, the methods for extracting text feature have been thriving. In the text classification task, the term frequency-inverse document frequency (TF-IDF) algorithm is widely used for its simplicity, strong interpretability, and suitability for small and medium-sized corpora. Its simple structure and clearing feature meaning make it adapt to constrained dialogue system in FAQ chatbots</w:t>
      </w:r>
      <w:r>
        <w:rPr>
          <w:rFonts w:ascii="Times New Roman" w:hAnsi="Times New Roman" w:eastAsia="Times New Roman"/>
          <w:sz w:val="24"/>
        </w:rPr>
        <w:t xml:space="preserve"> [6, 7]</w:t>
      </w:r>
      <w:r>
        <w:rPr>
          <w:rFonts w:ascii="Times New Roman" w:hAnsi="Times New Roman" w:eastAsia="Times New Roman"/>
          <w:sz w:val="24"/>
        </w:rPr>
        <w:t>. Based on the text feature extraction, we evaluate three core text classification algorithms:</w:t>
      </w:r>
    </w:p>
    <w:p>
      <w:pPr>
        <w:pStyle w:val="ListBullet"/>
        <w:spacing w:after="100" w:line="360" w:lineRule="auto"/>
        <w:ind w:left="720" w:hanging="357"/>
      </w:pPr>
      <w:r>
        <w:rPr>
          <w:rFonts w:ascii="Times New Roman" w:hAnsi="Times New Roman" w:eastAsia="Times New Roman"/>
          <w:b/>
          <w:sz w:val="24"/>
        </w:rPr>
        <w:t>Naive Bayes:</w:t>
      </w:r>
      <w:r>
        <w:rPr>
          <w:rFonts w:ascii="Times New Roman" w:hAnsi="Times New Roman" w:eastAsia="Times New Roman"/>
          <w:sz w:val="24"/>
        </w:rPr>
        <w:t>Naive Bayes is a probabilistic machine learning algorithm that can be used in a wide variety of classification tasks. In early text classification, the multivariate Bernoulli model only recorded the presence or absence of a word, ignoring the term frequency. A study found that Multinomial Naive Bayes (MNB) model, which incorporates word frequency, performs better at larger vocabulary sizes</w:t>
      </w:r>
      <w:r>
        <w:rPr>
          <w:rFonts w:ascii="Times New Roman" w:hAnsi="Times New Roman" w:eastAsia="Times New Roman"/>
          <w:sz w:val="24"/>
        </w:rPr>
        <w:t xml:space="preserve"> [8]</w:t>
      </w:r>
      <w:r>
        <w:rPr>
          <w:rFonts w:ascii="Times New Roman" w:hAnsi="Times New Roman" w:eastAsia="Times New Roman"/>
          <w:sz w:val="24"/>
        </w:rPr>
        <w:t>. However, an unseen word may produce a zero probability if it does not occur in the training data. To addressed this issue, Setyaningsih and Listiowarni</w:t>
      </w:r>
      <w:r>
        <w:rPr>
          <w:rFonts w:ascii="Times New Roman" w:hAnsi="Times New Roman" w:eastAsia="Times New Roman"/>
          <w:sz w:val="24"/>
        </w:rPr>
        <w:t xml:space="preserve"> [9]</w:t>
      </w:r>
      <w:r>
        <w:rPr>
          <w:rFonts w:ascii="Times New Roman" w:hAnsi="Times New Roman" w:eastAsia="Times New Roman"/>
          <w:sz w:val="24"/>
        </w:rPr>
        <w:t>applied Laplace smoothing to ensure the robustness of inputs. And it is also proved to minimize misclassification errors. Consequently, MNB with smoothing provides a efficient and relatively robust solution for intent classification, especially when the available training dataset is limited.</w:t>
      </w:r>
    </w:p>
    <w:p>
      <w:pPr>
        <w:pStyle w:val="ListBullet"/>
        <w:spacing w:after="100" w:line="360" w:lineRule="auto"/>
        <w:ind w:left="720" w:hanging="357"/>
      </w:pPr>
      <w:r>
        <w:rPr>
          <w:rFonts w:ascii="Times New Roman" w:hAnsi="Times New Roman" w:eastAsia="Times New Roman"/>
          <w:b/>
          <w:sz w:val="24"/>
        </w:rPr>
        <w:t>Logistic Regression:</w:t>
      </w:r>
      <w:r>
        <w:rPr>
          <w:rFonts w:ascii="Times New Roman" w:hAnsi="Times New Roman" w:eastAsia="Times New Roman"/>
          <w:sz w:val="24"/>
        </w:rPr>
        <w:t>Among the papers we collected, Logistic Regression is another widely used method. Instead of fitting a joint probability distribution, it directly models the posterior probability, which maps from features to class labels. It can model the relationship between TF-IDF features and intent categories. However, Acito pointed out that some rare or unseen words may be assigned extreme weights, which can cause overfitting, misleading models in real world scenario</w:t>
      </w:r>
      <w:r>
        <w:rPr>
          <w:rFonts w:ascii="Times New Roman" w:hAnsi="Times New Roman" w:eastAsia="Times New Roman"/>
          <w:sz w:val="24"/>
        </w:rPr>
        <w:t xml:space="preserve"> [10]</w:t>
      </w:r>
      <w:r>
        <w:rPr>
          <w:rFonts w:ascii="Times New Roman" w:hAnsi="Times New Roman" w:eastAsia="Times New Roman"/>
          <w:sz w:val="24"/>
        </w:rPr>
        <w:t>. To overcome this problem, L2 regularization is applied by many developers to improve generalizability and mitigate overfitting.</w:t>
      </w:r>
    </w:p>
    <w:p>
      <w:pPr>
        <w:pStyle w:val="ListBullet"/>
        <w:spacing w:after="100" w:line="360" w:lineRule="auto"/>
        <w:ind w:left="720" w:hanging="357"/>
      </w:pPr>
      <w:r>
        <w:rPr>
          <w:rFonts w:ascii="Times New Roman" w:hAnsi="Times New Roman" w:eastAsia="Times New Roman"/>
          <w:b/>
          <w:sz w:val="24"/>
        </w:rPr>
        <w:t>Linear SVM:</w:t>
      </w:r>
      <w:r>
        <w:rPr>
          <w:rFonts w:ascii="Times New Roman" w:hAnsi="Times New Roman" w:eastAsia="Times New Roman"/>
          <w:sz w:val="24"/>
        </w:rPr>
        <w:t>SVM is also a common geometric classification method based on structural risk minimization. It searches the best compromise between the complexity of the model (the learning accuracy of a particular training sample) and learning ability (error-free ability to identify any samples) in order to expect the best generalization ability</w:t>
      </w:r>
      <w:r>
        <w:rPr>
          <w:rFonts w:ascii="Times New Roman" w:hAnsi="Times New Roman" w:eastAsia="Times New Roman"/>
          <w:sz w:val="24"/>
        </w:rPr>
        <w:t xml:space="preserve"> [11]</w:t>
      </w:r>
      <w:r>
        <w:rPr>
          <w:rFonts w:ascii="Times New Roman" w:hAnsi="Times New Roman" w:eastAsia="Times New Roman"/>
          <w:sz w:val="24"/>
        </w:rPr>
        <w:t>. Liu et al. compared SVM with several other text classification methods and found that SVM achieved stronger text classification performance in their experiment</w:t>
      </w:r>
      <w:r>
        <w:rPr>
          <w:rFonts w:ascii="Times New Roman" w:hAnsi="Times New Roman" w:eastAsia="Times New Roman"/>
          <w:sz w:val="24"/>
        </w:rPr>
        <w:t xml:space="preserve"> [12]</w:t>
      </w:r>
      <w:r>
        <w:rPr>
          <w:rFonts w:ascii="Times New Roman" w:hAnsi="Times New Roman" w:eastAsia="Times New Roman"/>
          <w:sz w:val="24"/>
        </w:rPr>
        <w:t>. These findings predicate that Linear SVM is particularly suitable for high-dimensional and sparse textual features.</w:t>
      </w:r>
    </w:p>
    <w:p>
      <w:pPr>
        <w:spacing w:after="84" w:line="360" w:lineRule="auto"/>
        <w:ind w:firstLine="425"/>
        <w:jc w:val="both"/>
      </w:pPr>
      <w:r>
        <w:rPr>
          <w:rFonts w:ascii="Times New Roman" w:hAnsi="Times New Roman" w:eastAsia="Times New Roman"/>
          <w:sz w:val="24"/>
        </w:rPr>
        <w:t>Overall, the reviewed studies demonstrate that MNB, Logistic Regression, and Linear SVM are all viable algorithms for intent classification. MNB offers computational simplicity and performs effectively with word-frequency features, Logistic Regression provides probabilistic outputs, and Linear SVM often achieves strong classification performance in high-dimensional feature spaces. However, the cited studies were conducted on different datasets and tasks. Their reported numerical results therefore cannot be compared directly. For the proposed chatbot, all three algorithms should be evaluated using the same university-query dataset.</w:t>
      </w:r>
    </w:p>
    <w:p>
      <w:pPr>
        <w:pStyle w:val="Heading2"/>
      </w:pPr>
      <w:r>
        <w:t>Retrieval-Based Approaches</w:t>
      </w:r>
    </w:p>
    <w:p>
      <w:pPr>
        <w:spacing w:after="84" w:line="360" w:lineRule="auto"/>
        <w:ind w:firstLine="425"/>
        <w:jc w:val="both"/>
      </w:pPr>
      <w:r>
        <w:rPr>
          <w:rFonts w:ascii="Times New Roman" w:hAnsi="Times New Roman" w:eastAsia="Times New Roman"/>
          <w:sz w:val="24"/>
        </w:rPr>
        <w:t>A retrieval-based chatbot works by matching user inputs to the most relevant responses within a predefined dataset. The responses here are entered manually by the developer, or based on a knowledge base of pre-existing information. Traditional systems commonly use lexical retrieval methods such as TF-IDF with cosine similarity or BM25 for their efficiency and interpretability</w:t>
      </w:r>
      <w:r>
        <w:rPr>
          <w:rFonts w:ascii="Times New Roman" w:hAnsi="Times New Roman" w:eastAsia="Times New Roman"/>
          <w:sz w:val="24"/>
        </w:rPr>
        <w:t xml:space="preserve"> [13, 14]</w:t>
      </w:r>
      <w:r>
        <w:rPr>
          <w:rFonts w:ascii="Times New Roman" w:hAnsi="Times New Roman" w:eastAsia="Times New Roman"/>
          <w:sz w:val="24"/>
        </w:rPr>
        <w:t>. However, these methods may perform poorly when users express the same meaning with different vocabulary. In order to solve this limitation, researchers introduced semantic retrieval methods based on BERT, Sentence-BERT, and dense passage representations, which can better identify paraphrases and semantically related questions</w:t>
      </w:r>
      <w:r>
        <w:rPr>
          <w:rFonts w:ascii="Times New Roman" w:hAnsi="Times New Roman" w:eastAsia="Times New Roman"/>
          <w:sz w:val="24"/>
        </w:rPr>
        <w:t xml:space="preserve"> [15, 16, 17]</w:t>
      </w:r>
      <w:r>
        <w:rPr>
          <w:rFonts w:ascii="Times New Roman" w:hAnsi="Times New Roman" w:eastAsia="Times New Roman"/>
          <w:sz w:val="24"/>
        </w:rPr>
        <w:t>. Although these approaches improve retrieval flexibility, their effectiveness still depends heavily on the quality of the knowledge base. Therefore, retrieval-based methods are particularly suitable for university service chatbots because they provide reviewed and traceable answers to official enquiries.</w:t>
      </w:r>
    </w:p>
    <w:p>
      <w:pPr>
        <w:pStyle w:val="Heading2"/>
      </w:pPr>
      <w:r>
        <w:t>Hybrid Chatbot Architectures</w:t>
      </w:r>
    </w:p>
    <w:p>
      <w:pPr>
        <w:spacing w:after="84" w:line="360" w:lineRule="auto"/>
        <w:ind w:firstLine="425"/>
        <w:jc w:val="both"/>
      </w:pPr>
      <w:r>
        <w:rPr>
          <w:rFonts w:ascii="Times New Roman" w:hAnsi="Times New Roman" w:eastAsia="Times New Roman"/>
          <w:sz w:val="24"/>
        </w:rPr>
        <w:t>Among the papers we collected, quite a lot researchers choose Hybrid Chatbot Architecture to combine the rule-based systems, the ML models and retrieval-based or generative components. In a hybrid architecture, an intent classification model is first used to identify the type of user query and then direct it to the most appropriate module. Researchers such as Mikael et al.</w:t>
      </w:r>
      <w:r>
        <w:rPr>
          <w:rFonts w:ascii="Times New Roman" w:hAnsi="Times New Roman" w:eastAsia="Times New Roman"/>
          <w:sz w:val="24"/>
        </w:rPr>
        <w:t xml:space="preserve"> [18]</w:t>
      </w:r>
      <w:r>
        <w:rPr>
          <w:rFonts w:ascii="Times New Roman" w:hAnsi="Times New Roman" w:eastAsia="Times New Roman"/>
          <w:sz w:val="24"/>
        </w:rPr>
        <w:t>proposed a hybrid chatbot for educational administration. They used a MNB classifier for query routing. Questions related to registration or financial matters were handled by the rule-based component, while academic and campus-related questions were directed to a retrieval-based module. For more complex or open-ended queries, they are forwarded to the generative model. By combining these different approaches, the system can improve both response reliability and conversational flexibility.</w:t>
      </w:r>
    </w:p>
    <w:p>
      <w:pPr>
        <w:spacing w:after="84" w:line="360" w:lineRule="auto"/>
        <w:ind w:firstLine="425"/>
        <w:jc w:val="both"/>
      </w:pPr>
      <w:r>
        <w:rPr>
          <w:rFonts w:ascii="Times New Roman" w:hAnsi="Times New Roman" w:eastAsia="Times New Roman"/>
          <w:sz w:val="24"/>
        </w:rPr>
        <w:t>The reviewed hybrid studies show that different modules can be assigned according to their respective strengths. However, hybrid architectures are more difficult to design and maintain. An incorrect intent prediction may direct a query to an unsuitable module even when the required information is available elsewhere in the system. As a result, it is important to evaluate both classifier performance and end-to-end chatbot performance.</w:t>
      </w:r>
    </w:p>
    <w:p>
      <w:pPr>
        <w:pStyle w:val="Heading2"/>
      </w:pPr>
      <w:r>
        <w:t>Comparison of Methods</w:t>
      </w:r>
    </w:p>
    <w:p>
      <w:pPr>
        <w:spacing w:after="84" w:line="360" w:lineRule="auto"/>
        <w:ind w:firstLine="425"/>
        <w:jc w:val="both"/>
      </w:pPr>
      <w:r>
        <w:rPr>
          <w:rFonts w:ascii="Times New Roman" w:hAnsi="Times New Roman" w:eastAsia="Times New Roman"/>
          <w:sz w:val="24"/>
        </w:rPr>
        <w:t>To explicitly justify the technical selection, Table summarizes the strengths, limitations, and suitability of the discussed chatbot approaches.</w:t>
      </w:r>
    </w:p>
    <w:p>
      <w:pPr>
        <w:spacing w:before="120" w:after="120"/>
        <w:jc w:val="center"/>
      </w:pPr>
      <w:r>
        <w:rPr>
          <w:rFonts w:ascii="Times New Roman" w:hAnsi="Times New Roman" w:eastAsia="Times New Roman"/>
          <w:b/>
          <w:sz w:val="22"/>
        </w:rPr>
        <w:t>Table 1. Comparison of chatbot approaches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1701"/>
            <w:vAlign w:val="center"/>
            <w:tcMar>
              <w:top w:w="100" w:type="dxa"/>
              <w:start w:w="120" w:type="dxa"/>
              <w:bottom w:w="100" w:type="dxa"/>
              <w:end w:w="120" w:type="dxa"/>
            </w:tcMar>
            <w:shd w:fill="E7E6E6"/>
          </w:tcPr>
          <w:p>
            <w:pPr>
              <w:jc w:val="center"/>
            </w:pPr>
            <w:r>
              <w:rPr>
                <w:rFonts w:ascii="Times New Roman" w:hAnsi="Times New Roman" w:eastAsia="Times New Roman"/>
                <w:b/>
                <w:sz w:val="20"/>
              </w:rPr>
              <w:t>Approach</w:t>
            </w:r>
          </w:p>
        </w:tc>
        <w:tc>
          <w:tcPr>
            <w:tcW w:type="dxa" w:w="2268"/>
            <w:vAlign w:val="center"/>
            <w:tcMar>
              <w:top w:w="100" w:type="dxa"/>
              <w:start w:w="120" w:type="dxa"/>
              <w:bottom w:w="100" w:type="dxa"/>
              <w:end w:w="120" w:type="dxa"/>
            </w:tcMar>
            <w:shd w:fill="E7E6E6"/>
          </w:tcPr>
          <w:p>
            <w:pPr>
              <w:jc w:val="center"/>
            </w:pPr>
            <w:r>
              <w:rPr>
                <w:rFonts w:ascii="Times New Roman" w:hAnsi="Times New Roman" w:eastAsia="Times New Roman"/>
                <w:b/>
                <w:sz w:val="20"/>
              </w:rPr>
              <w:t>Strength</w:t>
            </w:r>
          </w:p>
        </w:tc>
        <w:tc>
          <w:tcPr>
            <w:tcW w:type="dxa" w:w="2268"/>
            <w:vAlign w:val="center"/>
            <w:tcMar>
              <w:top w:w="100" w:type="dxa"/>
              <w:start w:w="120" w:type="dxa"/>
              <w:bottom w:w="100" w:type="dxa"/>
              <w:end w:w="120" w:type="dxa"/>
            </w:tcMar>
            <w:shd w:fill="E7E6E6"/>
          </w:tcPr>
          <w:p>
            <w:pPr>
              <w:jc w:val="center"/>
            </w:pPr>
            <w:r>
              <w:rPr>
                <w:rFonts w:ascii="Times New Roman" w:hAnsi="Times New Roman" w:eastAsia="Times New Roman"/>
                <w:b/>
                <w:sz w:val="20"/>
              </w:rPr>
              <w:t>Limitation</w:t>
            </w:r>
          </w:p>
        </w:tc>
        <w:tc>
          <w:tcPr>
            <w:tcW w:type="dxa" w:w="2835"/>
            <w:vAlign w:val="center"/>
            <w:tcMar>
              <w:top w:w="100" w:type="dxa"/>
              <w:start w:w="120" w:type="dxa"/>
              <w:bottom w:w="100" w:type="dxa"/>
              <w:end w:w="120" w:type="dxa"/>
            </w:tcMar>
            <w:shd w:fill="E7E6E6"/>
          </w:tcPr>
          <w:p>
            <w:pPr>
              <w:jc w:val="center"/>
            </w:pPr>
            <w:r>
              <w:rPr>
                <w:rFonts w:ascii="Times New Roman" w:hAnsi="Times New Roman" w:eastAsia="Times New Roman"/>
                <w:b/>
                <w:sz w:val="20"/>
              </w:rPr>
              <w:t>Suitability for Our Project</w:t>
            </w:r>
          </w:p>
        </w:tc>
      </w:tr>
      <w:tr>
        <w:tc>
          <w:tcPr>
            <w:tcW w:type="dxa" w:w="1701"/>
            <w:vAlign w:val="center"/>
            <w:tcMar>
              <w:top w:w="100" w:type="dxa"/>
              <w:start w:w="120" w:type="dxa"/>
              <w:bottom w:w="100" w:type="dxa"/>
              <w:end w:w="120" w:type="dxa"/>
            </w:tcMar>
          </w:tcPr>
          <w:p>
            <w:pPr>
              <w:spacing w:after="0"/>
              <w:jc w:val="left"/>
            </w:pPr>
            <w:r>
              <w:rPr>
                <w:rFonts w:ascii="Times New Roman" w:hAnsi="Times New Roman" w:eastAsia="Times New Roman"/>
                <w:sz w:val="20"/>
              </w:rPr>
              <w:t>Rule-based</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Controllable and simple</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Poor flexibility</w:t>
            </w:r>
          </w:p>
        </w:tc>
        <w:tc>
          <w:tcPr>
            <w:tcW w:type="dxa" w:w="2835"/>
            <w:vAlign w:val="center"/>
            <w:tcMar>
              <w:top w:w="100" w:type="dxa"/>
              <w:start w:w="120" w:type="dxa"/>
              <w:bottom w:w="100" w:type="dxa"/>
              <w:end w:w="120" w:type="dxa"/>
            </w:tcMar>
          </w:tcPr>
          <w:p>
            <w:pPr>
              <w:spacing w:after="0"/>
              <w:jc w:val="left"/>
            </w:pPr>
            <w:r>
              <w:rPr>
                <w:rFonts w:ascii="Times New Roman" w:hAnsi="Times New Roman" w:eastAsia="Times New Roman"/>
                <w:sz w:val="20"/>
              </w:rPr>
              <w:t>Good for greetings/help</w:t>
            </w:r>
          </w:p>
        </w:tc>
      </w:tr>
      <w:tr>
        <w:tc>
          <w:tcPr>
            <w:tcW w:type="dxa" w:w="1701"/>
            <w:vAlign w:val="center"/>
            <w:tcMar>
              <w:top w:w="100" w:type="dxa"/>
              <w:start w:w="120" w:type="dxa"/>
              <w:bottom w:w="100" w:type="dxa"/>
              <w:end w:w="120" w:type="dxa"/>
            </w:tcMar>
          </w:tcPr>
          <w:p>
            <w:pPr>
              <w:spacing w:after="0"/>
              <w:jc w:val="left"/>
            </w:pPr>
            <w:r>
              <w:rPr>
                <w:rFonts w:ascii="Times New Roman" w:hAnsi="Times New Roman" w:eastAsia="Times New Roman"/>
                <w:sz w:val="20"/>
              </w:rPr>
              <w:t>ML-based</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Handles varied wording</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Needs labelled data</w:t>
            </w:r>
          </w:p>
        </w:tc>
        <w:tc>
          <w:tcPr>
            <w:tcW w:type="dxa" w:w="2835"/>
            <w:vAlign w:val="center"/>
            <w:tcMar>
              <w:top w:w="100" w:type="dxa"/>
              <w:start w:w="120" w:type="dxa"/>
              <w:bottom w:w="100" w:type="dxa"/>
              <w:end w:w="120" w:type="dxa"/>
            </w:tcMar>
          </w:tcPr>
          <w:p>
            <w:pPr>
              <w:spacing w:after="0"/>
              <w:jc w:val="left"/>
            </w:pPr>
            <w:r>
              <w:rPr>
                <w:rFonts w:ascii="Times New Roman" w:hAnsi="Times New Roman" w:eastAsia="Times New Roman"/>
                <w:sz w:val="20"/>
              </w:rPr>
              <w:t>Good for category classification</w:t>
            </w:r>
          </w:p>
        </w:tc>
      </w:tr>
      <w:tr>
        <w:tc>
          <w:tcPr>
            <w:tcW w:type="dxa" w:w="1701"/>
            <w:vAlign w:val="center"/>
            <w:tcMar>
              <w:top w:w="100" w:type="dxa"/>
              <w:start w:w="120" w:type="dxa"/>
              <w:bottom w:w="100" w:type="dxa"/>
              <w:end w:w="120" w:type="dxa"/>
            </w:tcMar>
          </w:tcPr>
          <w:p>
            <w:pPr>
              <w:spacing w:after="0"/>
              <w:jc w:val="left"/>
            </w:pPr>
            <w:r>
              <w:rPr>
                <w:rFonts w:ascii="Times New Roman" w:hAnsi="Times New Roman" w:eastAsia="Times New Roman"/>
                <w:sz w:val="20"/>
              </w:rPr>
              <w:t>Retrieval-based</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Uses reviewed answers</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Depends on FAQ coverage</w:t>
            </w:r>
          </w:p>
        </w:tc>
        <w:tc>
          <w:tcPr>
            <w:tcW w:type="dxa" w:w="2835"/>
            <w:vAlign w:val="center"/>
            <w:tcMar>
              <w:top w:w="100" w:type="dxa"/>
              <w:start w:w="120" w:type="dxa"/>
              <w:bottom w:w="100" w:type="dxa"/>
              <w:end w:w="120" w:type="dxa"/>
            </w:tcMar>
          </w:tcPr>
          <w:p>
            <w:pPr>
              <w:spacing w:after="0"/>
              <w:jc w:val="left"/>
            </w:pPr>
            <w:r>
              <w:rPr>
                <w:rFonts w:ascii="Times New Roman" w:hAnsi="Times New Roman" w:eastAsia="Times New Roman"/>
                <w:sz w:val="20"/>
              </w:rPr>
              <w:t>Good for official FAQ answers</w:t>
            </w:r>
          </w:p>
        </w:tc>
      </w:tr>
      <w:tr>
        <w:tc>
          <w:tcPr>
            <w:tcW w:type="dxa" w:w="1701"/>
            <w:vAlign w:val="center"/>
            <w:tcMar>
              <w:top w:w="100" w:type="dxa"/>
              <w:start w:w="120" w:type="dxa"/>
              <w:bottom w:w="100" w:type="dxa"/>
              <w:end w:w="120" w:type="dxa"/>
            </w:tcMar>
          </w:tcPr>
          <w:p>
            <w:pPr>
              <w:spacing w:after="0"/>
              <w:jc w:val="left"/>
            </w:pPr>
            <w:r>
              <w:rPr>
                <w:rFonts w:ascii="Times New Roman" w:hAnsi="Times New Roman" w:eastAsia="Times New Roman"/>
                <w:sz w:val="20"/>
              </w:rPr>
              <w:t>Generative</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Flexible</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Risk of hallucination</w:t>
            </w:r>
          </w:p>
        </w:tc>
        <w:tc>
          <w:tcPr>
            <w:tcW w:type="dxa" w:w="2835"/>
            <w:vAlign w:val="center"/>
            <w:tcMar>
              <w:top w:w="100" w:type="dxa"/>
              <w:start w:w="120" w:type="dxa"/>
              <w:bottom w:w="100" w:type="dxa"/>
              <w:end w:w="120" w:type="dxa"/>
            </w:tcMar>
          </w:tcPr>
          <w:p>
            <w:pPr>
              <w:spacing w:after="0"/>
              <w:jc w:val="left"/>
            </w:pPr>
            <w:r>
              <w:rPr>
                <w:rFonts w:ascii="Times New Roman" w:hAnsi="Times New Roman" w:eastAsia="Times New Roman"/>
                <w:sz w:val="20"/>
              </w:rPr>
              <w:t>Not main method</w:t>
            </w:r>
          </w:p>
        </w:tc>
      </w:tr>
      <w:tr>
        <w:tc>
          <w:tcPr>
            <w:tcW w:type="dxa" w:w="1701"/>
            <w:vAlign w:val="center"/>
            <w:tcMar>
              <w:top w:w="100" w:type="dxa"/>
              <w:start w:w="120" w:type="dxa"/>
              <w:bottom w:w="100" w:type="dxa"/>
              <w:end w:w="120" w:type="dxa"/>
            </w:tcMar>
          </w:tcPr>
          <w:p>
            <w:pPr>
              <w:spacing w:after="0"/>
              <w:jc w:val="left"/>
            </w:pPr>
            <w:r>
              <w:rPr>
                <w:rFonts w:ascii="Times New Roman" w:hAnsi="Times New Roman" w:eastAsia="Times New Roman"/>
                <w:sz w:val="20"/>
              </w:rPr>
              <w:t>Hybrid</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Balances control and flexibility</w:t>
            </w:r>
          </w:p>
        </w:tc>
        <w:tc>
          <w:tcPr>
            <w:tcW w:type="dxa" w:w="2268"/>
            <w:vAlign w:val="center"/>
            <w:tcMar>
              <w:top w:w="100" w:type="dxa"/>
              <w:start w:w="120" w:type="dxa"/>
              <w:bottom w:w="100" w:type="dxa"/>
              <w:end w:w="120" w:type="dxa"/>
            </w:tcMar>
          </w:tcPr>
          <w:p>
            <w:pPr>
              <w:spacing w:after="0"/>
              <w:jc w:val="left"/>
            </w:pPr>
            <w:r>
              <w:rPr>
                <w:rFonts w:ascii="Times New Roman" w:hAnsi="Times New Roman" w:eastAsia="Times New Roman"/>
                <w:sz w:val="20"/>
              </w:rPr>
              <w:t>More complex</w:t>
            </w:r>
          </w:p>
        </w:tc>
        <w:tc>
          <w:tcPr>
            <w:tcW w:type="dxa" w:w="2835"/>
            <w:vAlign w:val="center"/>
            <w:tcMar>
              <w:top w:w="100" w:type="dxa"/>
              <w:start w:w="120" w:type="dxa"/>
              <w:bottom w:w="100" w:type="dxa"/>
              <w:end w:w="120" w:type="dxa"/>
            </w:tcMar>
          </w:tcPr>
          <w:p>
            <w:pPr>
              <w:spacing w:after="0"/>
              <w:jc w:val="left"/>
            </w:pPr>
            <w:r>
              <w:rPr>
                <w:rFonts w:ascii="Times New Roman" w:hAnsi="Times New Roman" w:eastAsia="Times New Roman"/>
                <w:sz w:val="20"/>
              </w:rPr>
              <w:t>Most suitable</w:t>
            </w:r>
          </w:p>
        </w:tc>
      </w:tr>
    </w:tbl>
    <w:p>
      <w:pPr>
        <w:spacing w:after="0"/>
      </w:pPr>
    </w:p>
    <w:p>
      <w:pPr>
        <w:spacing w:after="84" w:line="360" w:lineRule="auto"/>
        <w:ind w:firstLine="425"/>
        <w:jc w:val="both"/>
      </w:pPr>
      <w:r>
        <w:rPr>
          <w:rFonts w:ascii="Times New Roman" w:hAnsi="Times New Roman" w:eastAsia="Times New Roman"/>
          <w:sz w:val="24"/>
        </w:rPr>
        <w:t>Generally, each chatbot approach has its own strengths and limitations. Since hybrid approach combines control, flexibility, and reliability, it is the most common architecture for university chatbots.</w:t>
      </w:r>
    </w:p>
    <w:p>
      <w:pPr>
        <w:pStyle w:val="Heading1"/>
      </w:pPr>
      <w:r>
        <w:t>References</w:t>
      </w:r>
    </w:p>
    <w:p>
      <w:pPr>
        <w:spacing w:after="100" w:line="240" w:lineRule="auto"/>
        <w:ind w:left="425" w:hanging="425"/>
      </w:pPr>
      <w:r>
        <w:rPr>
          <w:rFonts w:ascii="Times New Roman" w:hAnsi="Times New Roman" w:eastAsia="Times New Roman"/>
          <w:sz w:val="20"/>
        </w:rPr>
        <w:t xml:space="preserve">[1] </w:t>
      </w:r>
      <w:r>
        <w:rPr>
          <w:rFonts w:ascii="Times New Roman" w:hAnsi="Times New Roman" w:eastAsia="Times New Roman"/>
          <w:sz w:val="20"/>
        </w:rPr>
        <w:t>N. N. Khin and K. M. Soe, “University chatbot using artificial intelligence markup language,” in Proc. IEEE Conf. Computer Applications (ICCA), pp. 1–5, Feb. 2020.</w:t>
      </w:r>
    </w:p>
    <w:p>
      <w:pPr>
        <w:spacing w:after="100" w:line="240" w:lineRule="auto"/>
        <w:ind w:left="425" w:hanging="425"/>
      </w:pPr>
      <w:r>
        <w:rPr>
          <w:rFonts w:ascii="Times New Roman" w:hAnsi="Times New Roman" w:eastAsia="Times New Roman"/>
          <w:sz w:val="20"/>
        </w:rPr>
        <w:t xml:space="preserve">[2] </w:t>
      </w:r>
      <w:r>
        <w:rPr>
          <w:rFonts w:ascii="Times New Roman" w:hAnsi="Times New Roman" w:eastAsia="Times New Roman"/>
          <w:sz w:val="20"/>
        </w:rPr>
        <w:t>T. T. Nguyen, A. D. Le, H. T. Hoang, and T. Nguyen, “NEU-chatbot: Chatbot for admission of National Economics University,” Computers and Education: Artificial Intelligence, vol. 2, Art. no. 100036, Jan. 2021.</w:t>
      </w:r>
    </w:p>
    <w:p>
      <w:pPr>
        <w:spacing w:after="100" w:line="240" w:lineRule="auto"/>
        <w:ind w:left="425" w:hanging="425"/>
      </w:pPr>
      <w:r>
        <w:rPr>
          <w:rFonts w:ascii="Times New Roman" w:hAnsi="Times New Roman" w:eastAsia="Times New Roman"/>
          <w:sz w:val="20"/>
        </w:rPr>
        <w:t xml:space="preserve">[3] </w:t>
      </w:r>
      <w:r>
        <w:rPr>
          <w:rFonts w:ascii="Times New Roman" w:hAnsi="Times New Roman" w:eastAsia="Times New Roman"/>
          <w:sz w:val="20"/>
        </w:rPr>
        <w:t>D. Al-Ghadhban and N. Al-Twairesh, “Nabiha: An Arabic dialect chatbot,” International Journal of Advanced Computer Science and Applications, vol. 11, no. 3, pp. 452–459, 2020.</w:t>
      </w:r>
    </w:p>
    <w:p>
      <w:pPr>
        <w:spacing w:after="100" w:line="240" w:lineRule="auto"/>
        <w:ind w:left="425" w:hanging="425"/>
      </w:pPr>
      <w:r>
        <w:rPr>
          <w:rFonts w:ascii="Times New Roman" w:hAnsi="Times New Roman" w:eastAsia="Times New Roman"/>
          <w:sz w:val="20"/>
        </w:rPr>
        <w:t xml:space="preserve">[4] </w:t>
      </w:r>
      <w:r>
        <w:rPr>
          <w:rFonts w:ascii="Times New Roman" w:hAnsi="Times New Roman" w:eastAsia="Times New Roman"/>
          <w:sz w:val="20"/>
        </w:rPr>
        <w:t>T. Dinesh, M. R. Anala, T. T. Newton, and G. R. Smitha, “AI bot for academic schedules using Rasa,” in Proc. International Conference on Innovative Computing, Intelligent Communication and Smart Electrical Systems (ICSES), pp. 1–6, Sep. 2021.</w:t>
      </w:r>
    </w:p>
    <w:p>
      <w:pPr>
        <w:spacing w:after="100" w:line="240" w:lineRule="auto"/>
        <w:ind w:left="425" w:hanging="425"/>
      </w:pPr>
      <w:r>
        <w:rPr>
          <w:rFonts w:ascii="Times New Roman" w:hAnsi="Times New Roman" w:eastAsia="Times New Roman"/>
          <w:sz w:val="20"/>
        </w:rPr>
        <w:t xml:space="preserve">[5] </w:t>
      </w:r>
      <w:r>
        <w:rPr>
          <w:rFonts w:ascii="Times New Roman" w:hAnsi="Times New Roman" w:eastAsia="Times New Roman"/>
          <w:sz w:val="20"/>
        </w:rPr>
        <w:t>T. Lopez and M. Qamber, The Benefits and Drawbacks of Implementing Chatbots in Higher Education: A Case Study for International Students at Jönköping University, M.S. thesis, Jönköping International Business School, Jönköping University, Sweden, 2022.</w:t>
      </w:r>
    </w:p>
    <w:p>
      <w:pPr>
        <w:spacing w:after="100" w:line="240" w:lineRule="auto"/>
        <w:ind w:left="425" w:hanging="425"/>
      </w:pPr>
      <w:r>
        <w:rPr>
          <w:rFonts w:ascii="Times New Roman" w:hAnsi="Times New Roman" w:eastAsia="Times New Roman"/>
          <w:sz w:val="20"/>
        </w:rPr>
        <w:t xml:space="preserve">[6] </w:t>
      </w:r>
      <w:r>
        <w:rPr>
          <w:rFonts w:ascii="Times New Roman" w:hAnsi="Times New Roman" w:eastAsia="Times New Roman"/>
          <w:sz w:val="20"/>
        </w:rPr>
        <w:t>N. Ashraf, R. S. Ahmad, S. Bano, H. M. Azeem, and S. Naz, “Enhancing MBTI personality prediction from text data with advance word embedding technique,” VFAST Transactions on Software Engineering, vol. 12, no. 3, pp. 35–43, 2024.</w:t>
      </w:r>
    </w:p>
    <w:p>
      <w:pPr>
        <w:spacing w:after="100" w:line="240" w:lineRule="auto"/>
        <w:ind w:left="425" w:hanging="425"/>
      </w:pPr>
      <w:r>
        <w:rPr>
          <w:rFonts w:ascii="Times New Roman" w:hAnsi="Times New Roman" w:eastAsia="Times New Roman"/>
          <w:sz w:val="20"/>
        </w:rPr>
        <w:t xml:space="preserve">[7] </w:t>
      </w:r>
      <w:r>
        <w:rPr>
          <w:rFonts w:ascii="Times New Roman" w:hAnsi="Times New Roman" w:eastAsia="Times New Roman"/>
          <w:sz w:val="20"/>
        </w:rPr>
        <w:t>X. Yang, “Generative language model for chatbots based on TF-IDF personality feature recognition and classification,” Modelling and Simulation in Engineering, vol. 2026, Art. ID 2635948, Mar. 2026, doi: 10.1155/mse/2635948.</w:t>
      </w:r>
    </w:p>
    <w:p>
      <w:pPr>
        <w:spacing w:after="100" w:line="240" w:lineRule="auto"/>
        <w:ind w:left="425" w:hanging="425"/>
      </w:pPr>
      <w:r>
        <w:rPr>
          <w:rFonts w:ascii="Times New Roman" w:hAnsi="Times New Roman" w:eastAsia="Times New Roman"/>
          <w:sz w:val="20"/>
        </w:rPr>
        <w:t xml:space="preserve">[8] </w:t>
      </w:r>
      <w:r>
        <w:rPr>
          <w:rFonts w:ascii="Times New Roman" w:hAnsi="Times New Roman" w:eastAsia="Times New Roman"/>
          <w:sz w:val="20"/>
        </w:rPr>
        <w:t>A. McCallum and K. Nigam, “A comparison of event models for Naive Bayes text classification,” in Proc. AAAI Workshop on Learning for Text Categorization, pp. 41–48, 1998.</w:t>
      </w:r>
    </w:p>
    <w:p>
      <w:pPr>
        <w:spacing w:after="100" w:line="240" w:lineRule="auto"/>
        <w:ind w:left="425" w:hanging="425"/>
      </w:pPr>
      <w:r>
        <w:rPr>
          <w:rFonts w:ascii="Times New Roman" w:hAnsi="Times New Roman" w:eastAsia="Times New Roman"/>
          <w:sz w:val="20"/>
        </w:rPr>
        <w:t xml:space="preserve">[9] </w:t>
      </w:r>
      <w:r>
        <w:rPr>
          <w:rFonts w:ascii="Times New Roman" w:hAnsi="Times New Roman" w:eastAsia="Times New Roman"/>
          <w:sz w:val="20"/>
        </w:rPr>
        <w:t>E. R. Setyaningsih and I. Listiowarni, “Categorization of exam questions based on Bloom taxonomy using Naive Bayes and Laplace smoothing,” in Proc. 3rd East Indonesia Conference on Computer and Information Technology (EIConCIT), Surabaya, Indonesia, pp. 330–333, 2021, doi: 10.1109/EIConCIT50028.2021.9431862.</w:t>
      </w:r>
    </w:p>
    <w:p>
      <w:pPr>
        <w:spacing w:after="100" w:line="240" w:lineRule="auto"/>
        <w:ind w:left="425" w:hanging="425"/>
      </w:pPr>
      <w:r>
        <w:rPr>
          <w:rFonts w:ascii="Times New Roman" w:hAnsi="Times New Roman" w:eastAsia="Times New Roman"/>
          <w:sz w:val="20"/>
        </w:rPr>
        <w:t xml:space="preserve">[10] </w:t>
      </w:r>
      <w:r>
        <w:rPr>
          <w:rFonts w:ascii="Times New Roman" w:hAnsi="Times New Roman" w:eastAsia="Times New Roman"/>
          <w:sz w:val="20"/>
        </w:rPr>
        <w:t>F. Acito, “Logistic regression,” in Predictive Analytics with KNIME, Cham, Switzerland: Springer Nature, pp. 125–167, 2024, doi: 10.1007/978-3-031-45630-5_7.</w:t>
      </w:r>
    </w:p>
    <w:p>
      <w:pPr>
        <w:spacing w:after="100" w:line="240" w:lineRule="auto"/>
        <w:ind w:left="425" w:hanging="425"/>
      </w:pPr>
      <w:r>
        <w:rPr>
          <w:rFonts w:ascii="Times New Roman" w:hAnsi="Times New Roman" w:eastAsia="Times New Roman"/>
          <w:sz w:val="20"/>
        </w:rPr>
        <w:t xml:space="preserve">[11] </w:t>
      </w:r>
      <w:r>
        <w:rPr>
          <w:rFonts w:ascii="Times New Roman" w:hAnsi="Times New Roman" w:eastAsia="Times New Roman"/>
          <w:sz w:val="20"/>
        </w:rPr>
        <w:t>G. Li, S. Xing, and H. Xue, “Comparison on pattern analysis performance of SVM and RVM based on RBF kernel,” Application Research of Computers, vol. 26, no. 5, pp. 1782–1784, 2009 (in Chinese).</w:t>
      </w:r>
    </w:p>
    <w:p>
      <w:pPr>
        <w:spacing w:after="100" w:line="240" w:lineRule="auto"/>
        <w:ind w:left="425" w:hanging="425"/>
      </w:pPr>
      <w:r>
        <w:rPr>
          <w:rFonts w:ascii="Times New Roman" w:hAnsi="Times New Roman" w:eastAsia="Times New Roman"/>
          <w:sz w:val="20"/>
        </w:rPr>
        <w:t xml:space="preserve">[12] </w:t>
      </w:r>
      <w:r>
        <w:rPr>
          <w:rFonts w:ascii="Times New Roman" w:hAnsi="Times New Roman" w:eastAsia="Times New Roman"/>
          <w:sz w:val="20"/>
        </w:rPr>
        <w:t>Z. Liu, X. Lv, K. Liu, and S. Shi, “Study on SVM compared with the other text classification methods,” in 2010 Second International Workshop on Education Technology and Computer Science, Wuhan, China, pp. 219–222, 2010, doi: 10.1109/ETCS.2010.248.</w:t>
      </w:r>
    </w:p>
    <w:p>
      <w:pPr>
        <w:spacing w:after="100" w:line="240" w:lineRule="auto"/>
        <w:ind w:left="425" w:hanging="425"/>
      </w:pPr>
      <w:r>
        <w:rPr>
          <w:rFonts w:ascii="Times New Roman" w:hAnsi="Times New Roman" w:eastAsia="Times New Roman"/>
          <w:sz w:val="20"/>
        </w:rPr>
        <w:t xml:space="preserve">[13] </w:t>
      </w:r>
      <w:r>
        <w:rPr>
          <w:rFonts w:ascii="Times New Roman" w:hAnsi="Times New Roman" w:eastAsia="Times New Roman"/>
          <w:sz w:val="20"/>
        </w:rPr>
        <w:t>G. Salton and C. Buckley, “Term-weighting approaches in automatic text retrieval,” Information Processing &amp; Management, vol. 24, no. 5, pp. 513–523, 1988, doi: 10.1016/0306-4573(88)90021-0.</w:t>
      </w:r>
    </w:p>
    <w:p>
      <w:pPr>
        <w:spacing w:after="100" w:line="240" w:lineRule="auto"/>
        <w:ind w:left="425" w:hanging="425"/>
      </w:pPr>
      <w:r>
        <w:rPr>
          <w:rFonts w:ascii="Times New Roman" w:hAnsi="Times New Roman" w:eastAsia="Times New Roman"/>
          <w:sz w:val="20"/>
        </w:rPr>
        <w:t xml:space="preserve">[14] </w:t>
      </w:r>
      <w:r>
        <w:rPr>
          <w:rFonts w:ascii="Times New Roman" w:hAnsi="Times New Roman" w:eastAsia="Times New Roman"/>
          <w:sz w:val="20"/>
        </w:rPr>
        <w:t>S. Robertson and H. Zaragoza, “The probabilistic relevance framework: BM25 and beyond,” Foundations and Trends in Information Retrieval, vol. 3, no. 4, pp. 333–389, 2009, doi: 10.1561/1500000019.</w:t>
      </w:r>
    </w:p>
    <w:p>
      <w:pPr>
        <w:spacing w:after="100" w:line="240" w:lineRule="auto"/>
        <w:ind w:left="425" w:hanging="425"/>
      </w:pPr>
      <w:r>
        <w:rPr>
          <w:rFonts w:ascii="Times New Roman" w:hAnsi="Times New Roman" w:eastAsia="Times New Roman"/>
          <w:sz w:val="20"/>
        </w:rPr>
        <w:t xml:space="preserve">[15] </w:t>
      </w:r>
      <w:r>
        <w:rPr>
          <w:rFonts w:ascii="Times New Roman" w:hAnsi="Times New Roman" w:eastAsia="Times New Roman"/>
          <w:sz w:val="20"/>
        </w:rPr>
        <w:t>W. Sakata, T. Shibata, R. Tanaka, and S. Kurohashi, “FAQ retrieval using query-question similarity and BERT-based query-answer relevance,” arXiv preprint arXiv:1905.02851, 2019.</w:t>
      </w:r>
    </w:p>
    <w:p>
      <w:pPr>
        <w:spacing w:after="100" w:line="240" w:lineRule="auto"/>
        <w:ind w:left="425" w:hanging="425"/>
      </w:pPr>
      <w:r>
        <w:rPr>
          <w:rFonts w:ascii="Times New Roman" w:hAnsi="Times New Roman" w:eastAsia="Times New Roman"/>
          <w:sz w:val="20"/>
        </w:rPr>
        <w:t xml:space="preserve">[16] </w:t>
      </w:r>
      <w:r>
        <w:rPr>
          <w:rFonts w:ascii="Times New Roman" w:hAnsi="Times New Roman" w:eastAsia="Times New Roman"/>
          <w:sz w:val="20"/>
        </w:rPr>
        <w:t>N. Reimers and I. Gurevych, “Sentence-BERT: Sentence embeddings using Siamese BERT-networks,” in Proc. 2019 Conference on Empirical Methods in Natural Language Processing and the 9th International Joint Conference on Natural Language Processing (EMNLP-IJCNLP), Hong Kong, China, pp. 3982–3992, 2019, doi: 10.18653/v1/D19-1410.</w:t>
      </w:r>
    </w:p>
    <w:p>
      <w:pPr>
        <w:spacing w:after="100" w:line="240" w:lineRule="auto"/>
        <w:ind w:left="425" w:hanging="425"/>
      </w:pPr>
      <w:r>
        <w:rPr>
          <w:rFonts w:ascii="Times New Roman" w:hAnsi="Times New Roman" w:eastAsia="Times New Roman"/>
          <w:sz w:val="20"/>
        </w:rPr>
        <w:t xml:space="preserve">[17] </w:t>
      </w:r>
      <w:r>
        <w:rPr>
          <w:rFonts w:ascii="Times New Roman" w:hAnsi="Times New Roman" w:eastAsia="Times New Roman"/>
          <w:sz w:val="20"/>
        </w:rPr>
        <w:t>V. Karpukhin, B. Oguz, S. Min, P. Lewis, L. Wu, S. Edunov, D. Chen, and W.-T. Yih, “Dense passage retrieval for open-domain question answering,” in Proc. 2020 Conference on Empirical Methods in Natural Language Processing (EMNLP), pp. 6769–6781, 2020, doi: 10.18653/v1/2020.emnlp-main.550.</w:t>
      </w:r>
    </w:p>
    <w:p>
      <w:pPr>
        <w:spacing w:after="100" w:line="240" w:lineRule="auto"/>
        <w:ind w:left="425" w:hanging="425"/>
      </w:pPr>
      <w:r>
        <w:rPr>
          <w:rFonts w:ascii="Times New Roman" w:hAnsi="Times New Roman" w:eastAsia="Times New Roman"/>
          <w:sz w:val="20"/>
        </w:rPr>
        <w:t xml:space="preserve">[18] </w:t>
      </w:r>
      <w:r>
        <w:rPr>
          <w:rFonts w:ascii="Times New Roman" w:hAnsi="Times New Roman" w:eastAsia="Times New Roman"/>
          <w:sz w:val="20"/>
        </w:rPr>
        <w:t>K. Mikael, C. Öz, T. A. Rashid, and G. S. Nariman, “A hybrid chatbot model for enhancing administrative support in education: Comparative analysis, integration, and optimization,” IEEE Access, vol. 13, pp. 50741–50754, 2025, doi: 10.1109/ACCESS.2025.3552501.</w:t>
      </w:r>
    </w:p>
    <w:sectPr w:rsidR="00FC693F" w:rsidRPr="0006063C" w:rsidSect="00034616">
      <w:footerReference w:type="default" r:id="rId9"/>
      <w:pgSz w:w="11906" w:h="16838"/>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360" w:lineRule="auto"/>
      <w:ind w:firstLine="425"/>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