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b/>
          <w:color w:val="0B2545"/>
          <w:sz w:val="42"/>
        </w:rPr>
        <w:t>LightRAG 套壳式多用户平台开发计划</w:t>
      </w:r>
    </w:p>
    <w:p>
      <w:pPr>
        <w:pStyle w:val="Subtitle"/>
      </w:pPr>
      <w:r>
        <w:rPr>
          <w:rFonts w:ascii="Microsoft YaHei" w:hAnsi="Microsoft YaHei" w:eastAsia="Microsoft YaHei"/>
          <w:color w:val="555555"/>
          <w:sz w:val="21"/>
        </w:rPr>
        <w:t>目标：尽量少改动 LightRAG 原生代码，保证后续版本兼容与迭代升级。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方案定位</w:t>
            </w:r>
          </w:p>
        </w:tc>
        <w:tc>
          <w:tcPr>
            <w:tcW w:type="dxa" w:w="68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外置 Platform Backend + 外置 Platform Frontend + LightRAG 原生服务内部运行。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升级原则</w:t>
            </w:r>
          </w:p>
        </w:tc>
        <w:tc>
          <w:tcPr>
            <w:tcW w:type="dxa" w:w="68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后续升级 LightRAG 时，只升级 lightrag-hku[api] 安装包，不合并自研代码到 LightRAG 源码。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改动边界</w:t>
            </w:r>
          </w:p>
        </w:tc>
        <w:tc>
          <w:tcPr>
            <w:tcW w:type="dxa" w:w="68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不修改 lightrag/api/*.py，不改原生 WebUI，不把用户管理写进 LightRAG 包内。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首版数据库</w:t>
            </w:r>
          </w:p>
        </w:tc>
        <w:tc>
          <w:tcPr>
            <w:tcW w:type="dxa" w:w="68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SQLite，放在 D:\LightRAG\platform\data\platform.db。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工作量</w:t>
            </w:r>
          </w:p>
        </w:tc>
        <w:tc>
          <w:tcPr>
            <w:tcW w:type="dxa" w:w="68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MVP 约 14-22 个工作日；完整可用版约 24-35 个工作日。</w:t>
            </w:r>
          </w:p>
        </w:tc>
      </w:tr>
    </w:tbl>
    <w:p/>
    <w:p>
      <w:pPr>
        <w:pStyle w:val="Heading1"/>
      </w:pPr>
      <w:r>
        <w:t>1. 调整后的核心原则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sz w:val="21"/>
        </w:rPr>
        <w:t>自研平台作为唯一对外入口，LightRAG 原生 API 只作为内部 RAG 引擎。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sz w:val="21"/>
        </w:rPr>
        <w:t>平台通过 HTTP 调用 LightRAG，不 import LightRAG 内部模块，减少版本耦合。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sz w:val="21"/>
        </w:rPr>
        <w:t>用户鉴权、用户管理、角色权限、审计日志、workspace 映射全部放在平台层。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sz w:val="21"/>
        </w:rPr>
        <w:t>LightRAG 原生服务监听内部端口，例如 127.0.0.1:9622；平台监听对外端口，例如 127.0.0.1:9621。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sz w:val="21"/>
        </w:rPr>
        <w:t>平台网关根据登录用户自动注入 LIGHTRAG-WORKSPACE，用户不能自行指定 workspace。</w:t>
      </w:r>
    </w:p>
    <w:p>
      <w:pPr>
        <w:pStyle w:val="Heading1"/>
      </w:pPr>
      <w:r>
        <w:t>2. 总体架构</w:t>
      </w:r>
    </w:p>
    <w:p>
      <w:r>
        <w:t>调整后的架构以“套壳网关”为核心：浏览器只访问自研平台，平台完成鉴权和 workspace 注入后，再调用 LightRAG 原生服务。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4760"/>
        <w:gridCol w:w="2400"/>
      </w:tblGrid>
      <w:tr>
        <w:tc>
          <w:tcPr>
            <w:tcW w:type="dxa" w:w="2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组件</w:t>
            </w:r>
          </w:p>
        </w:tc>
        <w:tc>
          <w:tcPr>
            <w:tcW w:type="dxa" w:w="47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职责</w:t>
            </w:r>
          </w:p>
        </w:tc>
        <w:tc>
          <w:tcPr>
            <w:tcW w:type="dxa" w:w="24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升级影响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Platform Frontend</w:t>
            </w:r>
          </w:p>
        </w:tc>
        <w:tc>
          <w:tcPr>
            <w:tcW w:type="dxa" w:w="47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全新 WebUI：登录、文档、查询、图谱、用户管理。</w:t>
            </w:r>
          </w:p>
        </w:tc>
        <w:tc>
          <w:tcPr>
            <w:tcW w:type="dxa" w:w="24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自研代码，不受 LightRAG 前端升级影响。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Platform Backend</w:t>
            </w:r>
          </w:p>
        </w:tc>
        <w:tc>
          <w:tcPr>
            <w:tcW w:type="dxa" w:w="47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认证、用户管理、权限、API Gateway、审计、配置。</w:t>
            </w:r>
          </w:p>
        </w:tc>
        <w:tc>
          <w:tcPr>
            <w:tcW w:type="dxa" w:w="24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自研代码，只依赖 LightRAG HTTP API。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LightRAG Runtime</w:t>
            </w:r>
          </w:p>
        </w:tc>
        <w:tc>
          <w:tcPr>
            <w:tcW w:type="dxa" w:w="47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原生 RAG 能力：文档处理、向量检索、图谱、查询。</w:t>
            </w:r>
          </w:p>
        </w:tc>
        <w:tc>
          <w:tcPr>
            <w:tcW w:type="dxa" w:w="24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可通过升级安装包迭代。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Platform DB</w:t>
            </w:r>
          </w:p>
        </w:tc>
        <w:tc>
          <w:tcPr>
            <w:tcW w:type="dxa" w:w="47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用户、角色、workspace 映射、审计、用户设置。</w:t>
            </w:r>
          </w:p>
        </w:tc>
        <w:tc>
          <w:tcPr>
            <w:tcW w:type="dxa" w:w="24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自研平台数据，独立迁移。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RAG Storage</w:t>
            </w:r>
          </w:p>
        </w:tc>
        <w:tc>
          <w:tcPr>
            <w:tcW w:type="dxa" w:w="47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各用户 workspace 下的 RAG 数据。</w:t>
            </w:r>
          </w:p>
        </w:tc>
        <w:tc>
          <w:tcPr>
            <w:tcW w:type="dxa" w:w="24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继续由 LightRAG 管理。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B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8"/>
              </w:rPr>
              <w:t>用户浏览器</w:t>
            </w:r>
            <w:r>
              <w:br/>
            </w:r>
            <w:r>
              <w:rPr>
                <w:rFonts w:ascii="Consolas" w:hAnsi="Consolas" w:eastAsia="Microsoft YaHei"/>
                <w:sz w:val="18"/>
              </w:rPr>
              <w:t xml:space="preserve">  -&gt; Platform Frontend</w:t>
            </w:r>
            <w:r>
              <w:br/>
            </w:r>
            <w:r>
              <w:rPr>
                <w:rFonts w:ascii="Consolas" w:hAnsi="Consolas" w:eastAsia="Microsoft YaHei"/>
                <w:sz w:val="18"/>
              </w:rPr>
              <w:t xml:space="preserve">  -&gt; Platform Backend / API Gateway</w:t>
            </w:r>
            <w:r>
              <w:br/>
            </w:r>
            <w:r>
              <w:rPr>
                <w:rFonts w:ascii="Consolas" w:hAnsi="Consolas" w:eastAsia="Microsoft YaHei"/>
                <w:sz w:val="18"/>
              </w:rPr>
              <w:t xml:space="preserve">     -&gt; 注入 JWT 用户对应的 LIGHTRAG-WORKSPACE</w:t>
            </w:r>
            <w:r>
              <w:br/>
            </w:r>
            <w:r>
              <w:rPr>
                <w:rFonts w:ascii="Consolas" w:hAnsi="Consolas" w:eastAsia="Microsoft YaHei"/>
                <w:sz w:val="18"/>
              </w:rPr>
              <w:t xml:space="preserve">     -&gt; LightRAG 原生 API 服务</w:t>
            </w:r>
            <w:r>
              <w:br/>
            </w:r>
            <w:r>
              <w:rPr>
                <w:rFonts w:ascii="Consolas" w:hAnsi="Consolas" w:eastAsia="Microsoft YaHei"/>
                <w:sz w:val="18"/>
              </w:rPr>
              <w:t xml:space="preserve">        -&gt; 用户独立 workspace 存储</w:t>
            </w:r>
            <w:r>
              <w:br/>
            </w:r>
          </w:p>
        </w:tc>
      </w:tr>
    </w:tbl>
    <w:p/>
    <w:p>
      <w:pPr>
        <w:pStyle w:val="Heading1"/>
      </w:pPr>
      <w:r>
        <w:t>3. 推荐目录结构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B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8"/>
              </w:rPr>
              <w:t>D:\LightRAG</w:t>
            </w:r>
            <w:r>
              <w:br/>
            </w:r>
            <w:r>
              <w:rPr>
                <w:rFonts w:ascii="Consolas" w:hAnsi="Consolas" w:eastAsia="Microsoft YaHei"/>
                <w:sz w:val="18"/>
              </w:rPr>
              <w:t xml:space="preserve">  platform</w:t>
            </w:r>
            <w:r>
              <w:br/>
            </w:r>
            <w:r>
              <w:rPr>
                <w:rFonts w:ascii="Consolas" w:hAnsi="Consolas" w:eastAsia="Microsoft YaHei"/>
                <w:sz w:val="18"/>
              </w:rPr>
              <w:t xml:space="preserve">    backend</w:t>
            </w:r>
            <w:r>
              <w:br/>
            </w:r>
            <w:r>
              <w:rPr>
                <w:rFonts w:ascii="Consolas" w:hAnsi="Consolas" w:eastAsia="Microsoft YaHei"/>
                <w:sz w:val="18"/>
              </w:rPr>
              <w:t xml:space="preserve">      app</w:t>
            </w:r>
            <w:r>
              <w:br/>
            </w:r>
            <w:r>
              <w:rPr>
                <w:rFonts w:ascii="Consolas" w:hAnsi="Consolas" w:eastAsia="Microsoft YaHei"/>
                <w:sz w:val="18"/>
              </w:rPr>
              <w:t xml:space="preserve">        main.py</w:t>
            </w:r>
            <w:r>
              <w:br/>
            </w:r>
            <w:r>
              <w:rPr>
                <w:rFonts w:ascii="Consolas" w:hAnsi="Consolas" w:eastAsia="Microsoft YaHei"/>
                <w:sz w:val="18"/>
              </w:rPr>
              <w:t xml:space="preserve">        core</w:t>
            </w:r>
            <w:r>
              <w:br/>
            </w:r>
            <w:r>
              <w:rPr>
                <w:rFonts w:ascii="Consolas" w:hAnsi="Consolas" w:eastAsia="Microsoft YaHei"/>
                <w:sz w:val="18"/>
              </w:rPr>
              <w:t xml:space="preserve">        db</w:t>
            </w:r>
            <w:r>
              <w:br/>
            </w:r>
            <w:r>
              <w:rPr>
                <w:rFonts w:ascii="Consolas" w:hAnsi="Consolas" w:eastAsia="Microsoft YaHei"/>
                <w:sz w:val="18"/>
              </w:rPr>
              <w:t xml:space="preserve">        models</w:t>
            </w:r>
            <w:r>
              <w:br/>
            </w:r>
            <w:r>
              <w:rPr>
                <w:rFonts w:ascii="Consolas" w:hAnsi="Consolas" w:eastAsia="Microsoft YaHei"/>
                <w:sz w:val="18"/>
              </w:rPr>
              <w:t xml:space="preserve">        routers</w:t>
            </w:r>
            <w:r>
              <w:br/>
            </w:r>
            <w:r>
              <w:rPr>
                <w:rFonts w:ascii="Consolas" w:hAnsi="Consolas" w:eastAsia="Microsoft YaHei"/>
                <w:sz w:val="18"/>
              </w:rPr>
              <w:t xml:space="preserve">        services</w:t>
            </w:r>
            <w:r>
              <w:br/>
            </w:r>
            <w:r>
              <w:rPr>
                <w:rFonts w:ascii="Consolas" w:hAnsi="Consolas" w:eastAsia="Microsoft YaHei"/>
                <w:sz w:val="18"/>
              </w:rPr>
              <w:t xml:space="preserve">        gateway</w:t>
            </w:r>
            <w:r>
              <w:br/>
            </w:r>
            <w:r>
              <w:rPr>
                <w:rFonts w:ascii="Consolas" w:hAnsi="Consolas" w:eastAsia="Microsoft YaHei"/>
                <w:sz w:val="18"/>
              </w:rPr>
              <w:t xml:space="preserve">      pyproject.toml</w:t>
            </w:r>
            <w:r>
              <w:br/>
            </w:r>
            <w:r>
              <w:rPr>
                <w:rFonts w:ascii="Consolas" w:hAnsi="Consolas" w:eastAsia="Microsoft YaHei"/>
                <w:sz w:val="18"/>
              </w:rPr>
              <w:t xml:space="preserve">    frontend</w:t>
            </w:r>
            <w:r>
              <w:br/>
            </w:r>
            <w:r>
              <w:rPr>
                <w:rFonts w:ascii="Consolas" w:hAnsi="Consolas" w:eastAsia="Microsoft YaHei"/>
                <w:sz w:val="18"/>
              </w:rPr>
              <w:t xml:space="preserve">      src</w:t>
            </w:r>
            <w:r>
              <w:br/>
            </w:r>
            <w:r>
              <w:rPr>
                <w:rFonts w:ascii="Consolas" w:hAnsi="Consolas" w:eastAsia="Microsoft YaHei"/>
                <w:sz w:val="18"/>
              </w:rPr>
              <w:t xml:space="preserve">      package.json</w:t>
            </w:r>
            <w:r>
              <w:br/>
            </w:r>
            <w:r>
              <w:rPr>
                <w:rFonts w:ascii="Consolas" w:hAnsi="Consolas" w:eastAsia="Microsoft YaHei"/>
                <w:sz w:val="18"/>
              </w:rPr>
              <w:t xml:space="preserve">      vite.config.ts</w:t>
            </w:r>
            <w:r>
              <w:br/>
            </w:r>
            <w:r>
              <w:rPr>
                <w:rFonts w:ascii="Consolas" w:hAnsi="Consolas" w:eastAsia="Microsoft YaHei"/>
                <w:sz w:val="18"/>
              </w:rPr>
              <w:t xml:space="preserve">    data</w:t>
            </w:r>
            <w:r>
              <w:br/>
            </w:r>
            <w:r>
              <w:rPr>
                <w:rFonts w:ascii="Consolas" w:hAnsi="Consolas" w:eastAsia="Microsoft YaHei"/>
                <w:sz w:val="18"/>
              </w:rPr>
              <w:t xml:space="preserve">      platform.db</w:t>
            </w:r>
            <w:r>
              <w:br/>
            </w:r>
            <w:r>
              <w:rPr>
                <w:rFonts w:ascii="Consolas" w:hAnsi="Consolas" w:eastAsia="Microsoft YaHei"/>
                <w:sz w:val="18"/>
              </w:rPr>
              <w:t xml:space="preserve">    scripts</w:t>
            </w:r>
            <w:r>
              <w:br/>
            </w:r>
            <w:r>
              <w:rPr>
                <w:rFonts w:ascii="Consolas" w:hAnsi="Consolas" w:eastAsia="Microsoft YaHei"/>
                <w:sz w:val="18"/>
              </w:rPr>
              <w:t xml:space="preserve">      start-platform.ps1</w:t>
            </w:r>
            <w:r>
              <w:br/>
            </w:r>
            <w:r>
              <w:rPr>
                <w:rFonts w:ascii="Consolas" w:hAnsi="Consolas" w:eastAsia="Microsoft YaHei"/>
                <w:sz w:val="18"/>
              </w:rPr>
              <w:t xml:space="preserve">      stop-platform.ps1</w:t>
            </w:r>
            <w:r>
              <w:br/>
            </w:r>
            <w:r>
              <w:rPr>
                <w:rFonts w:ascii="Consolas" w:hAnsi="Consolas" w:eastAsia="Microsoft YaHei"/>
                <w:sz w:val="18"/>
              </w:rPr>
            </w:r>
            <w:r>
              <w:br/>
            </w:r>
            <w:r>
              <w:rPr>
                <w:rFonts w:ascii="Consolas" w:hAnsi="Consolas" w:eastAsia="Microsoft YaHei"/>
                <w:sz w:val="18"/>
              </w:rPr>
              <w:t xml:space="preserve">  lightrag-runtime</w:t>
            </w:r>
            <w:r>
              <w:br/>
            </w:r>
            <w:r>
              <w:rPr>
                <w:rFonts w:ascii="Consolas" w:hAnsi="Consolas" w:eastAsia="Microsoft YaHei"/>
                <w:sz w:val="18"/>
              </w:rPr>
              <w:t xml:space="preserve">    .venv</w:t>
            </w:r>
            <w:r>
              <w:br/>
            </w:r>
            <w:r>
              <w:rPr>
                <w:rFonts w:ascii="Consolas" w:hAnsi="Consolas" w:eastAsia="Microsoft YaHei"/>
                <w:sz w:val="18"/>
              </w:rPr>
              <w:t xml:space="preserve">    rag_storage</w:t>
            </w:r>
            <w:r>
              <w:br/>
            </w:r>
            <w:r>
              <w:rPr>
                <w:rFonts w:ascii="Consolas" w:hAnsi="Consolas" w:eastAsia="Microsoft YaHei"/>
                <w:sz w:val="18"/>
              </w:rPr>
              <w:t xml:space="preserve">    inputs</w:t>
            </w:r>
            <w:r>
              <w:br/>
            </w:r>
            <w:r>
              <w:rPr>
                <w:rFonts w:ascii="Consolas" w:hAnsi="Consolas" w:eastAsia="Microsoft YaHei"/>
                <w:sz w:val="18"/>
              </w:rPr>
              <w:t xml:space="preserve">    logs</w:t>
            </w:r>
            <w:r>
              <w:br/>
            </w:r>
            <w:r>
              <w:rPr>
                <w:rFonts w:ascii="Consolas" w:hAnsi="Consolas" w:eastAsia="Microsoft YaHei"/>
                <w:sz w:val="18"/>
              </w:rPr>
              <w:t xml:space="preserve">    .env</w:t>
            </w:r>
            <w:r>
              <w:br/>
            </w:r>
            <w:r>
              <w:rPr>
                <w:rFonts w:ascii="Consolas" w:hAnsi="Consolas" w:eastAsia="Microsoft YaHei"/>
                <w:sz w:val="18"/>
              </w:rPr>
            </w:r>
            <w:r>
              <w:br/>
            </w:r>
            <w:r>
              <w:rPr>
                <w:rFonts w:ascii="Consolas" w:hAnsi="Consolas" w:eastAsia="Microsoft YaHei"/>
                <w:sz w:val="18"/>
              </w:rPr>
              <w:t xml:space="preserve">  tools</w:t>
            </w:r>
            <w:r>
              <w:br/>
            </w:r>
            <w:r>
              <w:rPr>
                <w:rFonts w:ascii="Consolas" w:hAnsi="Consolas" w:eastAsia="Microsoft YaHei"/>
                <w:sz w:val="18"/>
              </w:rPr>
              <w:t xml:space="preserve">    uv</w:t>
            </w:r>
            <w:r>
              <w:br/>
            </w:r>
            <w:r>
              <w:rPr>
                <w:rFonts w:ascii="Consolas" w:hAnsi="Consolas" w:eastAsia="Microsoft YaHei"/>
                <w:sz w:val="18"/>
              </w:rPr>
              <w:t xml:space="preserve">    bun</w:t>
            </w:r>
            <w:r>
              <w:br/>
            </w:r>
          </w:p>
        </w:tc>
      </w:tr>
    </w:tbl>
    <w:p/>
    <w:p>
      <w:r>
        <w:t>重点是 platform 与 lightrag-runtime 分离。自研代码不进入 LightRAG 包目录，后续升级时不需要做源码合并。</w:t>
      </w:r>
    </w:p>
    <w:p>
      <w:pPr>
        <w:pStyle w:val="Heading1"/>
      </w:pPr>
      <w:r>
        <w:t>4. 数据库与依赖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800"/>
        <w:gridCol w:w="4760"/>
      </w:tblGrid>
      <w:tr>
        <w:tc>
          <w:tcPr>
            <w:tcW w:type="dxa" w:w="18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类别</w:t>
            </w:r>
          </w:p>
        </w:tc>
        <w:tc>
          <w:tcPr>
            <w:tcW w:type="dxa" w:w="28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建议</w:t>
            </w:r>
          </w:p>
        </w:tc>
        <w:tc>
          <w:tcPr>
            <w:tcW w:type="dxa" w:w="47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数据库</w:t>
            </w:r>
          </w:p>
        </w:tc>
        <w:tc>
          <w:tcPr>
            <w:tcW w:type="dxa" w:w="28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SQLite 首版</w:t>
            </w:r>
          </w:p>
        </w:tc>
        <w:tc>
          <w:tcPr>
            <w:tcW w:type="dxa" w:w="47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无需安装数据库服务，适合当前 D 盘本机部署。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ORM</w:t>
            </w:r>
          </w:p>
        </w:tc>
        <w:tc>
          <w:tcPr>
            <w:tcW w:type="dxa" w:w="28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SQLAlchemy</w:t>
            </w:r>
          </w:p>
        </w:tc>
        <w:tc>
          <w:tcPr>
            <w:tcW w:type="dxa" w:w="47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平台用户、角色、审计等数据通过 ORM 管理。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迁移</w:t>
            </w:r>
          </w:p>
        </w:tc>
        <w:tc>
          <w:tcPr>
            <w:tcW w:type="dxa" w:w="28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Alembic</w:t>
            </w:r>
          </w:p>
        </w:tc>
        <w:tc>
          <w:tcPr>
            <w:tcW w:type="dxa" w:w="47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为未来迁移 PostgreSQL 或扩展表结构做准备。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HTTP 客户端</w:t>
            </w:r>
          </w:p>
        </w:tc>
        <w:tc>
          <w:tcPr>
            <w:tcW w:type="dxa" w:w="28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httpx</w:t>
            </w:r>
          </w:p>
        </w:tc>
        <w:tc>
          <w:tcPr>
            <w:tcW w:type="dxa" w:w="47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Platform Backend 通过 HTTP 代理 LightRAG API。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认证</w:t>
            </w:r>
          </w:p>
        </w:tc>
        <w:tc>
          <w:tcPr>
            <w:tcW w:type="dxa" w:w="28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JWT + bcrypt/argon2</w:t>
            </w:r>
          </w:p>
        </w:tc>
        <w:tc>
          <w:tcPr>
            <w:tcW w:type="dxa" w:w="47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平台自己管理登录状态和密码哈希。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前端</w:t>
            </w:r>
          </w:p>
        </w:tc>
        <w:tc>
          <w:tcPr>
            <w:tcW w:type="dxa" w:w="28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React + TypeScript + Vite + Bun</w:t>
            </w:r>
          </w:p>
        </w:tc>
        <w:tc>
          <w:tcPr>
            <w:tcW w:type="dxa" w:w="47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不复用 LightRAG 原生 WebUI，避免升级冲突。</w:t>
            </w:r>
          </w:p>
        </w:tc>
      </w:tr>
    </w:tbl>
    <w:p/>
    <w:p>
      <w:r>
        <w:t>首版不需要安装 PostgreSQL。若后续进入生产多人环境，可将 Platform DB 从 SQLite 迁移到 PostgreSQL。</w:t>
      </w:r>
    </w:p>
    <w:p>
      <w:pPr>
        <w:pStyle w:val="Heading1"/>
      </w:pPr>
      <w:r>
        <w:t>5. API Gateway 设计</w:t>
      </w:r>
    </w:p>
    <w:p>
      <w:r>
        <w:t>平台后端暴露业务 API，内部把 RAG 相关请求代理到 LightRAG 原生 API。所有代理请求都由后端注入当前用户的 workspace。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3800"/>
        <w:gridCol w:w="2760"/>
      </w:tblGrid>
      <w:tr>
        <w:tc>
          <w:tcPr>
            <w:tcW w:type="dxa" w:w="28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平台 API</w:t>
            </w:r>
          </w:p>
        </w:tc>
        <w:tc>
          <w:tcPr>
            <w:tcW w:type="dxa" w:w="38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内部动作</w:t>
            </w:r>
          </w:p>
        </w:tc>
        <w:tc>
          <w:tcPr>
            <w:tcW w:type="dxa" w:w="27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安全策略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POST /api/auth/login</w:t>
            </w:r>
          </w:p>
        </w:tc>
        <w:tc>
          <w:tcPr>
            <w:tcW w:type="dxa" w:w="38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校验平台用户，签发 JWT。</w:t>
            </w:r>
          </w:p>
        </w:tc>
        <w:tc>
          <w:tcPr>
            <w:tcW w:type="dxa" w:w="27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不调用 LightRAG 原生登录。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GET /api/auth/me</w:t>
            </w:r>
          </w:p>
        </w:tc>
        <w:tc>
          <w:tcPr>
            <w:tcW w:type="dxa" w:w="38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返回当前用户、角色和基础配置。</w:t>
            </w:r>
          </w:p>
        </w:tc>
        <w:tc>
          <w:tcPr>
            <w:tcW w:type="dxa" w:w="27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从平台 JWT 和 DB 读取。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GET /api/admin/users</w:t>
            </w:r>
          </w:p>
        </w:tc>
        <w:tc>
          <w:tcPr>
            <w:tcW w:type="dxa" w:w="38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管理员查看用户列表。</w:t>
            </w:r>
          </w:p>
        </w:tc>
        <w:tc>
          <w:tcPr>
            <w:tcW w:type="dxa" w:w="27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admin_required。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POST /api/rag/documents/upload</w:t>
            </w:r>
          </w:p>
        </w:tc>
        <w:tc>
          <w:tcPr>
            <w:tcW w:type="dxa" w:w="38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转发到 LightRAG 文档上传接口。</w:t>
            </w:r>
          </w:p>
        </w:tc>
        <w:tc>
          <w:tcPr>
            <w:tcW w:type="dxa" w:w="27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注入用户 workspace。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POST /api/rag/query</w:t>
            </w:r>
          </w:p>
        </w:tc>
        <w:tc>
          <w:tcPr>
            <w:tcW w:type="dxa" w:w="38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转发到 LightRAG 查询接口。</w:t>
            </w:r>
          </w:p>
        </w:tc>
        <w:tc>
          <w:tcPr>
            <w:tcW w:type="dxa" w:w="27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注入用户 workspace。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GET /api/rag/graph</w:t>
            </w:r>
          </w:p>
        </w:tc>
        <w:tc>
          <w:tcPr>
            <w:tcW w:type="dxa" w:w="38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转发到 LightRAG 图谱接口。</w:t>
            </w:r>
          </w:p>
        </w:tc>
        <w:tc>
          <w:tcPr>
            <w:tcW w:type="dxa" w:w="27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注入用户 workspace。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GET /api/rag/health</w:t>
            </w:r>
          </w:p>
        </w:tc>
        <w:tc>
          <w:tcPr>
            <w:tcW w:type="dxa" w:w="38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聚合平台状态和 LightRAG /health。</w:t>
            </w:r>
          </w:p>
        </w:tc>
        <w:tc>
          <w:tcPr>
            <w:tcW w:type="dxa" w:w="27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隐藏内部端口和敏感配置。</w:t>
            </w:r>
          </w:p>
        </w:tc>
      </w:tr>
    </w:tbl>
    <w:p/>
    <w:p>
      <w:pPr>
        <w:pStyle w:val="Heading1"/>
      </w:pPr>
      <w:r>
        <w:t>6. 多用户隔离策略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sz w:val="21"/>
        </w:rPr>
        <w:t>平台用户表保存 workspace_id，默认命名为 user_{user_id}。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sz w:val="21"/>
        </w:rPr>
        <w:t>普通用户所有 RAG 请求都从 JWT 当前用户读取 workspace_id。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sz w:val="21"/>
        </w:rPr>
        <w:t>平台禁止透传用户提交的 LIGHTRAG-WORKSPACE 请求头。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sz w:val="21"/>
        </w:rPr>
        <w:t>管理员可查看用户状态，但默认不直接进入用户知识库，除非后续明确设计代管权限。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sz w:val="21"/>
        </w:rPr>
        <w:t>LightRAG 原生服务只允许本机访问，降低绕过平台直接访问 RAG API 的风险。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sz w:val="21"/>
        </w:rPr>
        <w:t>所有用户管理和审计日志都由 Platform DB 保存，与 RAG 数据分离。</w:t>
      </w:r>
    </w:p>
    <w:p>
      <w:pPr>
        <w:pStyle w:val="Heading1"/>
      </w:pPr>
      <w:r>
        <w:t>7. 新 WebUI 模块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300"/>
        <w:gridCol w:w="3160"/>
      </w:tblGrid>
      <w:tr>
        <w:tc>
          <w:tcPr>
            <w:tcW w:type="dxa" w:w="19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模块</w:t>
            </w:r>
          </w:p>
        </w:tc>
        <w:tc>
          <w:tcPr>
            <w:tcW w:type="dxa" w:w="43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首版功能</w:t>
            </w:r>
          </w:p>
        </w:tc>
        <w:tc>
          <w:tcPr>
            <w:tcW w:type="dxa" w:w="31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登录页</w:t>
            </w:r>
          </w:p>
        </w:tc>
        <w:tc>
          <w:tcPr>
            <w:tcW w:type="dxa" w:w="43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用户名密码登录、错误提示、登出。</w:t>
            </w:r>
          </w:p>
        </w:tc>
        <w:tc>
          <w:tcPr>
            <w:tcW w:type="dxa" w:w="31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调用 Platform Auth API。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工作台</w:t>
            </w:r>
          </w:p>
        </w:tc>
        <w:tc>
          <w:tcPr>
            <w:tcW w:type="dxa" w:w="43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服务状态、文档数量、最近操作、查询入口。</w:t>
            </w:r>
          </w:p>
        </w:tc>
        <w:tc>
          <w:tcPr>
            <w:tcW w:type="dxa" w:w="31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聚合平台与 LightRAG 状态。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文档管理</w:t>
            </w:r>
          </w:p>
        </w:tc>
        <w:tc>
          <w:tcPr>
            <w:tcW w:type="dxa" w:w="43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上传、处理状态、删除、重建索引。</w:t>
            </w:r>
          </w:p>
        </w:tc>
        <w:tc>
          <w:tcPr>
            <w:tcW w:type="dxa" w:w="31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通过 Gateway 调 LightRAG。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查询页</w:t>
            </w:r>
          </w:p>
        </w:tc>
        <w:tc>
          <w:tcPr>
            <w:tcW w:type="dxa" w:w="43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RAG 查询、模式参数、引用上下文。</w:t>
            </w:r>
          </w:p>
        </w:tc>
        <w:tc>
          <w:tcPr>
            <w:tcW w:type="dxa" w:w="31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保留 LightRAG 查询能力。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图谱页</w:t>
            </w:r>
          </w:p>
        </w:tc>
        <w:tc>
          <w:tcPr>
            <w:tcW w:type="dxa" w:w="43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实体搜索、关系过滤、节点详情。</w:t>
            </w:r>
          </w:p>
        </w:tc>
        <w:tc>
          <w:tcPr>
            <w:tcW w:type="dxa" w:w="31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通过 Gateway 获取图谱数据。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用户管理</w:t>
            </w:r>
          </w:p>
        </w:tc>
        <w:tc>
          <w:tcPr>
            <w:tcW w:type="dxa" w:w="43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创建用户、禁用、重置密码、角色设置。</w:t>
            </w:r>
          </w:p>
        </w:tc>
        <w:tc>
          <w:tcPr>
            <w:tcW w:type="dxa" w:w="31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管理员专属。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设置页</w:t>
            </w:r>
          </w:p>
        </w:tc>
        <w:tc>
          <w:tcPr>
            <w:tcW w:type="dxa" w:w="43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修改密码、主题、语言、基础偏好。</w:t>
            </w:r>
          </w:p>
        </w:tc>
        <w:tc>
          <w:tcPr>
            <w:tcW w:type="dxa" w:w="31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平台自有配置。</w:t>
            </w:r>
          </w:p>
        </w:tc>
      </w:tr>
    </w:tbl>
    <w:p/>
    <w:p>
      <w:pPr>
        <w:pStyle w:val="Heading1"/>
      </w:pPr>
      <w:r>
        <w:t>8. LightRAG 升级流程</w:t>
      </w:r>
    </w:p>
    <w:p>
      <w:r>
        <w:t>后续升级时，目标是不碰 platform 目录，只升级 LightRAG runtime 环境中的安装包。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B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8"/>
              </w:rPr>
              <w:t>1. 停止 Platform 和 LightRAG Runtime</w:t>
            </w:r>
            <w:r>
              <w:br/>
            </w:r>
            <w:r>
              <w:rPr>
                <w:rFonts w:ascii="Consolas" w:hAnsi="Consolas" w:eastAsia="Microsoft YaHei"/>
                <w:sz w:val="18"/>
              </w:rPr>
              <w:t>2. 备份 lightrag-runtime\.env、rag_storage、inputs、platform\data</w:t>
            </w:r>
            <w:r>
              <w:br/>
            </w:r>
            <w:r>
              <w:rPr>
                <w:rFonts w:ascii="Consolas" w:hAnsi="Consolas" w:eastAsia="Microsoft YaHei"/>
                <w:sz w:val="18"/>
              </w:rPr>
              <w:t>3. 执行：uv pip install -U "lightrag-hku[api]"</w:t>
            </w:r>
            <w:r>
              <w:br/>
            </w:r>
            <w:r>
              <w:rPr>
                <w:rFonts w:ascii="Consolas" w:hAnsi="Consolas" w:eastAsia="Microsoft YaHei"/>
                <w:sz w:val="18"/>
              </w:rPr>
              <w:t>4. 启动 LightRAG Runtime 内部端口</w:t>
            </w:r>
            <w:r>
              <w:br/>
            </w:r>
            <w:r>
              <w:rPr>
                <w:rFonts w:ascii="Consolas" w:hAnsi="Consolas" w:eastAsia="Microsoft YaHei"/>
                <w:sz w:val="18"/>
              </w:rPr>
              <w:t>5. 启动 Platform Backend 和 Frontend</w:t>
            </w:r>
            <w:r>
              <w:br/>
            </w:r>
            <w:r>
              <w:rPr>
                <w:rFonts w:ascii="Consolas" w:hAnsi="Consolas" w:eastAsia="Microsoft YaHei"/>
                <w:sz w:val="18"/>
              </w:rPr>
              <w:t>6. 运行兼容性测试：health、upload、query、graph、多用户隔离</w:t>
            </w:r>
            <w:r>
              <w:br/>
            </w:r>
          </w:p>
        </w:tc>
      </w:tr>
    </w:tbl>
    <w:p/>
    <w:p>
      <w:r>
        <w:t>如果 LightRAG 原生 HTTP API 出现破坏性变更，只需要调整 Platform Gateway 的适配层，不需要改用户系统和前端主体。</w:t>
      </w:r>
    </w:p>
    <w:p>
      <w:pPr>
        <w:pStyle w:val="Heading1"/>
      </w:pPr>
      <w:r>
        <w:t>9. 开发阶段与工作量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5360"/>
        <w:gridCol w:w="1900"/>
      </w:tblGrid>
      <w:tr>
        <w:tc>
          <w:tcPr>
            <w:tcW w:type="dxa" w:w="21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阶段</w:t>
            </w:r>
          </w:p>
        </w:tc>
        <w:tc>
          <w:tcPr>
            <w:tcW w:type="dxa" w:w="53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主要任务</w:t>
            </w:r>
          </w:p>
        </w:tc>
        <w:tc>
          <w:tcPr>
            <w:tcW w:type="dxa" w:w="19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估算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第 0 阶段：套壳基础验证</w:t>
            </w:r>
          </w:p>
        </w:tc>
        <w:tc>
          <w:tcPr>
            <w:tcW w:type="dxa" w:w="53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独立启动 LightRAG 到 127.0.0.1:9622；平台调用 /health；验证代理可行。</w:t>
            </w:r>
          </w:p>
        </w:tc>
        <w:tc>
          <w:tcPr>
            <w:tcW w:type="dxa" w:w="19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1-2 天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第 1 阶段：平台用户系统</w:t>
            </w:r>
          </w:p>
        </w:tc>
        <w:tc>
          <w:tcPr>
            <w:tcW w:type="dxa" w:w="53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SQLite、用户表、角色、登录、JWT、管理员初始化、用户管理。</w:t>
            </w:r>
          </w:p>
        </w:tc>
        <w:tc>
          <w:tcPr>
            <w:tcW w:type="dxa" w:w="19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3-5 天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第 2 阶段：RAG Gateway</w:t>
            </w:r>
          </w:p>
        </w:tc>
        <w:tc>
          <w:tcPr>
            <w:tcW w:type="dxa" w:w="53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文档、查询、图谱、健康检查代理；workspace 自动注入；错误统一包装。</w:t>
            </w:r>
          </w:p>
        </w:tc>
        <w:tc>
          <w:tcPr>
            <w:tcW w:type="dxa" w:w="19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3-5 天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第 3 阶段：全新 WebUI</w:t>
            </w:r>
          </w:p>
        </w:tc>
        <w:tc>
          <w:tcPr>
            <w:tcW w:type="dxa" w:w="53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新布局、登录、工作台、文档、查询、图谱、管理员用户页、设置页。</w:t>
            </w:r>
          </w:p>
        </w:tc>
        <w:tc>
          <w:tcPr>
            <w:tcW w:type="dxa" w:w="19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8-14 天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第 4 阶段：部署和升级脚本</w:t>
            </w:r>
          </w:p>
        </w:tc>
        <w:tc>
          <w:tcPr>
            <w:tcW w:type="dxa" w:w="53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双服务启动/停止、端口检查、日志、版本检查、升级脚本。</w:t>
            </w:r>
          </w:p>
        </w:tc>
        <w:tc>
          <w:tcPr>
            <w:tcW w:type="dxa" w:w="19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2-4 天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第 5 阶段：兼容性测试</w:t>
            </w:r>
          </w:p>
        </w:tc>
        <w:tc>
          <w:tcPr>
            <w:tcW w:type="dxa" w:w="53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多用户隔离、权限、上传/查询/图谱回归、模拟升级验证。</w:t>
            </w:r>
          </w:p>
        </w:tc>
        <w:tc>
          <w:tcPr>
            <w:tcW w:type="dxa" w:w="19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3-5 天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5360"/>
        <w:gridCol w:w="1900"/>
      </w:tblGrid>
      <w:tr>
        <w:tc>
          <w:tcPr>
            <w:tcW w:type="dxa" w:w="21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版本范围</w:t>
            </w:r>
          </w:p>
        </w:tc>
        <w:tc>
          <w:tcPr>
            <w:tcW w:type="dxa" w:w="53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交付内容</w:t>
            </w:r>
          </w:p>
        </w:tc>
        <w:tc>
          <w:tcPr>
            <w:tcW w:type="dxa" w:w="19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总工期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MVP</w:t>
            </w:r>
          </w:p>
        </w:tc>
        <w:tc>
          <w:tcPr>
            <w:tcW w:type="dxa" w:w="53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套壳平台、SQLite、一个用户一个库、管理员创建用户、基础 WebUI。</w:t>
            </w:r>
          </w:p>
        </w:tc>
        <w:tc>
          <w:tcPr>
            <w:tcW w:type="dxa" w:w="19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14-22 个工作日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完整可用版</w:t>
            </w:r>
          </w:p>
        </w:tc>
        <w:tc>
          <w:tcPr>
            <w:tcW w:type="dxa" w:w="53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完善 WebUI、审计、改密、部署脚本、升级验证、稳定测试。</w:t>
            </w:r>
          </w:p>
        </w:tc>
        <w:tc>
          <w:tcPr>
            <w:tcW w:type="dxa" w:w="19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24-35 个工作日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生产增强版</w:t>
            </w:r>
          </w:p>
        </w:tc>
        <w:tc>
          <w:tcPr>
            <w:tcW w:type="dxa" w:w="53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PostgreSQL、组织/团队、配额、API Key、监控、更多兼容性测试。</w:t>
            </w:r>
          </w:p>
        </w:tc>
        <w:tc>
          <w:tcPr>
            <w:tcW w:type="dxa" w:w="19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40-60 个工作日</w:t>
            </w:r>
          </w:p>
        </w:tc>
      </w:tr>
    </w:tbl>
    <w:p/>
    <w:p>
      <w:pPr>
        <w:pStyle w:val="Heading1"/>
      </w:pPr>
      <w:r>
        <w:t>10. 风险与控制措施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100"/>
        <w:gridCol w:w="3960"/>
      </w:tblGrid>
      <w:tr>
        <w:tc>
          <w:tcPr>
            <w:tcW w:type="dxa" w:w="23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风险</w:t>
            </w:r>
          </w:p>
        </w:tc>
        <w:tc>
          <w:tcPr>
            <w:tcW w:type="dxa" w:w="31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影响</w:t>
            </w:r>
          </w:p>
        </w:tc>
        <w:tc>
          <w:tcPr>
            <w:tcW w:type="dxa" w:w="39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控制措施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LightRAG HTTP API 变更</w:t>
            </w:r>
          </w:p>
        </w:tc>
        <w:tc>
          <w:tcPr>
            <w:tcW w:type="dxa" w:w="31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Gateway 代理接口可能需要调整。</w:t>
            </w:r>
          </w:p>
        </w:tc>
        <w:tc>
          <w:tcPr>
            <w:tcW w:type="dxa" w:w="39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把所有 LightRAG 调用集中在 gateway 适配层。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用户绕过平台访问 LightRAG</w:t>
            </w:r>
          </w:p>
        </w:tc>
        <w:tc>
          <w:tcPr>
            <w:tcW w:type="dxa" w:w="31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可能访问或污染其他 workspace。</w:t>
            </w:r>
          </w:p>
        </w:tc>
        <w:tc>
          <w:tcPr>
            <w:tcW w:type="dxa" w:w="39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LightRAG 只监听 127.0.0.1 内部端口；必要时加内部 API Key。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workspace 注入错误</w:t>
            </w:r>
          </w:p>
        </w:tc>
        <w:tc>
          <w:tcPr>
            <w:tcW w:type="dxa" w:w="31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用户数据隔离失效。</w:t>
            </w:r>
          </w:p>
        </w:tc>
        <w:tc>
          <w:tcPr>
            <w:tcW w:type="dxa" w:w="39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代理层禁止透传用户 workspace header，并做多用户自动化测试。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SQLite 并发限制</w:t>
            </w:r>
          </w:p>
        </w:tc>
        <w:tc>
          <w:tcPr>
            <w:tcW w:type="dxa" w:w="31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多人高并发时性能有限。</w:t>
            </w:r>
          </w:p>
        </w:tc>
        <w:tc>
          <w:tcPr>
            <w:tcW w:type="dxa" w:w="39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首版可接受；保留 PostgreSQL 迁移路线。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前端重复实现成本</w:t>
            </w:r>
          </w:p>
        </w:tc>
        <w:tc>
          <w:tcPr>
            <w:tcW w:type="dxa" w:w="31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初期工作量高于改原生 WebUI。</w:t>
            </w:r>
          </w:p>
        </w:tc>
        <w:tc>
          <w:tcPr>
            <w:tcW w:type="dxa" w:w="39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换取后续升级低成本和更清晰产品边界。</w:t>
            </w:r>
          </w:p>
        </w:tc>
      </w:tr>
    </w:tbl>
    <w:p/>
    <w:p>
      <w:pPr>
        <w:pStyle w:val="Heading1"/>
      </w:pPr>
      <w:r>
        <w:t>11. 需要确认的决策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sz w:val="21"/>
        </w:rPr>
        <w:t>是否确认 LightRAG 原生服务只作为内部 RAG Runtime，不直接对用户开放？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sz w:val="21"/>
        </w:rPr>
        <w:t>是否确认首版继续使用 SQLite，而不是立即安装 PostgreSQL？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sz w:val="21"/>
        </w:rPr>
        <w:t>是否确认首版一个用户一个 RAG 库，暂不做一个用户多个库？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sz w:val="21"/>
        </w:rPr>
        <w:t>是否需要保留 LightRAG 原生 WebUI 作为内部调试入口，还是完全隐藏？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sz w:val="21"/>
        </w:rPr>
        <w:t>是否需要在 LightRAG 内部端口上额外配置 API Key，防止本机其他程序误访问？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555555"/>
        <w:sz w:val="18"/>
      </w:rPr>
      <w:t>LightRAG 套壳式多用户平台开发计划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B2545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555555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