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1938" w14:textId="77777777" w:rsidR="00CE2D93" w:rsidRPr="00DD3362" w:rsidRDefault="00000000">
      <w:pPr>
        <w:spacing w:after="140"/>
        <w:rPr>
          <w:sz w:val="36"/>
          <w:szCs w:val="36"/>
        </w:rPr>
      </w:pPr>
      <w:r w:rsidRPr="00DD3362">
        <w:rPr>
          <w:b/>
          <w:color w:val="0B2545"/>
          <w:sz w:val="36"/>
          <w:szCs w:val="36"/>
        </w:rPr>
        <w:t>CCA Human Evaluation Rubric (1-5 Likert Scale)</w:t>
      </w:r>
    </w:p>
    <w:p w14:paraId="1FD47D25" w14:textId="77777777" w:rsidR="00CE2D93" w:rsidRPr="00DD3362" w:rsidRDefault="00000000">
      <w:pPr>
        <w:pStyle w:val="Heading1"/>
        <w:rPr>
          <w:sz w:val="32"/>
          <w:szCs w:val="32"/>
        </w:rPr>
      </w:pPr>
      <w:r w:rsidRPr="00DD3362">
        <w:rPr>
          <w:sz w:val="32"/>
          <w:szCs w:val="32"/>
        </w:rPr>
        <w:t>A. CCA Process Quality</w:t>
      </w:r>
    </w:p>
    <w:p w14:paraId="35D1BB66" w14:textId="77777777" w:rsidR="00CE2D93" w:rsidRPr="00DD3362" w:rsidRDefault="00000000">
      <w:pPr>
        <w:spacing w:before="40" w:after="40"/>
        <w:rPr>
          <w:sz w:val="21"/>
          <w:szCs w:val="21"/>
        </w:rPr>
      </w:pPr>
      <w:r w:rsidRPr="00DD3362">
        <w:rPr>
          <w:b/>
          <w:color w:val="111827"/>
          <w:sz w:val="22"/>
        </w:rPr>
        <w:t>1. Constant comparison process</w:t>
      </w:r>
      <w:r>
        <w:rPr>
          <w:b/>
          <w:color w:val="111827"/>
        </w:rPr>
        <w:br/>
      </w:r>
      <w:r w:rsidRPr="00DD3362">
        <w:rPr>
          <w:sz w:val="21"/>
          <w:szCs w:val="21"/>
        </w:rPr>
        <w:t>Does the output show incident-to-incident comparison across local and non-local cases, with useful reconciliation rather than isolated thematic coding?</w:t>
      </w:r>
      <w:r w:rsidRPr="00DD3362">
        <w:rPr>
          <w:sz w:val="21"/>
          <w:szCs w:val="21"/>
        </w:rPr>
        <w:br/>
      </w:r>
      <w:r w:rsidRPr="00DD3362">
        <w:rPr>
          <w:i/>
          <w:color w:val="4F81BD" w:themeColor="accent1"/>
          <w:sz w:val="21"/>
          <w:szCs w:val="21"/>
        </w:rPr>
        <w:t>Files to inspect: incident_reconciliation_coder*.txt; incident_coding_coder*.txt. Inspect 10 incident notes across early/middle/late transcripts plus all reconciliation summaries.</w:t>
      </w:r>
      <w:r w:rsidRPr="00DD3362">
        <w:rPr>
          <w:i/>
          <w:sz w:val="21"/>
          <w:szCs w:val="21"/>
        </w:rPr>
        <w:br/>
      </w:r>
      <w:r w:rsidRPr="00DD3362">
        <w:rPr>
          <w:sz w:val="21"/>
          <w:szCs w:val="21"/>
        </w:rPr>
        <w:t>Anchors:</w:t>
      </w:r>
    </w:p>
    <w:p w14:paraId="4A0F126B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1 = No auditable incident-to-incident comparison; output mainly lists themes/codes without comparing cases.</w:t>
      </w:r>
    </w:p>
    <w:p w14:paraId="3F426EF5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2 = Some comparison language appears, but it is generic, local only, or not tied to specific incidents.</w:t>
      </w:r>
    </w:p>
    <w:p w14:paraId="72A78FE8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3 = Some incident comparisons are substantive, but cross-case/non-local comparison or reconciliation is uneven.</w:t>
      </w:r>
    </w:p>
    <w:p w14:paraId="2148AE7F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4 = Clear incident-to-incident and cross-case comparison with useful reconciliation; minor gaps remain.</w:t>
      </w:r>
    </w:p>
    <w:p w14:paraId="7C5AF14F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5 = Consistent local and non-local comparison across the run; reconciliation clearly consolidates labels while preserving variation and boundary cases.</w:t>
      </w:r>
    </w:p>
    <w:p w14:paraId="7B67430A" w14:textId="77777777" w:rsidR="00DD3362" w:rsidRDefault="00DD3362">
      <w:pPr>
        <w:spacing w:after="0" w:line="245" w:lineRule="auto"/>
        <w:ind w:left="280"/>
      </w:pPr>
    </w:p>
    <w:p w14:paraId="47E86639" w14:textId="77777777" w:rsidR="00CE2D93" w:rsidRPr="00DD3362" w:rsidRDefault="00000000">
      <w:pPr>
        <w:spacing w:before="40" w:after="40"/>
        <w:rPr>
          <w:sz w:val="21"/>
          <w:szCs w:val="21"/>
        </w:rPr>
      </w:pPr>
      <w:r w:rsidRPr="00DD3362">
        <w:rPr>
          <w:b/>
          <w:color w:val="111827"/>
          <w:sz w:val="22"/>
        </w:rPr>
        <w:t>2. Boundary and negative-case handling</w:t>
      </w:r>
      <w:r>
        <w:rPr>
          <w:b/>
          <w:color w:val="111827"/>
        </w:rPr>
        <w:br/>
      </w:r>
      <w:proofErr w:type="gramStart"/>
      <w:r w:rsidRPr="00DD3362">
        <w:rPr>
          <w:sz w:val="21"/>
          <w:szCs w:val="21"/>
        </w:rPr>
        <w:t>Does</w:t>
      </w:r>
      <w:proofErr w:type="gramEnd"/>
      <w:r w:rsidRPr="00DD3362">
        <w:rPr>
          <w:sz w:val="21"/>
          <w:szCs w:val="21"/>
        </w:rPr>
        <w:t xml:space="preserve"> every final category identify boundary/negative cases or explain why none were found, and do those cases affect interpretation?</w:t>
      </w:r>
      <w:r w:rsidRPr="00DD3362">
        <w:rPr>
          <w:sz w:val="21"/>
          <w:szCs w:val="21"/>
        </w:rPr>
        <w:br/>
      </w:r>
      <w:r w:rsidRPr="00DD3362">
        <w:rPr>
          <w:i/>
          <w:color w:val="4F81BD" w:themeColor="accent1"/>
          <w:sz w:val="21"/>
          <w:szCs w:val="21"/>
        </w:rPr>
        <w:t>Files to inspect: category_comparisons_coder*.txt; integrated_categories.txt; segments_*.txt. Review boundary_or_negative_cases for every final category.</w:t>
      </w:r>
      <w:r w:rsidRPr="00DD3362">
        <w:rPr>
          <w:i/>
          <w:sz w:val="21"/>
          <w:szCs w:val="21"/>
        </w:rPr>
        <w:br/>
      </w:r>
      <w:r w:rsidRPr="00DD3362">
        <w:rPr>
          <w:sz w:val="21"/>
          <w:szCs w:val="21"/>
        </w:rPr>
        <w:t>Anchors:</w:t>
      </w:r>
    </w:p>
    <w:p w14:paraId="39A68295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1 = No boundary/negative cases are identified, and category limits are not auditable.</w:t>
      </w:r>
    </w:p>
    <w:p w14:paraId="43EC5ADB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2 = Boundary/negative cases are mentioned rarely or superficially, without changing category interpretation.</w:t>
      </w:r>
    </w:p>
    <w:p w14:paraId="5D665D65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3 = Most major categories include boundary/negative material, but its analytic effect is inconsistent or unclear.</w:t>
      </w:r>
    </w:p>
    <w:p w14:paraId="3B19E3BA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4 = Categories usually include grounded boundary/negative cases and explain how they qualify the category.</w:t>
      </w:r>
    </w:p>
    <w:p w14:paraId="6B422FF5" w14:textId="77777777" w:rsidR="00CE2D93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5 = Every final category has a grounded boundary/negative case or explicit no-case rationale, and these cases actively shape category boundaries.</w:t>
      </w:r>
    </w:p>
    <w:p w14:paraId="0DCAA9DF" w14:textId="77777777" w:rsidR="00DD3362" w:rsidRPr="00DD3362" w:rsidRDefault="00DD3362">
      <w:pPr>
        <w:spacing w:after="0" w:line="245" w:lineRule="auto"/>
        <w:ind w:left="280"/>
        <w:rPr>
          <w:sz w:val="21"/>
          <w:szCs w:val="21"/>
        </w:rPr>
      </w:pPr>
    </w:p>
    <w:p w14:paraId="6536BE97" w14:textId="77777777" w:rsidR="00CE2D93" w:rsidRPr="00DD3362" w:rsidRDefault="00000000">
      <w:pPr>
        <w:spacing w:before="40" w:after="40"/>
        <w:rPr>
          <w:sz w:val="21"/>
          <w:szCs w:val="21"/>
        </w:rPr>
      </w:pPr>
      <w:r w:rsidRPr="00DD3362">
        <w:rPr>
          <w:b/>
          <w:color w:val="111827"/>
          <w:sz w:val="22"/>
        </w:rPr>
        <w:t>3. Category differentiation and non-overmerge</w:t>
      </w:r>
      <w:r>
        <w:rPr>
          <w:b/>
          <w:color w:val="111827"/>
        </w:rPr>
        <w:br/>
      </w:r>
      <w:r w:rsidRPr="00DD3362">
        <w:rPr>
          <w:sz w:val="21"/>
          <w:szCs w:val="21"/>
        </w:rPr>
        <w:t>Are categories mid-grained, distinct, and not collapsed into broad Grounded Theory-style macro buckets?</w:t>
      </w:r>
      <w:r w:rsidRPr="00DD3362">
        <w:rPr>
          <w:sz w:val="21"/>
          <w:szCs w:val="21"/>
        </w:rPr>
        <w:br/>
      </w:r>
      <w:r w:rsidRPr="00DD3362">
        <w:rPr>
          <w:i/>
          <w:color w:val="4F81BD" w:themeColor="accent1"/>
          <w:sz w:val="21"/>
          <w:szCs w:val="21"/>
        </w:rPr>
        <w:t>Files to inspect: category_comparisons_coder*.txt; integrated_categories.txt; integrated_incident_patterns.txt. Review all final integrated categories if there are 7 or fewer; otherwise review at least 7 categories.</w:t>
      </w:r>
      <w:r w:rsidRPr="00DD3362">
        <w:rPr>
          <w:i/>
          <w:sz w:val="21"/>
          <w:szCs w:val="21"/>
        </w:rPr>
        <w:br/>
      </w:r>
      <w:r w:rsidRPr="00DD3362">
        <w:rPr>
          <w:sz w:val="21"/>
          <w:szCs w:val="21"/>
        </w:rPr>
        <w:t>Anchors:</w:t>
      </w:r>
    </w:p>
    <w:p w14:paraId="003A98FA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1 = Categories are absent, incoherent, or collapsed into very broad themes with little differentiation.</w:t>
      </w:r>
    </w:p>
    <w:p w14:paraId="630B546F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2 = Categories exist but are redundant, too thin, or overly broad macro buckets.</w:t>
      </w:r>
    </w:p>
    <w:p w14:paraId="44B30735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3 = Categories are partly differentiated, but some overlap, overmerge, or granularity problems remain.</w:t>
      </w:r>
    </w:p>
    <w:p w14:paraId="23285F29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4 = Categories are mostly distinct, mid-grained, and grounded in different mechanisms or conditions.</w:t>
      </w:r>
    </w:p>
    <w:p w14:paraId="5ED778BE" w14:textId="4C882415" w:rsidR="00CE2D93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5 = Category structure is consistently distinct, appropriately granular, and avoids overmerging while preserving meaningful variation.</w:t>
      </w:r>
    </w:p>
    <w:p w14:paraId="472F1E05" w14:textId="77777777" w:rsidR="00DD3362" w:rsidRPr="00DD3362" w:rsidRDefault="00DD3362">
      <w:pPr>
        <w:spacing w:after="0" w:line="245" w:lineRule="auto"/>
        <w:ind w:left="280"/>
        <w:rPr>
          <w:sz w:val="21"/>
          <w:szCs w:val="21"/>
        </w:rPr>
      </w:pPr>
    </w:p>
    <w:p w14:paraId="0B3FEA7E" w14:textId="77777777" w:rsidR="00CE2D93" w:rsidRPr="00DD3362" w:rsidRDefault="00000000">
      <w:pPr>
        <w:pStyle w:val="Heading1"/>
        <w:rPr>
          <w:sz w:val="32"/>
          <w:szCs w:val="32"/>
        </w:rPr>
      </w:pPr>
      <w:r w:rsidRPr="00DD3362">
        <w:rPr>
          <w:sz w:val="32"/>
          <w:szCs w:val="32"/>
        </w:rPr>
        <w:t>B. Traceability and Quote Evidence</w:t>
      </w:r>
    </w:p>
    <w:p w14:paraId="2E13929B" w14:textId="77777777" w:rsidR="00CE2D93" w:rsidRPr="00DD3362" w:rsidRDefault="00000000">
      <w:pPr>
        <w:spacing w:before="40" w:after="40"/>
        <w:rPr>
          <w:sz w:val="21"/>
          <w:szCs w:val="21"/>
        </w:rPr>
      </w:pPr>
      <w:r w:rsidRPr="00DD3362">
        <w:rPr>
          <w:b/>
          <w:color w:val="111827"/>
          <w:sz w:val="22"/>
        </w:rPr>
        <w:t>4. Traceability and quote evidence</w:t>
      </w:r>
      <w:r>
        <w:rPr>
          <w:b/>
          <w:color w:val="111827"/>
        </w:rPr>
        <w:br/>
      </w:r>
      <w:r w:rsidRPr="00DD3362">
        <w:rPr>
          <w:sz w:val="21"/>
          <w:szCs w:val="21"/>
        </w:rPr>
        <w:t>Can claims be traced to segment IDs and clean source quotes?</w:t>
      </w:r>
      <w:r w:rsidRPr="00DD3362">
        <w:rPr>
          <w:sz w:val="21"/>
          <w:szCs w:val="21"/>
        </w:rPr>
        <w:br/>
      </w:r>
      <w:r w:rsidRPr="00DD3362">
        <w:rPr>
          <w:i/>
          <w:color w:val="4F81BD" w:themeColor="accent1"/>
          <w:sz w:val="21"/>
          <w:szCs w:val="21"/>
        </w:rPr>
        <w:t xml:space="preserve">Files to inspect: category_comparisons_coder*.txt; integrated_categories.txt; segments_*.txt. Check at least 10 </w:t>
      </w:r>
      <w:r w:rsidRPr="00DD3362">
        <w:rPr>
          <w:i/>
          <w:color w:val="4F81BD" w:themeColor="accent1"/>
          <w:sz w:val="21"/>
          <w:szCs w:val="21"/>
        </w:rPr>
        <w:lastRenderedPageBreak/>
        <w:t>quote evidence items and their source segments.</w:t>
      </w:r>
      <w:r w:rsidRPr="00DD3362">
        <w:rPr>
          <w:i/>
          <w:sz w:val="21"/>
          <w:szCs w:val="21"/>
        </w:rPr>
        <w:br/>
      </w:r>
      <w:r w:rsidRPr="00DD3362">
        <w:rPr>
          <w:sz w:val="21"/>
          <w:szCs w:val="21"/>
        </w:rPr>
        <w:t>Anchors:</w:t>
      </w:r>
    </w:p>
    <w:p w14:paraId="3FEC0BF1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1 = Claims cannot be traced to segment IDs or source text; quotes are absent, fabricated, or not auditable.</w:t>
      </w:r>
    </w:p>
    <w:p w14:paraId="5D92E8E7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2 = Some segment IDs or quotes are present, but many are missing, dirty, mismatched, or disconnected from source context.</w:t>
      </w:r>
    </w:p>
    <w:p w14:paraId="67FDC347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3 = Most major claims have traceable segment IDs/quotes, but quote cleanliness, context fit, or evidence coverage is uneven.</w:t>
      </w:r>
    </w:p>
    <w:p w14:paraId="0D396113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4 = Claims are usually supported by clean quotes and segment IDs, with minor traceability or context gaps.</w:t>
      </w:r>
    </w:p>
    <w:p w14:paraId="6D4DC70E" w14:textId="77777777" w:rsidR="00CE2D93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5 = Category claims are consistently traceable to clean quotes, segment IDs, and source context; quoted evidence substantively supports the interpretation.</w:t>
      </w:r>
    </w:p>
    <w:p w14:paraId="05E23FD3" w14:textId="77777777" w:rsidR="00DD3362" w:rsidRPr="00DD3362" w:rsidRDefault="00DD3362">
      <w:pPr>
        <w:spacing w:after="0" w:line="245" w:lineRule="auto"/>
        <w:ind w:left="280"/>
        <w:rPr>
          <w:sz w:val="21"/>
          <w:szCs w:val="21"/>
        </w:rPr>
      </w:pPr>
    </w:p>
    <w:p w14:paraId="5BDA43EB" w14:textId="77777777" w:rsidR="00CE2D93" w:rsidRPr="00DD3362" w:rsidRDefault="00000000">
      <w:pPr>
        <w:pStyle w:val="Heading1"/>
        <w:rPr>
          <w:sz w:val="32"/>
          <w:szCs w:val="32"/>
        </w:rPr>
      </w:pPr>
      <w:r w:rsidRPr="00DD3362">
        <w:rPr>
          <w:sz w:val="32"/>
          <w:szCs w:val="32"/>
        </w:rPr>
        <w:t>C. Synthesis and Integration Quality</w:t>
      </w:r>
    </w:p>
    <w:p w14:paraId="5F6C747F" w14:textId="77777777" w:rsidR="00CE2D93" w:rsidRPr="00DD3362" w:rsidRDefault="00000000">
      <w:pPr>
        <w:spacing w:before="40" w:after="40"/>
        <w:rPr>
          <w:sz w:val="21"/>
          <w:szCs w:val="21"/>
        </w:rPr>
      </w:pPr>
      <w:r w:rsidRPr="00DD3362">
        <w:rPr>
          <w:b/>
          <w:color w:val="111827"/>
          <w:sz w:val="22"/>
        </w:rPr>
        <w:t>5. Memo-to-synthesis coherence</w:t>
      </w:r>
      <w:r>
        <w:rPr>
          <w:b/>
          <w:color w:val="111827"/>
        </w:rPr>
        <w:br/>
      </w:r>
      <w:r w:rsidRPr="00DD3362">
        <w:rPr>
          <w:sz w:val="21"/>
          <w:szCs w:val="21"/>
        </w:rPr>
        <w:t>Do memos and final synthesis preserve tensions, variation, category relationships, and evidence-bounded claims?</w:t>
      </w:r>
      <w:r w:rsidRPr="00DD3362">
        <w:rPr>
          <w:sz w:val="21"/>
          <w:szCs w:val="21"/>
        </w:rPr>
        <w:br/>
      </w:r>
      <w:r w:rsidRPr="00DD3362">
        <w:rPr>
          <w:i/>
          <w:color w:val="4F81BD" w:themeColor="accent1"/>
          <w:sz w:val="21"/>
          <w:szCs w:val="21"/>
        </w:rPr>
        <w:t>Files to inspect: cca_memos_coder*.txt; integrated_memo_digest.txt; cca_synthesis_coder*.txt; integrated_cca_summary.txt. Read all final synthesis files, integrated memo digest, and at least 3 memos per coder when available.</w:t>
      </w:r>
      <w:r w:rsidRPr="00DD3362">
        <w:rPr>
          <w:i/>
          <w:sz w:val="21"/>
          <w:szCs w:val="21"/>
        </w:rPr>
        <w:br/>
      </w:r>
      <w:r w:rsidRPr="00DD3362">
        <w:rPr>
          <w:sz w:val="21"/>
          <w:szCs w:val="21"/>
        </w:rPr>
        <w:t>Anchors:</w:t>
      </w:r>
    </w:p>
    <w:p w14:paraId="5EBE1C14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1 = Memos/synthesis are absent or disconnected from categories and evidence.</w:t>
      </w:r>
    </w:p>
    <w:p w14:paraId="3E481357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2 = Memos or synthesis mostly summarize topics without developing comparative insight or relationships.</w:t>
      </w:r>
    </w:p>
    <w:p w14:paraId="6E1AD5E8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3 = Some memo insights carry into synthesis, but links among incidents, categories, boundaries, and claims are uneven.</w:t>
      </w:r>
    </w:p>
    <w:p w14:paraId="168D154D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 xml:space="preserve">4 = Synthesis follows from memos and categories, explains relationships, and is mostly </w:t>
      </w:r>
      <w:proofErr w:type="gramStart"/>
      <w:r w:rsidRPr="00DD3362">
        <w:rPr>
          <w:sz w:val="21"/>
          <w:szCs w:val="21"/>
        </w:rPr>
        <w:t>evidence-bounded</w:t>
      </w:r>
      <w:proofErr w:type="gramEnd"/>
      <w:r w:rsidRPr="00DD3362">
        <w:rPr>
          <w:sz w:val="21"/>
          <w:szCs w:val="21"/>
        </w:rPr>
        <w:t>.</w:t>
      </w:r>
    </w:p>
    <w:p w14:paraId="3D76F3BA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5 = Memos, category relationships, tensions, boundary cases, and final synthesis form a coherent evidence-bounded analytic chain.</w:t>
      </w:r>
    </w:p>
    <w:p w14:paraId="17710EB9" w14:textId="77777777" w:rsidR="00CE2D93" w:rsidRPr="00DD3362" w:rsidRDefault="00000000">
      <w:pPr>
        <w:spacing w:before="40" w:after="40"/>
        <w:rPr>
          <w:sz w:val="21"/>
          <w:szCs w:val="21"/>
        </w:rPr>
      </w:pPr>
      <w:r w:rsidRPr="00DD3362">
        <w:rPr>
          <w:b/>
          <w:color w:val="111827"/>
          <w:sz w:val="22"/>
        </w:rPr>
        <w:t>6. Cross-coder divergence integration</w:t>
      </w:r>
      <w:r>
        <w:rPr>
          <w:b/>
          <w:color w:val="111827"/>
        </w:rPr>
        <w:br/>
      </w:r>
      <w:r w:rsidRPr="00DD3362">
        <w:rPr>
          <w:sz w:val="21"/>
          <w:szCs w:val="21"/>
        </w:rPr>
        <w:t>If two coders were used, does integration explain convergence, divergence, and how disagreement changes category boundaries?</w:t>
      </w:r>
      <w:r w:rsidRPr="00DD3362">
        <w:rPr>
          <w:sz w:val="21"/>
          <w:szCs w:val="21"/>
        </w:rPr>
        <w:br/>
      </w:r>
      <w:r w:rsidRPr="00DD3362">
        <w:rPr>
          <w:i/>
          <w:color w:val="4F81BD" w:themeColor="accent1"/>
          <w:sz w:val="21"/>
          <w:szCs w:val="21"/>
        </w:rPr>
        <w:t>Files to inspect: integrated_incident_patterns.txt; integrated_categories.txt; integrated_memo_digest.txt; per-coder category files. Compare all integrated categories against both coders' category files.</w:t>
      </w:r>
      <w:r w:rsidRPr="00DD3362">
        <w:rPr>
          <w:i/>
          <w:sz w:val="21"/>
          <w:szCs w:val="21"/>
        </w:rPr>
        <w:br/>
      </w:r>
      <w:r w:rsidRPr="00DD3362">
        <w:rPr>
          <w:sz w:val="21"/>
          <w:szCs w:val="21"/>
        </w:rPr>
        <w:t>Anchors:</w:t>
      </w:r>
    </w:p>
    <w:p w14:paraId="674E951D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1 = No meaningful cross-coder integration is present for a two-coder run, or one coder dominates without explanation.</w:t>
      </w:r>
    </w:p>
    <w:p w14:paraId="4CBB656E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2 = Coder differences are listed but not interpreted or used to revise category boundaries.</w:t>
      </w:r>
    </w:p>
    <w:p w14:paraId="4C2F1C61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3 = Some convergence/divergence is integrated, but boundary impact or minority interpretations are uneven.</w:t>
      </w:r>
    </w:p>
    <w:p w14:paraId="466092E6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4 = Integration explains major convergences/divergences and usually shows how disagreement affects categories.</w:t>
      </w:r>
    </w:p>
    <w:p w14:paraId="01F05D59" w14:textId="77777777" w:rsidR="00CE2D93" w:rsidRPr="00DD3362" w:rsidRDefault="00000000">
      <w:pPr>
        <w:spacing w:after="0" w:line="245" w:lineRule="auto"/>
        <w:ind w:left="280"/>
        <w:rPr>
          <w:sz w:val="21"/>
          <w:szCs w:val="21"/>
        </w:rPr>
      </w:pPr>
      <w:r w:rsidRPr="00DD3362">
        <w:rPr>
          <w:sz w:val="21"/>
          <w:szCs w:val="21"/>
        </w:rPr>
        <w:t>5 = Integration consistently preserves both coders' contributions, explains divergence, and uses disagreement to refine category boundaries and synthesis.</w:t>
      </w:r>
    </w:p>
    <w:sectPr w:rsidR="00CE2D93" w:rsidRPr="00DD3362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268031">
    <w:abstractNumId w:val="8"/>
  </w:num>
  <w:num w:numId="2" w16cid:durableId="1837766217">
    <w:abstractNumId w:val="6"/>
  </w:num>
  <w:num w:numId="3" w16cid:durableId="590117272">
    <w:abstractNumId w:val="5"/>
  </w:num>
  <w:num w:numId="4" w16cid:durableId="768964126">
    <w:abstractNumId w:val="4"/>
  </w:num>
  <w:num w:numId="5" w16cid:durableId="834077729">
    <w:abstractNumId w:val="7"/>
  </w:num>
  <w:num w:numId="6" w16cid:durableId="1580672167">
    <w:abstractNumId w:val="3"/>
  </w:num>
  <w:num w:numId="7" w16cid:durableId="491796734">
    <w:abstractNumId w:val="2"/>
  </w:num>
  <w:num w:numId="8" w16cid:durableId="1164323017">
    <w:abstractNumId w:val="1"/>
  </w:num>
  <w:num w:numId="9" w16cid:durableId="93906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2D93"/>
    <w:rsid w:val="00DD3362"/>
    <w:rsid w:val="00EB7F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CE70C"/>
  <w14:defaultImageDpi w14:val="300"/>
  <w15:docId w15:val="{603AAC49-774A-8A41-B0AC-C9CCEBF2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25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Yang, Yuyi</cp:lastModifiedBy>
  <cp:revision>2</cp:revision>
  <dcterms:created xsi:type="dcterms:W3CDTF">2013-12-23T23:15:00Z</dcterms:created>
  <dcterms:modified xsi:type="dcterms:W3CDTF">2026-06-13T21:04:00Z</dcterms:modified>
  <cp:category/>
</cp:coreProperties>
</file>