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16E0A" w14:textId="77777777" w:rsidR="00A31814" w:rsidRDefault="00000000" w:rsidP="00516755">
      <w:pPr>
        <w:spacing w:after="0" w:line="240" w:lineRule="auto"/>
      </w:pPr>
      <w:r>
        <w:rPr>
          <w:b/>
          <w:color w:val="0B2545"/>
          <w:sz w:val="36"/>
        </w:rPr>
        <w:t>CCA Machine Evaluation Rubric (1-5 Likert Scale)</w:t>
      </w:r>
    </w:p>
    <w:p w14:paraId="7D9DBCA1" w14:textId="25E6B852" w:rsidR="00A31814" w:rsidRDefault="00272DBD" w:rsidP="00516755">
      <w:pPr>
        <w:pStyle w:val="Heading1"/>
        <w:spacing w:before="0" w:after="0" w:line="240" w:lineRule="auto"/>
      </w:pPr>
      <w:r>
        <w:t>A. CCA Process Quality</w:t>
      </w:r>
    </w:p>
    <w:p w14:paraId="28E71812" w14:textId="77777777" w:rsidR="00FB61CA" w:rsidRDefault="00272DBD" w:rsidP="00516755">
      <w:pPr>
        <w:spacing w:after="0" w:line="240" w:lineRule="auto"/>
        <w:rPr>
          <w:lang w:eastAsia="zh-CN"/>
        </w:rPr>
      </w:pPr>
      <w:r>
        <w:rPr>
          <w:b/>
          <w:color w:val="111827"/>
          <w:sz w:val="22"/>
        </w:rPr>
        <w:t>1. Constant comparison process</w:t>
      </w:r>
      <w:r>
        <w:rPr>
          <w:b/>
          <w:color w:val="111827"/>
          <w:sz w:val="22"/>
        </w:rPr>
        <w:br/>
      </w:r>
      <w:r>
        <w:t>Does the output show incident-to-incident comparison across local and non-local cases, with useful reconciliation rather than isolated thematic coding?</w:t>
      </w:r>
      <w:r>
        <w:br/>
        <w:t>Anchors:</w:t>
      </w:r>
    </w:p>
    <w:p w14:paraId="2E4FC2B2" w14:textId="77777777" w:rsidR="00FB61CA" w:rsidRDefault="00272DBD" w:rsidP="00516755">
      <w:pPr>
        <w:spacing w:after="0" w:line="240" w:lineRule="auto"/>
        <w:rPr>
          <w:lang w:eastAsia="zh-CN"/>
        </w:rPr>
      </w:pPr>
      <w:r>
        <w:t>1 = No auditable incident-to-incident comparison; output mainly lists themes/codes without comparing cases.</w:t>
      </w:r>
    </w:p>
    <w:p w14:paraId="33210548" w14:textId="77777777" w:rsidR="00FB61CA" w:rsidRDefault="00272DBD" w:rsidP="00516755">
      <w:pPr>
        <w:spacing w:after="0" w:line="240" w:lineRule="auto"/>
        <w:rPr>
          <w:lang w:eastAsia="zh-CN"/>
        </w:rPr>
      </w:pPr>
      <w:r>
        <w:t>2 = Some comparison language appears, but it is generic, local only, or not tied to specific incidents.</w:t>
      </w:r>
    </w:p>
    <w:p w14:paraId="370E88BF" w14:textId="77777777" w:rsidR="00FB61CA" w:rsidRDefault="00272DBD" w:rsidP="00516755">
      <w:pPr>
        <w:spacing w:after="0" w:line="240" w:lineRule="auto"/>
        <w:rPr>
          <w:lang w:eastAsia="zh-CN"/>
        </w:rPr>
      </w:pPr>
      <w:r>
        <w:t>3 = Some incident comparisons are substantive, but cross-case/non-local comparison or reconciliation is uneven.</w:t>
      </w:r>
    </w:p>
    <w:p w14:paraId="18C3DA0E" w14:textId="77777777" w:rsidR="00FB61CA" w:rsidRDefault="00272DBD" w:rsidP="00516755">
      <w:pPr>
        <w:spacing w:after="0" w:line="240" w:lineRule="auto"/>
        <w:rPr>
          <w:lang w:eastAsia="zh-CN"/>
        </w:rPr>
      </w:pPr>
      <w:r>
        <w:t>4 = Clear incident-to-incident and cross-case comparison with useful reconciliation; minor gaps remain.</w:t>
      </w:r>
    </w:p>
    <w:p w14:paraId="275A5C22" w14:textId="1E0AA0B4" w:rsidR="00A31814" w:rsidRDefault="00272DBD" w:rsidP="00516755">
      <w:pPr>
        <w:spacing w:after="0" w:line="240" w:lineRule="auto"/>
        <w:rPr>
          <w:lang w:eastAsia="zh-CN"/>
        </w:rPr>
      </w:pPr>
      <w:r>
        <w:t>5 = Consistent local and non-local comparison across the run; reconciliation clearly consolidates labels while preserving variation and boundary cases.</w:t>
      </w:r>
    </w:p>
    <w:p w14:paraId="7FF7303B" w14:textId="77777777" w:rsidR="00FB61CA" w:rsidRDefault="00FB61CA" w:rsidP="00516755">
      <w:pPr>
        <w:spacing w:after="0" w:line="240" w:lineRule="auto"/>
        <w:rPr>
          <w:lang w:eastAsia="zh-CN"/>
        </w:rPr>
      </w:pPr>
    </w:p>
    <w:p w14:paraId="517ECF9F" w14:textId="77777777" w:rsidR="00FB61CA" w:rsidRDefault="00272DBD" w:rsidP="00516755">
      <w:pPr>
        <w:spacing w:after="0" w:line="240" w:lineRule="auto"/>
        <w:rPr>
          <w:lang w:eastAsia="zh-CN"/>
        </w:rPr>
      </w:pPr>
      <w:r>
        <w:rPr>
          <w:b/>
          <w:color w:val="111827"/>
          <w:sz w:val="22"/>
        </w:rPr>
        <w:t>2. Boundary and negative-case handling</w:t>
      </w:r>
      <w:r>
        <w:rPr>
          <w:b/>
          <w:color w:val="111827"/>
          <w:sz w:val="22"/>
        </w:rPr>
        <w:br/>
      </w:r>
      <w:proofErr w:type="gramStart"/>
      <w:r>
        <w:t>Does</w:t>
      </w:r>
      <w:proofErr w:type="gramEnd"/>
      <w:r>
        <w:t xml:space="preserve"> every final category identify boundary/negative cases or explain why none were found, and do those cases affect interpretation?</w:t>
      </w:r>
      <w:r>
        <w:br/>
        <w:t>Anchors:</w:t>
      </w:r>
    </w:p>
    <w:p w14:paraId="1118C855" w14:textId="77777777" w:rsidR="00FB61CA" w:rsidRDefault="00272DBD" w:rsidP="00516755">
      <w:pPr>
        <w:spacing w:after="0" w:line="240" w:lineRule="auto"/>
        <w:rPr>
          <w:lang w:eastAsia="zh-CN"/>
        </w:rPr>
      </w:pPr>
      <w:r>
        <w:t>1 = No boundary/negative cases are identified, and category limits are not auditable.</w:t>
      </w:r>
    </w:p>
    <w:p w14:paraId="2EE43EDB" w14:textId="55EA251C" w:rsidR="00FB61CA" w:rsidRDefault="00272DBD" w:rsidP="00516755">
      <w:pPr>
        <w:spacing w:after="0" w:line="240" w:lineRule="auto"/>
        <w:rPr>
          <w:lang w:eastAsia="zh-CN"/>
        </w:rPr>
      </w:pPr>
      <w:r>
        <w:t>2 = Boundary/negative cases are mentioned rarely or superficially, without changing category interpretation.</w:t>
      </w:r>
    </w:p>
    <w:p w14:paraId="64DEE453" w14:textId="77777777" w:rsidR="00FB61CA" w:rsidRDefault="00272DBD" w:rsidP="00516755">
      <w:pPr>
        <w:spacing w:after="0" w:line="240" w:lineRule="auto"/>
        <w:rPr>
          <w:lang w:eastAsia="zh-CN"/>
        </w:rPr>
      </w:pPr>
      <w:r>
        <w:t>3 = Most major categories include boundary/negative material, but its analytic effect is inconsistent or unclear.</w:t>
      </w:r>
    </w:p>
    <w:p w14:paraId="13B71545" w14:textId="77777777" w:rsidR="00FB61CA" w:rsidRDefault="00272DBD" w:rsidP="00516755">
      <w:pPr>
        <w:spacing w:after="0" w:line="240" w:lineRule="auto"/>
        <w:rPr>
          <w:lang w:eastAsia="zh-CN"/>
        </w:rPr>
      </w:pPr>
      <w:r>
        <w:t>4 = Categories usually include grounded boundary/negative cases and explain how they qualify the category.</w:t>
      </w:r>
    </w:p>
    <w:p w14:paraId="508D508E" w14:textId="7AF7E91E" w:rsidR="00A31814" w:rsidRDefault="00272DBD" w:rsidP="00516755">
      <w:pPr>
        <w:spacing w:after="0" w:line="240" w:lineRule="auto"/>
        <w:rPr>
          <w:lang w:eastAsia="zh-CN"/>
        </w:rPr>
      </w:pPr>
      <w:r>
        <w:t>5 = Every final category has a grounded boundary/negative case or explicit no-case rationale, and these cases actively shape category boundaries.</w:t>
      </w:r>
    </w:p>
    <w:p w14:paraId="785AA02F" w14:textId="77777777" w:rsidR="00FB61CA" w:rsidRDefault="00FB61CA" w:rsidP="00516755">
      <w:pPr>
        <w:spacing w:after="0" w:line="240" w:lineRule="auto"/>
        <w:rPr>
          <w:lang w:eastAsia="zh-CN"/>
        </w:rPr>
      </w:pPr>
    </w:p>
    <w:p w14:paraId="27A3A1DA" w14:textId="77777777" w:rsidR="00FB61CA" w:rsidRDefault="00272DBD" w:rsidP="00516755">
      <w:pPr>
        <w:spacing w:after="0" w:line="240" w:lineRule="auto"/>
        <w:rPr>
          <w:lang w:eastAsia="zh-CN"/>
        </w:rPr>
      </w:pPr>
      <w:r>
        <w:rPr>
          <w:b/>
          <w:color w:val="111827"/>
          <w:sz w:val="22"/>
        </w:rPr>
        <w:t>3. Category differentiation and non-</w:t>
      </w:r>
      <w:proofErr w:type="spellStart"/>
      <w:r>
        <w:rPr>
          <w:b/>
          <w:color w:val="111827"/>
          <w:sz w:val="22"/>
        </w:rPr>
        <w:t>overmerge</w:t>
      </w:r>
      <w:proofErr w:type="spellEnd"/>
      <w:r>
        <w:rPr>
          <w:b/>
          <w:color w:val="111827"/>
          <w:sz w:val="22"/>
        </w:rPr>
        <w:br/>
      </w:r>
      <w:r>
        <w:t>Are categories mid-grained, distinct, and not collapsed into broad Grounded Theory-style macro buckets?</w:t>
      </w:r>
      <w:r>
        <w:br/>
        <w:t>Anchors:</w:t>
      </w:r>
    </w:p>
    <w:p w14:paraId="00EE59CF" w14:textId="77777777" w:rsidR="00FB61CA" w:rsidRDefault="00272DBD" w:rsidP="00516755">
      <w:pPr>
        <w:spacing w:after="0" w:line="240" w:lineRule="auto"/>
        <w:rPr>
          <w:lang w:eastAsia="zh-CN"/>
        </w:rPr>
      </w:pPr>
      <w:r>
        <w:t>1 = Categories are absent, incoherent, or collapsed into very broad themes with little differentiation.</w:t>
      </w:r>
    </w:p>
    <w:p w14:paraId="4F0AEF09" w14:textId="77777777" w:rsidR="00FB61CA" w:rsidRDefault="00272DBD" w:rsidP="00516755">
      <w:pPr>
        <w:spacing w:after="0" w:line="240" w:lineRule="auto"/>
        <w:rPr>
          <w:lang w:eastAsia="zh-CN"/>
        </w:rPr>
      </w:pPr>
      <w:r>
        <w:t>2 = Categories exist but are redundant, too thin, or overly broad macro buckets.</w:t>
      </w:r>
    </w:p>
    <w:p w14:paraId="3DBDE986" w14:textId="77777777" w:rsidR="00FB61CA" w:rsidRDefault="00272DBD" w:rsidP="00516755">
      <w:pPr>
        <w:spacing w:after="0" w:line="240" w:lineRule="auto"/>
        <w:rPr>
          <w:lang w:eastAsia="zh-CN"/>
        </w:rPr>
      </w:pPr>
      <w:r>
        <w:t>3 = Categories are partly differentiated, but some overlap, overmerge, or granularity problems remain.</w:t>
      </w:r>
    </w:p>
    <w:p w14:paraId="3DEDFB3F" w14:textId="77777777" w:rsidR="00FB61CA" w:rsidRDefault="00272DBD" w:rsidP="00516755">
      <w:pPr>
        <w:spacing w:after="0" w:line="240" w:lineRule="auto"/>
        <w:rPr>
          <w:lang w:eastAsia="zh-CN"/>
        </w:rPr>
      </w:pPr>
      <w:r>
        <w:t>4 = Categories are mostly distinct, mid-grained, and grounded in different mechanisms or conditions.</w:t>
      </w:r>
    </w:p>
    <w:p w14:paraId="58582702" w14:textId="37D693B9" w:rsidR="00A31814" w:rsidRDefault="00272DBD" w:rsidP="00516755">
      <w:pPr>
        <w:spacing w:after="0" w:line="240" w:lineRule="auto"/>
        <w:rPr>
          <w:lang w:eastAsia="zh-CN"/>
        </w:rPr>
      </w:pPr>
      <w:r>
        <w:t>5 = Category structure is consistently distinct, appropriately granular, and avoids overmerging while preserving meaningful variation.</w:t>
      </w:r>
    </w:p>
    <w:p w14:paraId="31E478FE" w14:textId="77777777" w:rsidR="00FB61CA" w:rsidRDefault="00FB61CA" w:rsidP="00516755">
      <w:pPr>
        <w:spacing w:after="0" w:line="240" w:lineRule="auto"/>
        <w:rPr>
          <w:lang w:eastAsia="zh-CN"/>
        </w:rPr>
      </w:pPr>
    </w:p>
    <w:p w14:paraId="48DD663F" w14:textId="10792017" w:rsidR="00A31814" w:rsidRDefault="00272DBD" w:rsidP="00516755">
      <w:pPr>
        <w:pStyle w:val="Heading1"/>
        <w:spacing w:before="0" w:after="0" w:line="240" w:lineRule="auto"/>
      </w:pPr>
      <w:r>
        <w:t>B. Traceability and Quote Evidence</w:t>
      </w:r>
    </w:p>
    <w:p w14:paraId="53D58127" w14:textId="77777777" w:rsidR="00FB61CA" w:rsidRDefault="00272DBD" w:rsidP="00516755">
      <w:pPr>
        <w:spacing w:after="0" w:line="240" w:lineRule="auto"/>
        <w:rPr>
          <w:lang w:eastAsia="zh-CN"/>
        </w:rPr>
      </w:pPr>
      <w:r>
        <w:rPr>
          <w:b/>
          <w:color w:val="111827"/>
          <w:sz w:val="22"/>
        </w:rPr>
        <w:t>4. Traceability and quote evidence</w:t>
      </w:r>
      <w:r>
        <w:rPr>
          <w:b/>
          <w:color w:val="111827"/>
          <w:sz w:val="22"/>
        </w:rPr>
        <w:br/>
      </w:r>
      <w:r>
        <w:t>Can claims be traced to segment IDs and clean source quotes? This criterion is code-scored using segment/source-context presence, loose 95% quote-to-source matching, and common quote artifact checks.</w:t>
      </w:r>
      <w:r>
        <w:br/>
        <w:t>Anchors:</w:t>
      </w:r>
    </w:p>
    <w:p w14:paraId="5C0FC5A4" w14:textId="77777777" w:rsidR="00FB61CA" w:rsidRDefault="00272DBD" w:rsidP="00516755">
      <w:pPr>
        <w:spacing w:after="0" w:line="240" w:lineRule="auto"/>
        <w:rPr>
          <w:lang w:eastAsia="zh-CN"/>
        </w:rPr>
      </w:pPr>
      <w:r>
        <w:t>1 = Claims cannot be traced to segment IDs or source text; quotes are absent, fabricated, or not auditable.</w:t>
      </w:r>
    </w:p>
    <w:p w14:paraId="088698AD" w14:textId="77777777" w:rsidR="00FB61CA" w:rsidRDefault="00272DBD" w:rsidP="00516755">
      <w:pPr>
        <w:spacing w:after="0" w:line="240" w:lineRule="auto"/>
        <w:rPr>
          <w:lang w:eastAsia="zh-CN"/>
        </w:rPr>
      </w:pPr>
      <w:r>
        <w:t>2 = Some segment IDs or quotes are present, but many are missing, dirty, mismatched, or disconnected from source context.</w:t>
      </w:r>
    </w:p>
    <w:p w14:paraId="537611E5" w14:textId="77777777" w:rsidR="00FB61CA" w:rsidRDefault="00272DBD" w:rsidP="00516755">
      <w:pPr>
        <w:spacing w:after="0" w:line="240" w:lineRule="auto"/>
        <w:rPr>
          <w:lang w:eastAsia="zh-CN"/>
        </w:rPr>
      </w:pPr>
      <w:r>
        <w:t>3 = Most major claims have traceable segment IDs/quotes, but quote cleanliness, context fit, or evidence coverage is uneven.</w:t>
      </w:r>
    </w:p>
    <w:p w14:paraId="11CF0CEF" w14:textId="77777777" w:rsidR="00FB61CA" w:rsidRDefault="00272DBD" w:rsidP="00516755">
      <w:pPr>
        <w:spacing w:after="0" w:line="240" w:lineRule="auto"/>
        <w:rPr>
          <w:lang w:eastAsia="zh-CN"/>
        </w:rPr>
      </w:pPr>
      <w:r>
        <w:t>4 = Claims are usually supported by clean quotes and segment IDs, with minor traceability or context gaps.</w:t>
      </w:r>
    </w:p>
    <w:p w14:paraId="70A855A7" w14:textId="25D5B009" w:rsidR="00A31814" w:rsidRDefault="00272DBD" w:rsidP="00516755">
      <w:pPr>
        <w:spacing w:after="0" w:line="240" w:lineRule="auto"/>
        <w:rPr>
          <w:lang w:eastAsia="zh-CN"/>
        </w:rPr>
      </w:pPr>
      <w:r>
        <w:lastRenderedPageBreak/>
        <w:t>5 = Category claims are consistently traceable to clean quotes, segment IDs, and source context; quoted evidence substantively supports the interpretation.</w:t>
      </w:r>
    </w:p>
    <w:p w14:paraId="6AD394E3" w14:textId="77777777" w:rsidR="00FB61CA" w:rsidRDefault="00FB61CA" w:rsidP="00516755">
      <w:pPr>
        <w:spacing w:after="0" w:line="240" w:lineRule="auto"/>
        <w:rPr>
          <w:lang w:eastAsia="zh-CN"/>
        </w:rPr>
      </w:pPr>
    </w:p>
    <w:p w14:paraId="04EACE8C" w14:textId="3D615D09" w:rsidR="00A31814" w:rsidRDefault="00272DBD" w:rsidP="00516755">
      <w:pPr>
        <w:pStyle w:val="Heading1"/>
        <w:spacing w:before="0" w:after="0" w:line="240" w:lineRule="auto"/>
      </w:pPr>
      <w:r>
        <w:t>C. Synthesis and Integration Quality</w:t>
      </w:r>
    </w:p>
    <w:p w14:paraId="727E0F20" w14:textId="77777777" w:rsidR="00FB61CA" w:rsidRDefault="00272DBD" w:rsidP="00516755">
      <w:pPr>
        <w:spacing w:after="0" w:line="240" w:lineRule="auto"/>
        <w:rPr>
          <w:lang w:eastAsia="zh-CN"/>
        </w:rPr>
      </w:pPr>
      <w:r>
        <w:rPr>
          <w:b/>
          <w:color w:val="111827"/>
          <w:sz w:val="22"/>
        </w:rPr>
        <w:t>5. Memo-to-synthesis coherence</w:t>
      </w:r>
      <w:r>
        <w:rPr>
          <w:b/>
          <w:color w:val="111827"/>
          <w:sz w:val="22"/>
        </w:rPr>
        <w:br/>
      </w:r>
      <w:r>
        <w:t>Do memos and final synthesis preserve tensions, variation, category relationships, and evidence-bounded claims?</w:t>
      </w:r>
      <w:r>
        <w:br/>
        <w:t>Anchors:</w:t>
      </w:r>
    </w:p>
    <w:p w14:paraId="578E1527" w14:textId="77777777" w:rsidR="00FB61CA" w:rsidRDefault="00272DBD" w:rsidP="00516755">
      <w:pPr>
        <w:spacing w:after="0" w:line="240" w:lineRule="auto"/>
        <w:rPr>
          <w:lang w:eastAsia="zh-CN"/>
        </w:rPr>
      </w:pPr>
      <w:r>
        <w:t>1 = Memos/synthesis are absent or disconnected from categories and evidence.</w:t>
      </w:r>
    </w:p>
    <w:p w14:paraId="32826781" w14:textId="77777777" w:rsidR="00FB61CA" w:rsidRDefault="00272DBD" w:rsidP="00516755">
      <w:pPr>
        <w:spacing w:after="0" w:line="240" w:lineRule="auto"/>
        <w:rPr>
          <w:lang w:eastAsia="zh-CN"/>
        </w:rPr>
      </w:pPr>
      <w:r>
        <w:t>2 = Memos or synthesis mostly summarize topics without developing comparative insight or relationships.</w:t>
      </w:r>
    </w:p>
    <w:p w14:paraId="2D2C7E05" w14:textId="77777777" w:rsidR="00FB61CA" w:rsidRDefault="00272DBD" w:rsidP="00516755">
      <w:pPr>
        <w:spacing w:after="0" w:line="240" w:lineRule="auto"/>
        <w:rPr>
          <w:lang w:eastAsia="zh-CN"/>
        </w:rPr>
      </w:pPr>
      <w:r>
        <w:t>3 = Some memo insights carry into synthesis, but links among incidents, categories, boundaries, and claims are uneven.</w:t>
      </w:r>
    </w:p>
    <w:p w14:paraId="559C055A" w14:textId="77777777" w:rsidR="00FB61CA" w:rsidRDefault="00272DBD" w:rsidP="00516755">
      <w:pPr>
        <w:spacing w:after="0" w:line="240" w:lineRule="auto"/>
        <w:rPr>
          <w:lang w:eastAsia="zh-CN"/>
        </w:rPr>
      </w:pPr>
      <w:r>
        <w:t xml:space="preserve">4 = Synthesis follows from memos and categories, explains relationships, and is mostly </w:t>
      </w:r>
      <w:proofErr w:type="gramStart"/>
      <w:r>
        <w:t>evidence-bounded</w:t>
      </w:r>
      <w:proofErr w:type="gramEnd"/>
      <w:r>
        <w:t>.</w:t>
      </w:r>
    </w:p>
    <w:p w14:paraId="3F029379" w14:textId="2EF70588" w:rsidR="00A31814" w:rsidRDefault="00272DBD" w:rsidP="00516755">
      <w:pPr>
        <w:spacing w:after="0" w:line="240" w:lineRule="auto"/>
        <w:rPr>
          <w:lang w:eastAsia="zh-CN"/>
        </w:rPr>
      </w:pPr>
      <w:r>
        <w:t>5 = Memos, category relationships, tensions, boundary cases, and final synthesis form a coherent evidence-bounded analytic chain.</w:t>
      </w:r>
    </w:p>
    <w:p w14:paraId="709DF2F3" w14:textId="77777777" w:rsidR="00FB61CA" w:rsidRDefault="00FB61CA" w:rsidP="00516755">
      <w:pPr>
        <w:spacing w:after="0" w:line="240" w:lineRule="auto"/>
        <w:rPr>
          <w:lang w:eastAsia="zh-CN"/>
        </w:rPr>
      </w:pPr>
    </w:p>
    <w:p w14:paraId="484ADE2D" w14:textId="77777777" w:rsidR="00FB61CA" w:rsidRDefault="00272DBD" w:rsidP="00516755">
      <w:pPr>
        <w:spacing w:after="0" w:line="240" w:lineRule="auto"/>
        <w:rPr>
          <w:lang w:eastAsia="zh-CN"/>
        </w:rPr>
      </w:pPr>
      <w:r>
        <w:rPr>
          <w:b/>
          <w:color w:val="111827"/>
          <w:sz w:val="22"/>
        </w:rPr>
        <w:t>6. Cross-coder divergence integration</w:t>
      </w:r>
      <w:r>
        <w:rPr>
          <w:b/>
          <w:color w:val="111827"/>
          <w:sz w:val="22"/>
        </w:rPr>
        <w:br/>
      </w:r>
      <w:r>
        <w:t>If two coders were used, does integration explain convergence, divergence, and how disagreement changes category boundaries?</w:t>
      </w:r>
      <w:r>
        <w:br/>
        <w:t>Anchors:</w:t>
      </w:r>
    </w:p>
    <w:p w14:paraId="77298F04" w14:textId="77777777" w:rsidR="00FB61CA" w:rsidRDefault="00272DBD" w:rsidP="00516755">
      <w:pPr>
        <w:spacing w:after="0" w:line="240" w:lineRule="auto"/>
        <w:rPr>
          <w:lang w:eastAsia="zh-CN"/>
        </w:rPr>
      </w:pPr>
      <w:r>
        <w:t>1 = No meaningful cross-coder integration is present for a two-coder run, or one coder dominates without explanation.</w:t>
      </w:r>
    </w:p>
    <w:p w14:paraId="11080AA6" w14:textId="4F5B2865" w:rsidR="00FB61CA" w:rsidRDefault="00272DBD" w:rsidP="00516755">
      <w:pPr>
        <w:spacing w:after="0" w:line="240" w:lineRule="auto"/>
        <w:rPr>
          <w:lang w:eastAsia="zh-CN"/>
        </w:rPr>
      </w:pPr>
      <w:r>
        <w:t>2 = Coder differences are listed but not interpreted or used to revise category boundaries.</w:t>
      </w:r>
    </w:p>
    <w:p w14:paraId="607C1DD0" w14:textId="77777777" w:rsidR="00FB61CA" w:rsidRDefault="00272DBD" w:rsidP="00516755">
      <w:pPr>
        <w:spacing w:after="0" w:line="240" w:lineRule="auto"/>
        <w:rPr>
          <w:lang w:eastAsia="zh-CN"/>
        </w:rPr>
      </w:pPr>
      <w:r>
        <w:t>3 = Some convergence/divergence is integrated, but boundary impact or minority interpretations are uneven.</w:t>
      </w:r>
    </w:p>
    <w:p w14:paraId="7E4C6B79" w14:textId="77777777" w:rsidR="00FB61CA" w:rsidRDefault="00272DBD" w:rsidP="00516755">
      <w:pPr>
        <w:spacing w:after="0" w:line="240" w:lineRule="auto"/>
        <w:rPr>
          <w:lang w:eastAsia="zh-CN"/>
        </w:rPr>
      </w:pPr>
      <w:r>
        <w:t>4 = Integration explains major convergences/divergences and usually shows how disagreement affects categories.</w:t>
      </w:r>
    </w:p>
    <w:p w14:paraId="400DE422" w14:textId="766B4F7B" w:rsidR="00516755" w:rsidRDefault="00272DBD">
      <w:pPr>
        <w:spacing w:after="0" w:line="240" w:lineRule="auto"/>
        <w:rPr>
          <w:rFonts w:hint="eastAsia"/>
          <w:lang w:eastAsia="zh-CN"/>
        </w:rPr>
      </w:pPr>
      <w:r>
        <w:t>5 = Integration consistently preserves both coders' contributions, explains divergence, and uses disagreement to refine category boundaries and synthesis.</w:t>
      </w:r>
    </w:p>
    <w:sectPr w:rsidR="0051675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137849">
    <w:abstractNumId w:val="8"/>
  </w:num>
  <w:num w:numId="2" w16cid:durableId="1563056934">
    <w:abstractNumId w:val="6"/>
  </w:num>
  <w:num w:numId="3" w16cid:durableId="357318314">
    <w:abstractNumId w:val="5"/>
  </w:num>
  <w:num w:numId="4" w16cid:durableId="1308778088">
    <w:abstractNumId w:val="4"/>
  </w:num>
  <w:num w:numId="5" w16cid:durableId="2072458203">
    <w:abstractNumId w:val="7"/>
  </w:num>
  <w:num w:numId="6" w16cid:durableId="1364556586">
    <w:abstractNumId w:val="3"/>
  </w:num>
  <w:num w:numId="7" w16cid:durableId="1114786501">
    <w:abstractNumId w:val="2"/>
  </w:num>
  <w:num w:numId="8" w16cid:durableId="526455974">
    <w:abstractNumId w:val="1"/>
  </w:num>
  <w:num w:numId="9" w16cid:durableId="108357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DBD"/>
    <w:rsid w:val="0029639D"/>
    <w:rsid w:val="00326F90"/>
    <w:rsid w:val="00516755"/>
    <w:rsid w:val="00A31814"/>
    <w:rsid w:val="00AA1D8D"/>
    <w:rsid w:val="00B47730"/>
    <w:rsid w:val="00CB0664"/>
    <w:rsid w:val="00DD65EF"/>
    <w:rsid w:val="00EB7FC9"/>
    <w:rsid w:val="00FB61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46BB8"/>
  <w14:defaultImageDpi w14:val="300"/>
  <w15:docId w15:val="{603AAC49-774A-8A41-B0AC-C9CCEBF22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Yang, Yuyi</cp:lastModifiedBy>
  <cp:revision>5</cp:revision>
  <dcterms:created xsi:type="dcterms:W3CDTF">2013-12-23T23:15:00Z</dcterms:created>
  <dcterms:modified xsi:type="dcterms:W3CDTF">2026-06-13T20:28:00Z</dcterms:modified>
  <cp:category/>
</cp:coreProperties>
</file>