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DC" w:rsidRDefault="00383730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一、网页中的空格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默认情况下，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标签的段落文字首行是不会缩进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个字的。例如：</w:t>
      </w:r>
    </w:p>
    <w:p w:rsidR="000D69DC" w:rsidRDefault="000D69DC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begin"/>
      </w:r>
      <w:r w:rsidR="00383730"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instrText xml:space="preserve">INCLUDEPICTURE \d "http://www.lvyestudy.com/App_images/lesson/hj/4-7-1.png" \* MERGEFORMATINET </w:instrTex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separate"/>
      </w:r>
      <w:r w:rsidR="00383730">
        <w:rPr>
          <w:rFonts w:ascii="微软雅黑" w:eastAsia="微软雅黑" w:hAnsi="微软雅黑" w:cs="微软雅黑" w:hint="eastAsia"/>
          <w:noProof/>
          <w:color w:val="1A1A1A"/>
          <w:sz w:val="21"/>
          <w:szCs w:val="21"/>
          <w:shd w:val="clear" w:color="auto" w:fill="FFFFFF"/>
        </w:rPr>
        <w:drawing>
          <wp:inline distT="0" distB="0" distL="114300" distR="114300">
            <wp:extent cx="4524375" cy="2133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fldChar w:fldCharType="end"/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为了使得每个段落首行缩进，我们要在段落前加入空格。空格的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代码是“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&amp;nbsp;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”。</w:t>
      </w:r>
    </w:p>
    <w:p w:rsidR="000D69DC" w:rsidRDefault="00383730">
      <w:pPr>
        <w:spacing w:line="6" w:lineRule="atLeast"/>
        <w:rPr>
          <w:rFonts w:ascii="微软雅黑" w:eastAsia="微软雅黑" w:hAnsi="微软雅黑" w:cs="微软雅黑"/>
          <w:b/>
          <w:bCs/>
          <w:color w:val="C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接下来我们一起实验一下效果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b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分析：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网页空格跟你平常排版的空格是不一样的，你不能在网页代码中按入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space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键来输入空格，这是无效的做法。在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中，空格也是要用代码来实现。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空格“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&amp;nbsp;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”，在前端界又称为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u w:val="single"/>
          <w:shd w:val="clear" w:color="auto" w:fill="FFFFFF"/>
        </w:rPr>
        <w:t>“牛逼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u w:val="single"/>
          <w:shd w:val="clear" w:color="auto" w:fill="FFFFFF"/>
        </w:rPr>
        <w:t>SP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u w:val="single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。一般大家说往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标签前加入两个空格，大家都称作“往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标签加入两个’牛逼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SP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’”。现在大家都记住了吧。</w:t>
      </w:r>
    </w:p>
    <w:p w:rsidR="000D69DC" w:rsidRDefault="00383730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二、特殊符号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经常使用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word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的人都知道，当用输入法没办法输入某个字符（如欧元符号€、英镑符号￡等）时，我们都会查找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word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本身提供的特殊字符。但是对于网页来说，怎样在网页输入这种特殊字符呢？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往网页中输入特殊字符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，需要在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代码中输入该特殊字符相对应的代码。这些特殊字符相对应的代码都是以“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&amp;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”开头，以“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注意是英文分号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结束的。</w:t>
      </w:r>
    </w:p>
    <w:tbl>
      <w:tblPr>
        <w:tblW w:w="10108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9"/>
        <w:gridCol w:w="3389"/>
        <w:gridCol w:w="3330"/>
      </w:tblGrid>
      <w:tr w:rsidR="000D69DC">
        <w:trPr>
          <w:trHeight w:val="420"/>
          <w:tblHeader/>
        </w:trPr>
        <w:tc>
          <w:tcPr>
            <w:tcW w:w="338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lastRenderedPageBreak/>
              <w:t>特殊符号</w:t>
            </w:r>
          </w:p>
        </w:tc>
        <w:tc>
          <w:tcPr>
            <w:tcW w:w="338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名称</w:t>
            </w:r>
          </w:p>
        </w:tc>
        <w:tc>
          <w:tcPr>
            <w:tcW w:w="333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代码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"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双引号（英文）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&amp;quot;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‘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左单引号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&amp;lsquo;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’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右单引号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&amp;rsquo;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×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乘号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&amp;times;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÷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除号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&amp;divide;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&lt;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小于号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&amp;lt;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&gt;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大于号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&amp;gt;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与符号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&amp;amp;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—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长破折号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&amp;mdash;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|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竖线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&amp;#124;</w:t>
            </w:r>
          </w:p>
        </w:tc>
      </w:tr>
      <w:tr w:rsidR="000D69DC">
        <w:trPr>
          <w:trHeight w:val="420"/>
          <w:tblHeader/>
        </w:trPr>
        <w:tc>
          <w:tcPr>
            <w:tcW w:w="338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特殊符号</w:t>
            </w:r>
          </w:p>
        </w:tc>
        <w:tc>
          <w:tcPr>
            <w:tcW w:w="338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名称</w:t>
            </w:r>
          </w:p>
        </w:tc>
        <w:tc>
          <w:tcPr>
            <w:tcW w:w="333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代码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§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分节符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&amp;sect;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©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版权符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copy;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®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注册商标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&amp;reg;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™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商标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&amp;trade;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lastRenderedPageBreak/>
              <w:t>€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欧元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&amp;euro;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£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英镑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&amp;pound;</w:t>
            </w:r>
          </w:p>
        </w:tc>
      </w:tr>
      <w:tr w:rsidR="000D69DC"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¥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日元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&amp;yen;</w:t>
            </w:r>
          </w:p>
        </w:tc>
      </w:tr>
      <w:tr w:rsidR="000D69DC"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°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度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&amp;deg;</w:t>
            </w:r>
          </w:p>
        </w:tc>
      </w:tr>
    </w:tbl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对于表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中的特殊符号，我们可以通过输入法输入，没必要使用代码来实现。而对于表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中的特殊符号，我们可能没办法用输入法输入，那就使用代码进行输入。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在线测试：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欧元符号：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&amp;euro;&lt;/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英镑符号：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&amp;pound;&lt;/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0D69DC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  <w:shd w:val="clear" w:color="auto" w:fill="FFFFFF"/>
        </w:rPr>
      </w:pPr>
    </w:p>
    <w:p w:rsidR="000D69DC" w:rsidRDefault="000D69DC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  <w:shd w:val="clear" w:color="auto" w:fill="FFFFFF"/>
        </w:rPr>
      </w:pPr>
    </w:p>
    <w:p w:rsidR="000D69DC" w:rsidRDefault="00383730"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什么叫自闭合标签？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在之前我们说过，大多数标签都是成对出现，都有一个开始符号和结束符号。但是细心的同学会看到，有些标签是没有结束符号的，例如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之前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学的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&lt;br/&gt;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&lt;hr/&gt;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标签。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t>那自闭合标签和一般标签有什么区别呢？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div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屯儿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hr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/&gt;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我滴老嘎，啊就在折个屯儿儿儿，偶思折个屯里土生土长的羊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~&lt;/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div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0D69DC">
      <w:pPr>
        <w:spacing w:line="6" w:lineRule="atLeast"/>
        <w:rPr>
          <w:rFonts w:ascii="微软雅黑" w:eastAsia="微软雅黑" w:hAnsi="微软雅黑" w:cs="微软雅黑"/>
          <w:szCs w:val="21"/>
        </w:rPr>
      </w:pP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从这一段代码我们可以看出来，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&lt;div&gt;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标签的开始符号和结束符号之间是可以插入其他标签或文字的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&lt;meta/&gt;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&lt;hr/&gt;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标签不能插入任何其他标签，只能定义它自身有的属性。</w:t>
      </w:r>
    </w:p>
    <w:p w:rsidR="000D69DC" w:rsidRDefault="00383730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一般标签由于有开始符号和结束符号，可以在标签内部插入其他标签或文字；</w:t>
      </w:r>
    </w:p>
    <w:p w:rsidR="000D69DC" w:rsidRDefault="00383730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b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自闭合标签由于没有结束符号，没办法在内部插入其他标签或文字，只能定义自身的一些属性。</w:t>
      </w:r>
    </w:p>
    <w:p w:rsidR="000D69DC" w:rsidRDefault="0038373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四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、常见的自闭合标签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&lt;meta/&gt;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定义页面的说明信息，供搜索引擎查看。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&lt;link/&gt;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用于连接外部的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文件或脚本文件。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lastRenderedPageBreak/>
        <w:t>3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&lt;base/&gt;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定义页面所有链接的基础定位。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&lt;br/&gt;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用于换行。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hr/&gt;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水平线。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6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&lt;input/&gt;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用于定义表单元素</w:t>
      </w:r>
    </w:p>
    <w:p w:rsidR="000D69DC" w:rsidRDefault="00383730">
      <w:pPr>
        <w:pStyle w:val="3"/>
        <w:widowControl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b w:val="0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7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&lt;img/&gt;</w:t>
      </w:r>
      <w:r>
        <w:rPr>
          <w:rFonts w:ascii="微软雅黑" w:eastAsia="微软雅黑" w:hAnsi="微软雅黑" w:cs="微软雅黑"/>
          <w:b w:val="0"/>
          <w:color w:val="1A1A1A"/>
          <w:sz w:val="21"/>
          <w:szCs w:val="21"/>
          <w:shd w:val="clear" w:color="auto" w:fill="FFFFFF"/>
        </w:rPr>
        <w:t>图像标签。</w:t>
      </w:r>
    </w:p>
    <w:p w:rsidR="000D69DC" w:rsidRDefault="00383730">
      <w:pPr>
        <w:pStyle w:val="1"/>
        <w:widowControl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块元素和行内元素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块元素和行内元素，这个概念极其重要，这同时也是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的基础知识之一。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大家在之前的学习可能发现，在浏览器的显示效果中，有些元素（即标签）它是独占一行的，别的元素不能跟这个元素位于同一行，如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&lt;h1&gt;~&lt;h6&gt;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&lt;div&gt;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等；而有些元素它是可以跟其他元素位于同一行，如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&lt;strong&gt;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&lt;em&gt;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&lt;u&gt;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等。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sz w:val="21"/>
          <w:szCs w:val="21"/>
          <w:highlight w:val="darkYellow"/>
        </w:rPr>
      </w:pP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标签又叫“元素”，例如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标签又叫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元素，叫法不同，意思相同。这一节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我们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使用“元素”来称呼，也是让大家对这两种叫法有个熟悉。在这里，所谓的“独占一行”并不是在代码中独占一行，而是在浏览器显示效果中独占一行。</w:t>
      </w:r>
      <w:bookmarkStart w:id="0" w:name="_GoBack"/>
      <w:bookmarkEnd w:id="0"/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元素根据表现形式，可以分为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类：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）块元素（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block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）；</w:t>
      </w:r>
    </w:p>
    <w:p w:rsidR="000D69DC" w:rsidRDefault="00383730">
      <w:pPr>
        <w:widowControl/>
        <w:spacing w:line="6" w:lineRule="atLeast"/>
        <w:ind w:left="450"/>
        <w:jc w:val="left"/>
        <w:rPr>
          <w:rFonts w:ascii="微软雅黑" w:eastAsia="微软雅黑" w:hAnsi="微软雅黑" w:cs="微软雅黑"/>
          <w:color w:val="1A1A1A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）行内元素（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inline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）；</w:t>
      </w:r>
    </w:p>
    <w:p w:rsidR="000D69DC" w:rsidRDefault="00383730">
      <w:pPr>
        <w:widowControl/>
        <w:spacing w:line="6" w:lineRule="atLeast"/>
        <w:ind w:left="450"/>
        <w:jc w:val="lef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任何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元素都属于这两类中的其中一类。</w:t>
      </w:r>
    </w:p>
    <w:p w:rsidR="000D69DC" w:rsidRDefault="0038373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一、块元素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t>块元素在浏览器默认显示状态下将占据整行，排斥其他元素与其位于同一行。块元素一般为矩形，可以容纳行元素和其他的块元素。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0D69DC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块元素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div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div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层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h1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～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h6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到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级标题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p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段落，会自动在其前后创建一些空白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hr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分割线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ol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有序列表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ul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无序列表</w:t>
            </w:r>
          </w:p>
        </w:tc>
      </w:tr>
    </w:tbl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块元素的特点是：</w:t>
      </w:r>
    </w:p>
    <w:p w:rsidR="000D69DC" w:rsidRDefault="00383730">
      <w:pPr>
        <w:widowControl/>
        <w:numPr>
          <w:ilvl w:val="0"/>
          <w:numId w:val="3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）独占一行，排斥其他元素跟其位于同一行，包括块元素和行内元素；</w:t>
      </w:r>
    </w:p>
    <w:p w:rsidR="000D69DC" w:rsidRDefault="00383730">
      <w:pPr>
        <w:widowControl/>
        <w:numPr>
          <w:ilvl w:val="0"/>
          <w:numId w:val="3"/>
        </w:numPr>
        <w:spacing w:line="6" w:lineRule="atLeast"/>
        <w:ind w:left="0" w:firstLine="450"/>
        <w:jc w:val="left"/>
        <w:rPr>
          <w:rStyle w:val="HTML"/>
          <w:rFonts w:ascii="微软雅黑" w:eastAsia="微软雅黑" w:hAnsi="微软雅黑" w:cs="微软雅黑"/>
          <w:color w:val="000000"/>
          <w:kern w:val="0"/>
          <w:sz w:val="21"/>
          <w:szCs w:val="21"/>
          <w:shd w:val="clear" w:color="auto" w:fill="FFFDE2"/>
          <w:lang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）块元素内部可以容纳其他块元素或行元素；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Style w:val="HTML"/>
          <w:rFonts w:ascii="微软雅黑" w:eastAsia="微软雅黑" w:hAnsi="微软雅黑" w:cs="微软雅黑"/>
          <w:color w:val="356B43"/>
          <w:kern w:val="0"/>
          <w:sz w:val="21"/>
          <w:szCs w:val="21"/>
          <w:shd w:val="clear" w:color="auto" w:fill="FFFDE2"/>
          <w:lang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div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屯儿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h3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偶滴老噶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 xml:space="preserve"> 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就组在则个屯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p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t>    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strong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偶系则个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strong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em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屯里土生土长的羊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em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356B43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kern w:val="0"/>
          <w:sz w:val="21"/>
          <w:szCs w:val="21"/>
          <w:shd w:val="clear" w:color="auto" w:fill="FFFDE2"/>
          <w:lang/>
        </w:rPr>
        <w:lastRenderedPageBreak/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div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widowControl/>
        <w:shd w:val="clear" w:color="auto" w:fill="FFFDE2"/>
        <w:spacing w:line="6" w:lineRule="atLeast"/>
        <w:jc w:val="left"/>
        <w:textAlignment w:val="baseline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kern w:val="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kern w:val="0"/>
          <w:sz w:val="21"/>
          <w:szCs w:val="21"/>
          <w:shd w:val="clear" w:color="auto" w:fill="FFFDE2"/>
          <w:lang/>
        </w:rPr>
        <w:t>&gt;</w:t>
      </w:r>
    </w:p>
    <w:p w:rsidR="000D69DC" w:rsidRDefault="00383730">
      <w:pPr>
        <w:spacing w:line="6" w:lineRule="atLeast"/>
        <w:rPr>
          <w:rFonts w:ascii="微软雅黑" w:eastAsia="微软雅黑" w:hAnsi="微软雅黑" w:cs="微软雅黑"/>
          <w:b/>
          <w:bCs/>
          <w:color w:val="C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C00000"/>
          <w:szCs w:val="21"/>
        </w:rPr>
        <w:drawing>
          <wp:inline distT="0" distB="0" distL="114300" distR="114300">
            <wp:extent cx="4246880" cy="1808480"/>
            <wp:effectExtent l="0" t="0" r="1270" b="1270"/>
            <wp:docPr id="4" name="图片 4" descr="4-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9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DC" w:rsidRDefault="00383730">
      <w:pPr>
        <w:pStyle w:val="2"/>
        <w:widowControl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二、行内元素</w:t>
      </w:r>
    </w:p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行内元素与块元素恰恰相反。行内元素默认显示状态可以与其他行内元素共存在同一行。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0D69DC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行内元素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strong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加粗强调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em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斜体强调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s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删除线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u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下划线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a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超链接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span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常用行级，可定义文档中的行内元素</w:t>
            </w:r>
          </w:p>
        </w:tc>
      </w:tr>
      <w:tr w:rsidR="000D69D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lastRenderedPageBreak/>
              <w:t>img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图片</w:t>
            </w:r>
          </w:p>
        </w:tc>
      </w:tr>
      <w:tr w:rsidR="000D69D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input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0D69DC" w:rsidRDefault="00383730">
            <w:pPr>
              <w:widowControl/>
              <w:spacing w:line="6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表单</w:t>
            </w:r>
          </w:p>
        </w:tc>
      </w:tr>
    </w:tbl>
    <w:p w:rsidR="000D69DC" w:rsidRDefault="00383730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行内元素的特点是：</w:t>
      </w:r>
    </w:p>
    <w:p w:rsidR="000D69DC" w:rsidRDefault="00383730">
      <w:pPr>
        <w:widowControl/>
        <w:numPr>
          <w:ilvl w:val="0"/>
          <w:numId w:val="4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）可以与其他行内元素位于同一行；</w:t>
      </w:r>
    </w:p>
    <w:p w:rsidR="000D69DC" w:rsidRDefault="00383730">
      <w:pPr>
        <w:widowControl/>
        <w:numPr>
          <w:ilvl w:val="0"/>
          <w:numId w:val="4"/>
        </w:numPr>
        <w:spacing w:line="6" w:lineRule="atLeast"/>
        <w:ind w:left="0" w:firstLine="450"/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A1A1A"/>
          <w:szCs w:val="21"/>
          <w:shd w:val="clear" w:color="auto" w:fill="FFFFFF"/>
        </w:rPr>
        <w:t>）行内内部可以容纳其他行内元素，但不可以容纳块元素，不然会出现无法预知的效果；</w:t>
      </w:r>
    </w:p>
    <w:p w:rsidR="000D69DC" w:rsidRDefault="000D69DC">
      <w:pPr>
        <w:spacing w:line="6" w:lineRule="atLeast"/>
        <w:rPr>
          <w:rFonts w:ascii="微软雅黑" w:eastAsia="微软雅黑" w:hAnsi="微软雅黑" w:cs="微软雅黑"/>
          <w:color w:val="C00000"/>
          <w:szCs w:val="21"/>
        </w:rPr>
      </w:pPr>
    </w:p>
    <w:sectPr w:rsidR="000D69DC" w:rsidSect="00AD24B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730" w:rsidRDefault="00383730" w:rsidP="00AD24B0">
      <w:r>
        <w:separator/>
      </w:r>
    </w:p>
  </w:endnote>
  <w:endnote w:type="continuationSeparator" w:id="1">
    <w:p w:rsidR="00383730" w:rsidRDefault="00383730" w:rsidP="00AD2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730" w:rsidRDefault="00383730" w:rsidP="00AD24B0">
      <w:r>
        <w:separator/>
      </w:r>
    </w:p>
  </w:footnote>
  <w:footnote w:type="continuationSeparator" w:id="1">
    <w:p w:rsidR="00383730" w:rsidRDefault="00383730" w:rsidP="00AD2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834C7"/>
    <w:multiLevelType w:val="singleLevel"/>
    <w:tmpl w:val="581834C7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8183B5A"/>
    <w:multiLevelType w:val="singleLevel"/>
    <w:tmpl w:val="58183B5A"/>
    <w:lvl w:ilvl="0">
      <w:start w:val="1"/>
      <w:numFmt w:val="decimal"/>
      <w:suff w:val="nothing"/>
      <w:lvlText w:val="（%1）"/>
      <w:lvlJc w:val="left"/>
    </w:lvl>
  </w:abstractNum>
  <w:abstractNum w:abstractNumId="2">
    <w:nsid w:val="58183D83"/>
    <w:multiLevelType w:val="multilevel"/>
    <w:tmpl w:val="58183D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8184413"/>
    <w:multiLevelType w:val="multilevel"/>
    <w:tmpl w:val="581844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D69DC"/>
    <w:rsid w:val="000D69DC"/>
    <w:rsid w:val="00355C25"/>
    <w:rsid w:val="00383730"/>
    <w:rsid w:val="00AD24B0"/>
    <w:rsid w:val="03424CA6"/>
    <w:rsid w:val="04C23C39"/>
    <w:rsid w:val="12F60E21"/>
    <w:rsid w:val="17EF7E48"/>
    <w:rsid w:val="1B004056"/>
    <w:rsid w:val="1C8623FE"/>
    <w:rsid w:val="1EB45A2F"/>
    <w:rsid w:val="234846B3"/>
    <w:rsid w:val="28954E56"/>
    <w:rsid w:val="35216147"/>
    <w:rsid w:val="381A60B4"/>
    <w:rsid w:val="47B40EF2"/>
    <w:rsid w:val="5A203738"/>
    <w:rsid w:val="60820881"/>
    <w:rsid w:val="60D32C6C"/>
    <w:rsid w:val="7424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69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D69D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0D69D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0D69D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D69D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0D69DC"/>
    <w:rPr>
      <w:color w:val="0000FF"/>
      <w:u w:val="single"/>
    </w:rPr>
  </w:style>
  <w:style w:type="character" w:styleId="HTML">
    <w:name w:val="HTML Code"/>
    <w:basedOn w:val="a0"/>
    <w:rsid w:val="000D69DC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AD24B0"/>
    <w:rPr>
      <w:sz w:val="18"/>
      <w:szCs w:val="18"/>
    </w:rPr>
  </w:style>
  <w:style w:type="character" w:customStyle="1" w:styleId="Char">
    <w:name w:val="批注框文本 Char"/>
    <w:basedOn w:val="a0"/>
    <w:link w:val="a5"/>
    <w:rsid w:val="00AD24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D2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D24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D2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D24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