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-1188720</wp:posOffset>
                </wp:positionH>
                <wp:positionV relativeFrom="paragraph">
                  <wp:posOffset>-944880</wp:posOffset>
                </wp:positionV>
                <wp:extent cx="7600315" cy="1587500"/>
                <wp:effectExtent l="0" t="0" r="0" b="1270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58750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N w:val="0"/>
                              <w:spacing w:before="360" w:line="900" w:lineRule="exact"/>
                              <w:ind w:firstLine="846" w:firstLineChars="151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56"/>
                                <w:szCs w:val="80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72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sz w:val="72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  <w:t>180 1000 1000</w:t>
                            </w:r>
                          </w:p>
                          <w:p>
                            <w:pPr>
                              <w:autoSpaceDN w:val="0"/>
                              <w:spacing w:line="900" w:lineRule="exact"/>
                              <w:ind w:firstLine="846" w:firstLineChars="151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56"/>
                                <w:szCs w:val="80"/>
                                <w:lang w:val="en-US" w:eastAsia="zh-CN"/>
                              </w:rPr>
                              <w:t>Resume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FFFFF"/>
                                <w:sz w:val="72"/>
                                <w:szCs w:val="8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  <w:t>office@microsoft.com</w:t>
                            </w:r>
                          </w:p>
                          <w:p>
                            <w:pPr>
                              <w:autoSpaceDN w:val="0"/>
                              <w:spacing w:before="141" w:after="141" w:line="900" w:lineRule="exact"/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5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3.6pt;margin-top:-74.4pt;height:125pt;width:598.45pt;z-index:251659264;mso-width-relative:page;mso-height-relative:page;" fillcolor="#B4204D" filled="t" stroked="f" coordsize="21600,21600" o:gfxdata="UEsDBAoAAAAAAIdO4kAAAAAAAAAAAAAAAAAEAAAAZHJzL1BLAwQUAAAACACHTuJAkA9lA9sAAAAO&#10;AQAADwAAAGRycy9kb3ducmV2LnhtbE2PzU7DMBCE70i8g7VIXFBrJwo0hDiVKKrohUMLD+Ammx8a&#10;r6PYbcPbsznBbVY7mvkmX0+2FxccfedIQ7RUIJBKV3XUaPj63C5SED4YqkzvCDX8oId1cXuTm6xy&#10;V9rj5RAawSHkM6OhDWHIpPRli9b4pRuQ+Fe70ZrA59jIajRXDre9jJV6ktZ0xA2tGXDTYnk6nC2X&#10;fNQP79/ltt7vXh9PU/2WbKZkp/X9XaReQAScwp8ZZnxGh4KZju5MlRe9hkWUrmL2zipJecXsUep5&#10;BeI4qygGWeTy/4ziF1BLAwQUAAAACACHTuJAzWf08gACAADnAwAADgAAAGRycy9lMm9Eb2MueG1s&#10;rVPBjtMwEL0j8Q+W7zRJt+0uUdPV0moR0gIrFj7AcZzEIvGYsdukfP2OnW4pcENcLI9n/Pzem/H6&#10;duw7dlDoNJiCZ7OUM2UkVNo0Bf/29f7NDWfOC1OJDowq+FE5frt5/Wo92FzNoYWuUsgIxLh8sAVv&#10;vbd5kjjZql64GVhlKFkD9sJTiE1SoRgIve+SeZqukgGwsghSOUenuynJNxG/rpX0n+vaKc+6ghM3&#10;H1eMaxnWZLMWeYPCtlqeaIh/YNELbejRM9ROeMH2qP+C6rVEcFD7mYQ+gbrWUkUNpCZL/1Dz1Aqr&#10;ohYyx9mzTe7/wcpPh0dkuir4FWdG9NSiL2SaME2n2CrYM1iXU9WTfcQg0NkHkN8dM7BtqUrdIcLQ&#10;KlERqSzUJ79dCIGjq6wcPkJF6GLvITo11tgHQPKAjbEhx3ND1OiZpMPrVZpeZUvOJOWy5c31Mo0t&#10;S0T+ct2i8+8V9CxsCo5EPsKLw4PzgY7IX0oifeh0da+7LgbYlNsO2UHQdLxbzNPFLioglZdlnQnF&#10;BsK1CTGcRJ1B2mSRH8vx5FYJ1ZEUI0zTRr+DNi3gT84GmrSCux97gYqz7oMh195mi0UYzRgsltdz&#10;CvAyU15mhJEEVXDP2bTd+mmc9xZ109JLWdRv4I6crnX0IHRhYnXiTdMUrTlNfhjXyzhW/fqfm2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D2UD2wAAAA4BAAAPAAAAAAAAAAEAIAAAACIAAABkcnMv&#10;ZG93bnJldi54bWxQSwECFAAUAAAACACHTuJAzWf08gACAADnAwAADgAAAAAAAAABACAAAAAqAQAA&#10;ZHJzL2Uyb0RvYy54bWxQSwUGAAAAAAYABgBZAQAAn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N w:val="0"/>
                        <w:spacing w:before="360" w:line="900" w:lineRule="exact"/>
                        <w:ind w:firstLine="846" w:firstLineChars="151"/>
                        <w:jc w:val="left"/>
                        <w:rPr>
                          <w:rFonts w:ascii="微软雅黑" w:hAnsi="微软雅黑" w:eastAsia="微软雅黑"/>
                          <w:bCs/>
                          <w:color w:val="C0C0C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/>
                          <w:sz w:val="56"/>
                          <w:szCs w:val="80"/>
                          <w:lang w:eastAsia="zh-CN"/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72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sz w:val="72"/>
                          <w:szCs w:val="36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2"/>
                          <w:szCs w:val="32"/>
                        </w:rPr>
                        <w:t>180 1000 1000</w:t>
                      </w:r>
                    </w:p>
                    <w:p>
                      <w:pPr>
                        <w:autoSpaceDN w:val="0"/>
                        <w:spacing w:line="900" w:lineRule="exact"/>
                        <w:ind w:firstLine="846" w:firstLineChars="151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/>
                          <w:sz w:val="56"/>
                          <w:szCs w:val="80"/>
                          <w:lang w:val="en-US" w:eastAsia="zh-CN"/>
                        </w:rPr>
                        <w:t>Resume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FFFFF"/>
                          <w:sz w:val="72"/>
                          <w:szCs w:val="8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2"/>
                          <w:szCs w:val="32"/>
                        </w:rPr>
                        <w:t>office@microsoft.com</w:t>
                      </w:r>
                    </w:p>
                    <w:p>
                      <w:pPr>
                        <w:autoSpaceDN w:val="0"/>
                        <w:spacing w:before="141" w:after="141" w:line="900" w:lineRule="exact"/>
                        <w:rPr>
                          <w:rFonts w:ascii="微软雅黑" w:hAnsi="微软雅黑" w:eastAsia="微软雅黑"/>
                          <w:bCs/>
                          <w:color w:val="C0C0C0"/>
                          <w:sz w:val="56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260350</wp:posOffset>
                </wp:positionV>
                <wp:extent cx="6599555" cy="8357870"/>
                <wp:effectExtent l="0" t="0" r="4445" b="0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835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月至今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北京语言大学     管理与经济学院     MBA 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将于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月毕业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2009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月至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月 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 xml:space="preserve">  北京城市学院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经管学院        工商管理学士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2014.9-2015.2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波士顿咨询公司（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BCG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助理实习生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参与多个领域国际、国内项目，独立进行网上资料快速搜寻、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制作、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Excel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统计分析、电话访谈中英文记录、巡店采访等工作，累积完成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个工作时。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2014.6-2014.9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阿拉善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SEE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公益基金会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战略管理部实习生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环保类公募基金会，王石、任志强等企业家先后担任理事长指导工作。企业家会员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余名，资助体量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余万人民币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年，累计支持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400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余家环保组织；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75"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向战管部经理汇报，协助项目管理、监测评估、人物访谈、会议记录等工作；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协助哈佛肯尼迪学院团队完成针对本基金会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标杆管理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咨询项目，独立调研并完成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治理结构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课题，撰写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万字分析报告并面向基金会全体做演讲汇报，并促成合作伙伴。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2013.5-2013.8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新浪网人力资源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BP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实习生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独立负责约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人规模的游戏事业部技术类岗位招聘、入职全流程；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直接与项目经理一对一沟通并整理需求、电面候选人、与猎头对接，协调各方人员；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个月内经手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余人招聘并入职，并成功负责一位项目经理的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人团队。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亮亮图文旗舰店https://liangliangtuwen.tmall.com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2009.9-2012.5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北京城市学院学生会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主席 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担任主席期间，学生会规模达到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余人，统筹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个部门开展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余项活动，部门活跃度达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带领部长零成本开展全国高校首创的三行情书比赛，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余张图片平均点击量达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万，吸引腾讯和扬子晚报报道，并制成明信片全校范围售卖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余套。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2010.9-201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北京市城市学院羽毛球队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队长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创建学院第一支羽毛球女队，改革组织架构，使男女队覆盖率从仅含大一到本科四个年级，建立完善的训练管理制度和财务制度；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与男队长合作带领球队进入北京市高校羽毛球赛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强。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英语能力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 xml:space="preserve">     CET6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576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二级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语言，熟练操作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Excel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Visio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等常用办公软件；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专业能力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MATLAB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SPSS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等软件；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专业特长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数学建模、物流规划与优化、数据分析、流程设计；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严谨踏实，有责任心，做事有计划，善于管理时间，执行力强。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协作能力强，有很强的团队意识，也有很强的独立性和适应能力。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富有激情，积极主动参与集体活动，热爱各项体育运动。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9.85pt;margin-top:20.5pt;height:658.1pt;width:519.65pt;z-index:251658240;mso-width-relative:page;mso-height-relative:page;" fillcolor="#FFFFFF" filled="t" stroked="f" coordsize="21600,21600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教育经历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月至今    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北京语言大学     管理与经济学院     MBA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将于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2016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月毕业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2009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月至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月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 北京城市学院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经管学院        工商管理学士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实习经历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2014.9-2015.2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波士顿咨询公司（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BCG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助理实习生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参与多个领域国际、国内项目，独立进行网上资料快速搜寻、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制作、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统计分析、电话访谈中英文记录、巡店采访等工作，累积完成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250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个工作时。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2014.6-2014.9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阿拉善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SEE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公益基金会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战略管理部实习生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环保类公募基金会，王石、任志强等企业家先后担任理事长指导工作。企业家会员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余名，资助体量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余万人民币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年，累计支持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400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余家环保组织；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75"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向战管部经理汇报，协助项目管理、监测评估、人物访谈、会议记录等工作；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协助哈佛肯尼迪学院团队完成针对本基金会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标杆管理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咨询项目，独立调研并完成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治理结构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课题，撰写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万字分析报告并面向基金会全体做演讲汇报，并促成合作伙伴。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2013.5-2013.8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新浪网人力资源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实习生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独立负责约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人规模的游戏事业部技术类岗位招聘、入职全流程；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直接与项目经理一对一沟通并整理需求、电面候选人、与猎头对接，协调各方人员；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个月内经手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余人招聘并入职，并成功负责一位项目经理的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人团队。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 xml:space="preserve">亮亮图文旗舰店https://liangliangtuwen.tmall.com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2009.9-2012.5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北京城市学院学生会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主席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担任主席期间，学生会规模达到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150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余人，统筹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个部门开展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余项活动，部门活跃度达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80%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带领部长零成本开展全国高校首创的三行情书比赛，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余张图片平均点击量达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万，吸引腾讯和扬子晚报报道，并制成明信片全校范围售卖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余套。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2010.9-201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北京市城市学院羽毛球队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队长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创建学院第一支羽毛球女队，改革组织架构，使男女队覆盖率从仅含大一到本科四个年级，建立完善的训练管理制度和财务制度；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与男队长合作带领球队进入北京市高校羽毛球赛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强。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个人技能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英语能力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  CET6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（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576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）；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二级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语言，熟练操作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Word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Visio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等常用办公软件；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专业能力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MATLAB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SPSS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等软件；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专业特长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数学建模、物流规划与优化、数据分析、流程设计；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个人评价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严谨踏实，有责任心，做事有计划，善于管理时间，执行力强。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协作能力强，有很强的团队意识，也有很强的独立性和适应能力。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富有激情，积极主动参与集体活动，热爱各项体育运动。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bookmarkStart w:id="0" w:name="_GoBack"/>
    </w:p>
    <w:bookmarkEnd w:id="0"/>
    <w:p>
      <w:pPr>
        <w:tabs>
          <w:tab w:val="left" w:pos="2143"/>
        </w:tabs>
        <w:jc w:val="left"/>
      </w:pPr>
      <w:r>
        <w:rPr>
          <w:rFonts w:hint="eastAsia"/>
        </w:rPr>
        <w:tab/>
      </w:r>
    </w:p>
    <w:p/>
    <w:p/>
    <w:p>
      <w:pPr>
        <w:jc w:val="righ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6339840</wp:posOffset>
                </wp:positionV>
                <wp:extent cx="7600315" cy="489585"/>
                <wp:effectExtent l="0" t="0" r="0" b="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89731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1.15pt;margin-top:499.2pt;height:38.55pt;width:598.45pt;z-index:251658240;mso-width-relative:page;mso-height-relative:page;" fillcolor="#B4204D" filled="t" stroked="f" coordsize="21600,21600" o:gfxdata="UEsDBAoAAAAAAIdO4kAAAAAAAAAAAAAAAAAEAAAAZHJzL1BLAwQUAAAACACHTuJAUwIbB90AAAAO&#10;AQAADwAAAGRycy9kb3ducmV2LnhtbE2Py07DMBBF90j8gzVIbFBrpyQlDXEqUVTRDYsWPsCNJw8a&#10;j6PYbcPf46zKbkZzdO+ZfD2ajl1wcK0lCdFcAEMqrW6plvD9tZ2lwJxXpFVnCSX8ooN1cX+Xq0zb&#10;K+3xcvA1CyHkMiWh8b7POHdlg0a5ue2Rwq2yg1E+rEPN9aCuIdx0fCHEkhvVUmhoVI+bBsvT4WxC&#10;yWf19PFTbqv97i05jdV7vBnjnZSPD5F4BeZx9DcYJv2gDkVwOtozacc6CbMoXTwHVsJqlcbAJkRE&#10;8RLYcZpekgR4kfP/bxR/UEsDBBQAAAAIAIdO4kCkDZSq+QEAANsDAAAOAAAAZHJzL2Uyb0RvYy54&#10;bWytU8GO0zAQvSPxD5bvNGmb3e5GTVdLq0VIC6xY+ADXcRILx2PGbtPy9YydbilwQ1wsj2fm+b3n&#10;8fLu0Bu2V+g12IpPJzlnykqotW0r/vXLw5sbznwQthYGrKr4UXl+t3r9ajm4Us2gA1MrZARifTm4&#10;inchuDLLvOxUL/wEnLKUbAB7ESjENqtRDITem2yW59fZAFg7BKm8p9PNmOSrhN80SoZPTeNVYKbi&#10;xC2kFdO6jWu2WoqyReE6LU80xD+w6IW2dOkZaiOCYDvUf0H1WiJ4aMJEQp9B02ipkgZSM83/UPPc&#10;CaeSFjLHu7NN/v/Byo/7J2S6rviMMyt6eqLPZJqwrVFsHu0ZnC+p6tk9YRTo3SPIb55ZWHdUpe4R&#10;YeiUqInUNNZnvzXEwFMr2w4foCZ0sQuQnDo02EdA8oAd0oMczw+iDoFJOlxc5/l8esWZpFxxc7uY&#10;j1eI8qXboQ/vFPQsbiqOxD2hi/2jD5GNKF9KEnswun7QxqQA2+3aINsLGo63xSwvNkkAibwsMzYW&#10;W4htI2I8STKjstGhLdRHUokwThj9CNp0gD84G2i6Ku6/7wQqzsx7S07dTosijmMKiqvFjAK8zGwv&#10;M8JKgqp44GzcrsM4wjuHuu3opmkSbeGe3G10Eh6dH1mdyNIEJT9O0x5H9DJOVb/+5O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wIbB90AAAAOAQAADwAAAAAAAAABACAAAAAiAAAAZHJzL2Rvd25y&#10;ZXYueG1sUEsBAhQAFAAAAAgAh07iQKQNlKr5AQAA2wMAAA4AAAAAAAAAAQAgAAAAL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765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eiti SC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Heiti SC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eiti SC">
    <w:panose1 w:val="02010609000101010101"/>
    <w:charset w:val="86"/>
    <w:family w:val="auto"/>
    <w:pitch w:val="default"/>
    <w:sig w:usb0="00000000" w:usb1="00000000" w:usb2="00000000" w:usb3="00000000" w:csb0="601F01FF" w:csb1="D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61D64"/>
    <w:multiLevelType w:val="multilevel"/>
    <w:tmpl w:val="35761D64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E50581"/>
    <w:multiLevelType w:val="multilevel"/>
    <w:tmpl w:val="4DE50581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4F2C61"/>
    <w:multiLevelType w:val="multilevel"/>
    <w:tmpl w:val="5F4F2C61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BC213B5"/>
    <w:multiLevelType w:val="multilevel"/>
    <w:tmpl w:val="7BC213B5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CFB"/>
    <w:rsid w:val="00094986"/>
    <w:rsid w:val="000C2C43"/>
    <w:rsid w:val="00104CA2"/>
    <w:rsid w:val="00172A27"/>
    <w:rsid w:val="001B34F5"/>
    <w:rsid w:val="003D4D82"/>
    <w:rsid w:val="00417BCB"/>
    <w:rsid w:val="00485FA8"/>
    <w:rsid w:val="004D4FD2"/>
    <w:rsid w:val="00594B58"/>
    <w:rsid w:val="0071089C"/>
    <w:rsid w:val="008322F4"/>
    <w:rsid w:val="008514F7"/>
    <w:rsid w:val="009223B3"/>
    <w:rsid w:val="00984D3B"/>
    <w:rsid w:val="00A4565E"/>
    <w:rsid w:val="00C51C8D"/>
    <w:rsid w:val="00CD7F2E"/>
    <w:rsid w:val="00D35F20"/>
    <w:rsid w:val="00DF33E1"/>
    <w:rsid w:val="00E713C9"/>
    <w:rsid w:val="00F37D04"/>
    <w:rsid w:val="00FA247A"/>
    <w:rsid w:val="00FC70BC"/>
    <w:rsid w:val="00FF746D"/>
    <w:rsid w:val="323877D6"/>
    <w:rsid w:val="74196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8">
    <w:name w:val="通用"/>
    <w:basedOn w:val="1"/>
    <w:qFormat/>
    <w:uiPriority w:val="0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 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2</Words>
  <Characters>18</Characters>
  <Lines>1</Lines>
  <Paragraphs>1</Paragraphs>
  <ScaleCrop>false</ScaleCrop>
  <LinksUpToDate>false</LinksUpToDate>
  <CharactersWithSpaces>19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2015-11-19T03:41:00Z</dcterms:created>
  <dc:creator>Administrator</dc:creator>
  <cp:lastModifiedBy>Administrator</cp:lastModifiedBy>
  <cp:lastPrinted>2015-11-24T02:53:00Z</cp:lastPrinted>
  <dcterms:modified xsi:type="dcterms:W3CDTF">2017-04-04T14:43:47Z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