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Figures S1–S2</w:t>
      </w:r>
    </w:p>
    <w:p>
      <w:r>
        <w:rPr>
          <w:i/>
        </w:rPr>
        <w:t>Accompanying: Computational re-analysis of convergent Wnt/β-catenin and pyroptosis signaling in neuropathic pain</w:t>
      </w:r>
    </w:p>
    <w:p>
      <w:r>
        <w:rPr>
          <w:b/>
        </w:rPr>
        <w:t xml:space="preserve">Supplementary Figure S1. </w:t>
      </w:r>
      <w:r>
        <w:t>Structural analysis of drug-target complexes (literature binding energies; MD simulations not completed).</w:t>
      </w:r>
    </w:p>
    <w:p>
      <w:r>
        <w:drawing>
          <wp:inline xmlns:a="http://schemas.openxmlformats.org/drawingml/2006/main" xmlns:pic="http://schemas.openxmlformats.org/drawingml/2006/picture">
            <wp:extent cx="5486400" cy="1708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0_Structural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8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Supplementary Figure S2. </w:t>
      </w:r>
      <w:r>
        <w:t>Reproducibility and limitation self-audit (per-module compliance across five dimensions).</w:t>
      </w:r>
    </w:p>
    <w:p>
      <w:r>
        <w:drawing>
          <wp:inline xmlns:a="http://schemas.openxmlformats.org/drawingml/2006/main" xmlns:pic="http://schemas.openxmlformats.org/drawingml/2006/picture">
            <wp:extent cx="5486400" cy="3555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1_Reproducibility_Au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50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