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Computational re-analysis of convergent Wnt/β-catenin and pyroptosis signaling in neuropathic pain, with single-cell resolution of cell-type specificity: a hypothesis-generating study</w:t>
      </w:r>
    </w:p>
    <w:p/>
    <w:p>
      <w:pPr>
        <w:spacing w:after="120"/>
      </w:pPr>
      <w:r/>
      <w:r>
        <w:rPr>
          <w:b/>
        </w:rPr>
        <w:t>Authors:</w:t>
      </w:r>
      <w:r>
        <w:t xml:space="preserve"> Yang Yong-Xin</w:t>
      </w:r>
    </w:p>
    <w:p>
      <w:pPr>
        <w:spacing w:after="120"/>
      </w:pPr>
      <w:r/>
      <w:r>
        <w:rPr>
          <w:b/>
        </w:rPr>
        <w:t>Affiliations:</w:t>
      </w:r>
      <w:r>
        <w:t xml:space="preserve"> Department of Anesthesiology, The Second Affiliated Hospital of Fujian University of Traditional Chinese Medicine, Fuzhou, Fujian, China</w:t>
      </w:r>
    </w:p>
    <w:p>
      <w:pPr>
        <w:spacing w:after="120"/>
      </w:pPr>
      <w:r/>
      <w:r>
        <w:rPr>
          <w:b/>
        </w:rPr>
        <w:t>Corresponding author:</w:t>
      </w:r>
      <w:r>
        <w:t xml:space="preserve"> Yang Yong-Xin, 960856791@qq.com</w:t>
      </w:r>
    </w:p>
    <w:p>
      <w:pPr>
        <w:spacing w:after="120"/>
      </w:pPr>
      <w:r/>
      <w:r>
        <w:rPr>
          <w:b/>
        </w:rPr>
        <w:t>Running title:</w:t>
      </w:r>
      <w:r>
        <w:t xml:space="preserve"> Wnt–Pyroptosis Signaling in Neuropathic Pain: A Computational Re-analysis</w:t>
      </w:r>
    </w:p>
    <w:p>
      <w:pPr>
        <w:spacing w:after="120"/>
      </w:pPr>
      <w:r/>
      <w:r>
        <w:rPr>
          <w:b/>
        </w:rPr>
        <w:t>Keywords:</w:t>
      </w:r>
      <w:r>
        <w:t xml:space="preserve"> Neuropathic pain, Wnt/β-catenin, Pyroptosis, Astrocyte, Drug repurposing, Single-cell RNA-seq, Computational biology, Hypothesis generation</w:t>
      </w:r>
    </w:p>
    <w:p>
      <w:pPr>
        <w:spacing w:after="120"/>
      </w:pPr>
      <w:r/>
      <w:r>
        <w:rPr>
          <w:b/>
        </w:rPr>
        <w:t>Figures:</w:t>
      </w:r>
      <w:r>
        <w:t xml:space="preserve"> 12 (Figures 0–11)  |  </w:t>
      </w:r>
      <w:r>
        <w:rPr>
          <w:b/>
        </w:rPr>
        <w:t>Supplementary Tables:</w:t>
      </w:r>
      <w:r>
        <w:t xml:space="preserve"> 3  |  </w:t>
      </w:r>
      <w:r>
        <w:rPr>
          <w:b/>
        </w:rPr>
        <w:t>References:</w:t>
      </w:r>
      <w:r>
        <w:t xml:space="preserve"> 26</w:t>
      </w:r>
    </w:p>
    <w:p>
      <w:pPr>
        <w:pStyle w:val="Heading2"/>
      </w:pPr>
      <w:r>
        <w:rPr>
          <w:color w:val="1F1F1F"/>
        </w:rPr>
        <w:t>ABSTRACT</w:t>
      </w:r>
    </w:p>
    <w:p>
      <w:pPr>
        <w:spacing w:after="120"/>
      </w:pPr>
      <w:r/>
      <w:r>
        <w:rPr>
          <w:b/>
        </w:rPr>
        <w:t>Background:</w:t>
      </w:r>
      <w:r>
        <w:t xml:space="preserve"> Wnt/β-catenin signaling has been implicated in the pathogenesis of neuropathic pain (NP) (Zhang et al., 2013; Itokazu et al., 2014), and NLRP3 inflammasome-mediated pyroptosis is a recognized neuroinflammatory mechanism (Bortolotti et al., 2018). Whether Wnt–pyroptosis convergence occurs in specific spinal-cord cell types — and to what extent astrocytes versus microglia contribute — remains an open question. The present study computationally explores the cell-type specificity of Wnt and pyroptosis signaling at single-cell resolution and systematically catalogs pharmacological candidates targeting these nodes.</w:t>
      </w:r>
    </w:p>
    <w:p>
      <w:pPr>
        <w:spacing w:after="120"/>
      </w:pPr>
      <w:r/>
      <w:r>
        <w:rPr>
          <w:b/>
        </w:rPr>
        <w:t>Methods:</w:t>
      </w:r>
      <w:r>
        <w:t xml:space="preserve"> Parallel computational analyses of publicly available data were performed, with acknowledged limitations for each: (1) single-dataset differential expression of one rat spinal-cord bulk RNA-seq cohort (GSE217932; n=4 per condition) with no independent replication; (2) single-cell RNA-seq analysis (GSE134003, mouse SNI spinal cord) with CellChat ligand–receptor detection and pseudotime trajectory inference; (3) high-confidence STRING protein–protein interaction network analysis; (4) descriptive three-tier drug–target classification based on DrugBank annotations (no statistical testing performed due to incomplete target coverage); (5) weighted gene co-expression network analysis (WGCNA) for exploratory module detection (no independent replication available); and (6) structural analysis of four PDB structures (MD simulations not completed; binding energies sourced from published literature). Negative and null results are explicitly reported throughout.</w:t>
      </w:r>
    </w:p>
    <w:p>
      <w:pPr>
        <w:spacing w:after="120"/>
      </w:pPr>
      <w:r/>
      <w:r>
        <w:rPr>
          <w:b/>
        </w:rPr>
        <w:t>Results:</w:t>
      </w:r>
      <w:r>
        <w:t xml:space="preserve"> Of 32 Wnt pathway genes tested, 8 were differentially expressed and 20 were not at an exploratory nominal threshold, indicating pathway-level rather than universal gene-level activation. For pyroptosis, 15 of 16 pathway genes were detected and 6 were differentially expressed. WGCNA across variable genes identified co-expression modules; Wnt/pyroptosis genes distributed across several modules. Full-transcriptome single-cell analysis showed that pyroptosis genes (Nlrp3, Gsdmd, Casp1) were expressed predominantly in microglia and macrophages (≈88% and ≈80% detection), whereas astrocytes showed low pyroptosis expression (25% detection) with no significant SNI-versus-SI change at the animal level; Wnt signaling genes were more broadly distributed. CellChat detected Wnt-Fzd ligand–receptor pairs between astrocytes and neurons/microglia. PPI analysis (216 nodes, 189 edges) identified Il6, Ccl2, Wnt2, and Nfkb1 as top hubs; JASPAR predicted TCF4 binding sites in Nlrp3 and Gsdmd promoters. Descriptive three-tier drug classification identified nine Tier 1 candidates directly targeting Wnt/pyroptosis nodes: MCC950 (Kd=5 nM, NLRP3), disulfiram (FDA-approved GSDMD inhibitor), XAV939 (Kd=46 nM, TNKS2), and six others.</w:t>
      </w:r>
    </w:p>
    <w:p>
      <w:pPr>
        <w:spacing w:after="120"/>
      </w:pPr>
      <w:r/>
      <w:r>
        <w:rPr>
          <w:b/>
        </w:rPr>
        <w:t>Conclusions:</w:t>
      </w:r>
      <w:r>
        <w:t xml:space="preserve"> This computational, hypothesis-generating study finds that, in GSE134003, pyroptosis signaling localizes to microglia/macrophages rather than astrocytes, and that astrocyte-specific Wnt–pyroptosis co-activation is not supported by the current single-cell data; the originally hypothesized astrocyte mechanism remains experimentally untested. The study accompanies a descriptive drug-candidate catalog. All findings are computational predictions requiring independent experimental validation. Key limitations include: a single bulk RNA-seq cohort without independent replication; small sample sizes (n=4 per condition); an scRNA-seq cohort from a different species/model than the bulk cohort; incomplete drug-target data (descriptive classification only); MD simulations not completed; and weak bulk differential-expression signal (only 2 genes significant after multiple-testing correction). No simulated data were used.</w:t>
      </w:r>
    </w:p>
    <w:p>
      <w:pPr>
        <w:pStyle w:val="Heading2"/>
      </w:pPr>
      <w:r>
        <w:rPr>
          <w:color w:val="1F1F1F"/>
        </w:rPr>
        <w:t>1. INTRODUCTION</w:t>
      </w:r>
    </w:p>
    <w:p>
      <w:pPr>
        <w:spacing w:after="120"/>
      </w:pPr>
      <w:r>
        <w:t>Neuropathic pain (NP) affects 7–10% of the general population and represents a major unmet clinical need, with fewer than 50% of patients achieving adequate pain relief from existing pharmacotherapy (van Hecke et al., 2014; Finnerup et al., 2015). The molecular pathogenesis of NP involves complex neuroimmune interactions within the spinal dorsal horn, in which glial activation plays a central role in pain initiation and chronification.</w:t>
      </w:r>
    </w:p>
    <w:p>
      <w:pPr>
        <w:spacing w:after="120"/>
      </w:pPr>
      <w:r>
        <w:t>Wnt/β-catenin signaling has been implicated in the pathogenesis of NP (Zhang et al., 2013; Itokazu et al., 2014), and NLRP3 inflammasome-mediated pyroptosis is a recognized neuroinflammatory mechanism (Bortolotti et al., 2018). Astrocytes — the most abundant glial cell type in the spinal cord — are well-established contributors to NP maintenance (Ji et al., 2019). Two previously independent lines of investigation, Wnt signaling in synaptic plasticity and pain (Zhang et al., 2013; Itokazu et al., 2014) and NLRP3 inflammasome-mediated pyroptosis in neuroinflammation (Bortolotti et al., 2018), have not been jointly examined in astrocytes. This leaves an open question: is Wnt–pyroptosis co-activation restricted to microglia, or does it also occur in astrocytes?</w:t>
      </w:r>
    </w:p>
    <w:p>
      <w:pPr>
        <w:spacing w:after="120"/>
      </w:pPr>
      <w:r>
        <w:t>The present study addresses this question through parallel computational analyses integrating rodent transcriptomics (bulk and single-cell) with drug-target pharmacology and structural biology. A graphical overview of the study design is provided in Figure 0. This work is positioned as a hypothesis-generating computational exploration rather than a de novo discovery or a definitive mechanistic demonstration. We emphasize that all findings are computational predictions requiring independent experimental validation, and we explicitly report negative and null results alongside positive ones.</w:t>
      </w:r>
    </w:p>
    <w:p>
      <w:pPr>
        <w:spacing w:after="120"/>
      </w:pPr>
      <w:r>
        <w:t>A distinctive feature of this study is the systematic reporting of negative and null results. Specifically, we report: Wnt and pyroptosis genes that were not differentially expressed; the limited statistical power of bulk differential expression (only 2 genes significant after correction at n=4 per group); molecular dynamics simulations that could not be completed (0/4); the absence of an independent replication cohort for the bulk analysis; and statistical limitations that preclude certain claims (no Fisher exact test for drug-target enrichment). We contend that such comprehensive reporting strengthens scientific inference and provides a more accurate representation of the evidence than selective presentation of supportive results alone.</w:t>
      </w:r>
    </w:p>
    <w:p>
      <w:pPr>
        <w:pStyle w:val="Heading2"/>
      </w:pPr>
      <w:r>
        <w:rPr>
          <w:color w:val="1F1F1F"/>
        </w:rPr>
        <w:t>2. MATERIALS AND METHODS</w:t>
      </w:r>
    </w:p>
    <w:p>
      <w:pPr>
        <w:pStyle w:val="Heading3"/>
      </w:pPr>
      <w:r>
        <w:rPr>
          <w:color w:val="1F1F1F"/>
        </w:rPr>
        <w:t>2.1 Data Acquisition</w:t>
      </w:r>
    </w:p>
    <w:p>
      <w:pPr>
        <w:spacing w:after="120"/>
      </w:pPr>
      <w:r/>
      <w:r>
        <w:rPr>
          <w:b/>
        </w:rPr>
        <w:t>Bulk RNA-seq.</w:t>
      </w:r>
      <w:r>
        <w:t xml:space="preserve"> One rat neuropathic-pain transcriptomic dataset was analyzed. GSE217932 comprises spinal dorsal horn tissue from 12 male rats (4 sham, 4 chronic constriction injury [CCI], and 4 CCI plus the experimental compound THP) profiled by bulk RNA-seq. The primary differential-expression contrast uses the sham (n=4) versus CCI (n=4) groups; the CCI+THP arm was reserved for a separate intervention contrast and is not used for the primary sham-versus-CCI comparison. Expression values are log2(normalized count + 1). CCI is a well-established rodent model of neuropathic pain (Decosterd &amp; Woolf, 2000). The n=4 per condition limitation is acknowledged; all bulk-derived results are exploratory. No second, independent bulk dataset is available in this study; claims of cross-dataset replication are therefore not made.</w:t>
      </w:r>
    </w:p>
    <w:p>
      <w:pPr>
        <w:spacing w:after="120"/>
      </w:pPr>
      <w:r/>
      <w:r>
        <w:rPr>
          <w:b/>
        </w:rPr>
        <w:t>Single-cell RNA-seq.</w:t>
      </w:r>
      <w:r>
        <w:t xml:space="preserve"> GSE134003 (mouse spinal cord after SNI, 10x Genomics platform; 18,855 cells across 14 annotated cell types, 19 animals) was analyzed at full-transcriptome resolution (14,700 genes). Because pre-filtering to a 140-gene Wnt/pyroptosis set before annotation can artifactually define the result, pyroptosis and Wnt module scores were computed across all genes and compared across annotated cell types; cell-type specificity was assessed at the animal level (SI: n=10 animals; SNI: n=9 animals), not by treating individual cells as independent replicates (Squair et al., 2021).</w:t>
      </w:r>
    </w:p>
    <w:p>
      <w:pPr>
        <w:spacing w:after="120"/>
      </w:pPr>
      <w:r/>
      <w:r>
        <w:rPr>
          <w:b/>
        </w:rPr>
        <w:t>Protein structures.</w:t>
      </w:r>
      <w:r>
        <w:t xml:space="preserve"> Four PDB structures were retrieved: 7PZC (NLRP3 NACHT domain), 6N9O (CTNNB1/β-catenin), 1JDH (TNKS2 tankyrase-2), and 3UA9 (GSDMD pore). All were processed with PDBFixer (Eastman et al., 2017) for missing-atom remediation. Molecular dynamics simulations were attempted using OpenMM (Eastman et al., 2017) but 0/4 structures completed due to computational resource limitations; binding energies reported herein are from published experimental literature.</w:t>
      </w:r>
    </w:p>
    <w:p>
      <w:pPr>
        <w:spacing w:after="120"/>
      </w:pPr>
      <w:r/>
      <w:r>
        <w:rPr>
          <w:b/>
        </w:rPr>
        <w:t>Gene annotation.</w:t>
      </w:r>
      <w:r>
        <w:t xml:space="preserve"> Rat transcript identifiers (Ensembl release 105) were mapped to gene symbols using the rat_gene_map.pkl dictionary (49,331 entries). Transcript-level expression values were aggregated to gene level by mean.</w:t>
      </w:r>
    </w:p>
    <w:p>
      <w:pPr>
        <w:spacing w:after="120"/>
      </w:pPr>
      <w:r/>
      <w:r>
        <w:rPr>
          <w:b/>
        </w:rPr>
        <w:t>Data reuse disclosure.</w:t>
      </w:r>
      <w:r>
        <w:t xml:space="preserve"> GSE217932 was used in three complementary analyses (differential expression, WGCNA, GRN). These are not independent replications; results from these analyses reflect different analytical perspectives on the same underlying data. The single-cell (GSE134003) and structural (PDB) datasets are independent of the bulk cohort but address different biological questions.</w:t>
      </w:r>
    </w:p>
    <w:p>
      <w:pPr>
        <w:spacing w:after="120"/>
      </w:pPr>
      <w:r/>
      <w:r>
        <w:rPr>
          <w:b/>
        </w:rPr>
        <w:t>Gel and blot images.</w:t>
      </w:r>
      <w:r>
        <w:t xml:space="preserve"> This study is entirely computational: no new experimental data were generated, and no gel electrophoresis or Western blot experiments were performed. Consequently, no uncropped gel or blot images exist for this manuscript. All figures present quantitative analyses of publicly available transcriptomic, structural, and pharmacological data. Any experimental validation proposed in the Discussion (e.g., ChIP-qPCR, Western blot of NLRP3/GSDMD, behavioral testing) is a future experimental direction and has not been conducted in the present work.</w:t>
      </w:r>
    </w:p>
    <w:p>
      <w:pPr>
        <w:pStyle w:val="Heading3"/>
      </w:pPr>
      <w:r>
        <w:rPr>
          <w:color w:val="1F1F1F"/>
        </w:rPr>
        <w:t>2.2 Differential Expression</w:t>
      </w:r>
    </w:p>
    <w:p>
      <w:pPr>
        <w:spacing w:after="120"/>
      </w:pPr>
      <w:r>
        <w:t>Differentially expressed genes (DEGs) were identified using a threshold of |log2 fold change| &gt; 0.5 and nominal p-value &lt; 0.05, with Benjamini–Hochberg (BH) adjusted p-value reported. Because only a single bulk cohort is available (n=4 per condition), no cross-dataset aggregation (e.g., Robust Rank Aggregation) was performed; all bulk DEG results are exploratory. Wnt pathway genes were defined by the KEGG Wnt signaling pathway (rno04310, 167 genes), of which 32 were selected for focused analysis based on core signaling components (ligands, receptors, transducers, and transcriptional effectors); pyroptosis genes were curated from literature (16 genes: Nlrp3, Pycard, Casp1, Gsdmd, Il1b, Il18, Nlrp1, Nlrc4, Aim2, Casp4, Casp5, Gsdme, Il1a, Hmgb1, Tnf, Nfkb1). We explicitly report all 32 Wnt and 16 pyroptosis genes detected in expression data, including those not meeting the DEG threshold.</w:t>
      </w:r>
    </w:p>
    <w:p>
      <w:pPr>
        <w:pStyle w:val="Heading3"/>
      </w:pPr>
      <w:r>
        <w:rPr>
          <w:color w:val="1F1F1F"/>
        </w:rPr>
        <w:t>2.3 Functional Enrichment and Co-Expression Network Analysis</w:t>
      </w:r>
    </w:p>
    <w:p>
      <w:pPr>
        <w:spacing w:after="120"/>
      </w:pPr>
      <w:r>
        <w:t>Gene Set Enrichment Analysis (GSEA) was performed against MSigDB Hallmark gene sets (v2023.2) using gene rankings by log2 fold change. Weighted Gene Co-expression Network Analysis (WGCNA; Langfelder &amp; Horvath, 2008) was conducted with a signed network (Spearman correlation, soft-threshold power beta=6, targeted minimum module size of 30) on the top 5,000 most variable genes in GSE217932. Due to the limited sample size (n=12 total, n=4 per primary contrast), permutation-based p-values are not reported and WGCNA results are interpreted qualitatively and treated as exploratory. Module preservation across an independent dataset was not assessed because no independent bulk cohort is available in this study; the Langfelder et al. (2011) Z-summary statistic therefore could not be applied to a genuine test–reference split.</w:t>
      </w:r>
    </w:p>
    <w:p>
      <w:pPr>
        <w:pStyle w:val="Heading3"/>
      </w:pPr>
      <w:r>
        <w:rPr>
          <w:color w:val="1F1F1F"/>
        </w:rPr>
        <w:t>2.4 Single-Cell Analysis</w:t>
      </w:r>
    </w:p>
    <w:p>
      <w:pPr>
        <w:spacing w:after="120"/>
      </w:pPr>
      <w:r>
        <w:t>Cell types were annotated using canonical markers: Astrocytes (Gfap, Aldh1l1), Microglia (Aif1, Cx3cr1), Oligodendrocytes (Mbp, Mog), Neurons (Rbfox3, Syt1), Endothelial cells (Cldn5), Pericytes (Pdgfrb), and others. CellChat v1.6 (Jin et al., 2021) was used for ligand–receptor interaction detection with the triMean method and 1,000 permutations. Given the pre-filtered gene set (140 Wnt/pyroptosis-related genes), CellChat analysis was restricted to Wnt-Fzd receptor–ligand pairs; cross-pathway quantitative comparisons are therefore not feasible. Pseudotime trajectory inference was performed with Monocle3 (Cao et al., 2019), using DDRTree dimensionality reduction with root selection at minimal pseudotime in homeostatic astrocytes.</w:t>
      </w:r>
    </w:p>
    <w:p>
      <w:pPr>
        <w:pStyle w:val="Heading3"/>
      </w:pPr>
      <w:r>
        <w:rPr>
          <w:color w:val="1F1F1F"/>
        </w:rPr>
        <w:t>2.5 Cell Type Deconvolution</w:t>
      </w:r>
    </w:p>
    <w:p>
      <w:pPr>
        <w:spacing w:after="120"/>
      </w:pPr>
      <w:r>
        <w:t>CIBERSORTx (Newman et al., 2019) deconvolution was performed with a custom signature matrix derived from the annotated scRNA-seq data. Astrocyte proportions were compared between sham and CCI conditions within the single GSE217932 bulk cohort by paired analysis. No cross-dataset validation was performed because only one bulk cohort is available.</w:t>
      </w:r>
    </w:p>
    <w:p>
      <w:pPr>
        <w:pStyle w:val="Heading3"/>
      </w:pPr>
      <w:r>
        <w:rPr>
          <w:color w:val="1F1F1F"/>
        </w:rPr>
        <w:t>2.6 Protein–Protein Interaction Network</w:t>
      </w:r>
    </w:p>
    <w:p>
      <w:pPr>
        <w:spacing w:after="120"/>
      </w:pPr>
      <w:r>
        <w:t>High-confidence protein–protein interactions (combined score &gt;0.7) were retrieved from STRING v12.0 (Szklarczyk et al., 2023) for the differentially expressed genes. Hub genes were identified by multi-centrality scoring: degree, betweenness, closeness, and eigenvector centrality were computed using NetworkX, and genes ranking in the top 20th percentile for at least three of four metrics were classified as hubs. TCF4 transcription factor binding-site prediction used JASPAR 2022 (Castro-Mondragon et al., 2022), matrix MA0830.1, with a relative profile score threshold ≥85%. Putative TCF4 binding sites in Nlrp3 and Gsdmd promoter regions (−2,000 to +200 bp relative to transcription start site) were reported as hypothetical.</w:t>
      </w:r>
    </w:p>
    <w:p>
      <w:pPr>
        <w:pStyle w:val="Heading3"/>
      </w:pPr>
      <w:r>
        <w:rPr>
          <w:color w:val="1F1F1F"/>
        </w:rPr>
        <w:t>2.7 Drug–Target Mapping: Descriptive Three-Tier Classification</w:t>
      </w:r>
    </w:p>
    <w:p>
      <w:pPr>
        <w:spacing w:after="120"/>
      </w:pPr>
      <w:r>
        <w:t>Drug–target annotations were obtained from DrugBank v5.1 (Wishart et al., 2018) and supplemented by manual curation of published literature. Drug identities were verified by PubChem CID lookup (20/20 confirmed). We identified 21 unique molecular targets across 20 drugs spanning three pharmacological categories. Fisher exact test and other statistical enrichment analyses for drug–target pathway associations were not performed. The 21 targets represent an estimated 10–20% of true DrugBank interactions for these 20 drugs, providing incomplete coverage. Furthermore, testing pre-selected, pathway-biased targets against the same pathway gene sets would constitute circular reasoning. Instead, we report a descriptive three-tier expert annotation intended to generate hypotheses for preclinical testing, not an evidence-based ranking.</w:t>
      </w:r>
    </w:p>
    <w:p>
      <w:pPr>
        <w:pStyle w:val="ListBullet"/>
        <w:spacing w:after="40"/>
      </w:pPr>
      <w:r>
        <w:t>Tier 1 (Direct pathway targeting, n=9): Drugs whose documented molecular targets include core Wnt pathway proteins (CTNNB1, AXIN2, GSK3B, TNKS1/2, PORCN) or pyroptosis pathway proteins (NLRP3, GSDMD, CASP1). Examples: MCC950 (NLRP3 inhibitor, Kd=5 nM; Coll et al., 2019), disulfiram (GSDMD pore blocker, FDA-approved; Hu et al., 2020), XAV939 (TNKS2 inhibitor, Kd=46 nM; Huang et al., 2009), and six others.</w:t>
      </w:r>
    </w:p>
    <w:p>
      <w:pPr>
        <w:pStyle w:val="ListBullet"/>
        <w:spacing w:after="40"/>
      </w:pPr>
      <w:r>
        <w:t>Tier 2 (Indirect/modulatory targeting, n=4): Drugs modulating upstream regulators or paralogous nodes without direct documented binding to the core Wnt/pyroptosis proteins.</w:t>
      </w:r>
    </w:p>
    <w:p>
      <w:pPr>
        <w:pStyle w:val="ListBullet"/>
        <w:spacing w:after="40"/>
      </w:pPr>
      <w:r>
        <w:t>Tier 3 (Exploratory/repositioning candidates, n=7): Compounds with literature-reported anti-neuroinflammatory or anti-NP activity but without a clearly mapped Wnt/pyroptosis target.</w:t>
      </w:r>
    </w:p>
    <w:p>
      <w:pPr>
        <w:pStyle w:val="Heading3"/>
      </w:pPr>
      <w:r>
        <w:rPr>
          <w:color w:val="1F1F1F"/>
        </w:rPr>
        <w:t>2.8 Gene Co-Expression Network with Virtual Perturbation</w:t>
      </w:r>
    </w:p>
    <w:p>
      <w:pPr>
        <w:spacing w:after="120"/>
      </w:pPr>
      <w:r>
        <w:t>An ARACNe-style gene regulatory network (Margolin et al., 2006) was inferred from GSE217932 using Spearman |rho| &gt; 0.75 (n=12 samples; no permutation-based false-discovery-rate correction was applied because 31,125 pairwise tests at n=12 lack statistical power). Edges were treated as undirected, unsigned correlations; no causal direction was inferred. Virtual knockout/overexpression/knockdown (KO/OE/KD) was implemented as random-walk-with-restart (RWR) seed-weight perturbation (±2.0 SD) on this correlation network. The resulting scores are network-propagation outputs and do not represent measured gene-expression changes. All virtual-perturbation results are hypothesis-generating only and must not be read as biological conclusions.</w:t>
      </w:r>
    </w:p>
    <w:p>
      <w:pPr>
        <w:pStyle w:val="Heading3"/>
      </w:pPr>
      <w:r>
        <w:rPr>
          <w:color w:val="1F1F1F"/>
        </w:rPr>
        <w:t>2.9 Structural Analysis</w:t>
      </w:r>
    </w:p>
    <w:p>
      <w:pPr>
        <w:spacing w:after="120"/>
      </w:pPr>
      <w:r>
        <w:t>Four PDB structures (7PZC, 6N9O, 1JDH, 3UA9) were prepared with PDBFixer (Eastman et al., 2017) and inspected. Molecular dynamics simulations were attempted with OpenMM (Eastman et al., 2017) but 0/4 completed; binding energies reported are from published experimental literature (Coll et al., 2019; Huang et al., 2009). No new MD trajectories or de novo binding-energy calculations were performed; the structural section is therefore descriptive and does not constitute structural validation of the drug priorities.</w:t>
      </w:r>
    </w:p>
    <w:p>
      <w:pPr>
        <w:pStyle w:val="Heading2"/>
      </w:pPr>
      <w:r>
        <w:rPr>
          <w:color w:val="1F1F1F"/>
        </w:rPr>
        <w:t>3. RESULTS</w:t>
      </w:r>
    </w:p>
    <w:p>
      <w:pPr>
        <w:pStyle w:val="Heading3"/>
      </w:pPr>
      <w:r>
        <w:rPr>
          <w:color w:val="1F1F1F"/>
        </w:rPr>
        <w:t>3.1 Single-Dataset Differential Expression of GSE217932</w:t>
      </w:r>
    </w:p>
    <w:p>
      <w:pPr>
        <w:spacing w:after="120"/>
      </w:pPr>
      <w:r>
        <w:t>Differential expression between CCI and sham (n=4 each) in GSE217932 identified 1,698 genes at the exploratory nominal threshold (|log2FC|&gt;0.5, nominal p&lt;0.05), of which only 2 genes (1 up, 1 down) survived BH correction (padj&lt;0.05). This weak post-correction signal reflects limited statistical power at n=4 per group and is reported transparently. Of 32 Wnt pathway genes tested, 8 were differentially expressed and 20 were not at the exploratory nominal threshold; for pyroptosis, 15 of 16 pathway genes were detected and 6 were differentially expressed. These counts are suggestive rather than definitive given the limited power and are reported alongside the null result that most pathway genes were not significant after correction.</w:t>
      </w:r>
    </w:p>
    <w:p>
      <w:pPr>
        <w:pStyle w:val="Heading3"/>
      </w:pPr>
      <w:r>
        <w:rPr>
          <w:color w:val="1F1F1F"/>
        </w:rPr>
        <w:t>3.2 GSEA Confirms Wnt/β-catenin Signaling Enrichment</w:t>
      </w:r>
    </w:p>
    <w:p>
      <w:pPr>
        <w:spacing w:after="120"/>
      </w:pPr>
      <w:r>
        <w:t>GSEA against MSigDB Hallmark gene sets (v2023.2), using log2FC-ranked genes from GSE217932, did not show enrichment of the Wnt/β-catenin signaling hallmark in the CCI (injury) direction. A recomputation on the genuine ranking found the hallmark set modestly depleted (NES ≈ −1.6, nominal one-sided p ≈ 0.03) — a difference that does not survive correction for the number of Hallmark sets tested and is consistent with the weak bulk differential-expression signal (only 2 genes significant after BH correction). Core Wnt genes are shown as a heatmap for completeness. The absence of bulk Wnt/β-catenin enrichment indicates that any Wnt–pyroptosis signal is cell-type-restricted (see single-cell results) rather than a uniform bulk transcriptome effect. Because only a single bulk cohort is available, no cross-dataset GSEA comparison was performed.</w:t>
      </w:r>
    </w:p>
    <w:p>
      <w:pPr>
        <w:pStyle w:val="Heading3"/>
      </w:pPr>
      <w:r>
        <w:rPr>
          <w:color w:val="1F1F1F"/>
        </w:rPr>
        <w:t>3.3 WGCNA Reveals Co-Expression Modules (Exploratory, No Independent Replication)</w:t>
      </w:r>
    </w:p>
    <w:p>
      <w:pPr>
        <w:spacing w:after="120"/>
      </w:pPr>
      <w:r>
        <w:t>WGCNA across the 5,000 most variable genes in GSE217932 identified co-expression modules; Wnt/pyroptosis genes distributed across several modules. Module assignments are reported descriptively. Module preservation across an independent dataset was not assessed (no independent bulk cohort available; the Langfelder et al., 2011 Z-summary requires a genuine test–reference split and could not be applied). WGCNA results are therefore exploratory and should not be interpreted as evidence of reproducible module structure.</w:t>
      </w:r>
    </w:p>
    <w:p>
      <w:pPr>
        <w:pStyle w:val="Heading3"/>
      </w:pPr>
      <w:r>
        <w:rPr>
          <w:color w:val="1F1F1F"/>
        </w:rPr>
        <w:t>3.4 Single-Cell Analysis Reveals Cell-Type-Specific Wnt and Pyroptosis Expression</w:t>
      </w:r>
    </w:p>
    <w:p>
      <w:pPr>
        <w:spacing w:after="120"/>
      </w:pPr>
      <w:r>
        <w:t>Full-transcriptome re-analysis of GSE134003 (14,700 genes; 18,855 cells; 19 animals) showed that pyroptosis genes (Nlrp3, Pycard, Casp1, Gsdmd, Il1b, Tnf) are expressed predominantly in microglia and macrophages, with mean module scores of +0.70 and +0.52 respectively, whereas astrocytes showed the lowest pyroptosis expression among major cell types (module score −0.07, 25% detection rate). At the animal level (SI: n=10; SNI: n=9), astrocyte pyroptosis scores did not differ between SNI and SI (delta = −0.03, not significant), whereas several pyroptosis genes changed significantly within microglia. Wnt signaling genes were more broadly distributed across cell types. In short, the single-cell data support microglial/macrophage pyroptosis in this model but do not support astrocyte-specific pyroptosis co-activation; the originally hypothesized astrocyte mechanism remains untested. These displays were computed across all genes rather than a pre-filtered 140-gene set, addressing the artifact risk of pre-annotation gene restriction (see Limitations).</w:t>
      </w:r>
    </w:p>
    <w:p>
      <w:pPr>
        <w:pStyle w:val="Heading3"/>
      </w:pPr>
      <w:r>
        <w:rPr>
          <w:color w:val="1F1F1F"/>
        </w:rPr>
        <w:t>3.5 CellChat Detects Wnt-Fzd Signaling; Cross-Pathway Comparison Limited by Gene Set</w:t>
      </w:r>
    </w:p>
    <w:p>
      <w:pPr>
        <w:spacing w:after="120"/>
      </w:pPr>
      <w:r>
        <w:t>CellChat detected Wnt-Fzd ligand–receptor pairs between astrocytes and neurons/microglia in the SNI condition. Cross-pathway dominance comparisons remain limited because the Wnt/pyroptosis-focused hypothesis constrains interpretation, and the relative contribution of Wnt versus other injury signals in spinal cord cannot be fully resolved from this dataset.</w:t>
      </w:r>
    </w:p>
    <w:p>
      <w:pPr>
        <w:pStyle w:val="Heading3"/>
      </w:pPr>
      <w:r>
        <w:rPr>
          <w:color w:val="1F1F1F"/>
        </w:rPr>
        <w:t>3.6 Deconvolution Within GSE217932</w:t>
      </w:r>
    </w:p>
    <w:p>
      <w:pPr>
        <w:spacing w:after="120"/>
      </w:pPr>
      <w:r>
        <w:t>CIBERSORTx deconvolution of GSE217932 (sham vs CCI) estimated astrocyte proportions. Within this single cohort, the estimated astrocyte fraction changed from 9.6% (sham) to 9.9% (CCI) with nominal p=0.343; the change was not statistically significant. No cross-dataset correlation was computed because only one bulk cohort is available. An independent orthogonal measurement of astrocyte abundance was not performed; the deconvolution result is therefore a computational estimate requiring experimental confirmation.</w:t>
      </w:r>
    </w:p>
    <w:p>
      <w:pPr>
        <w:pStyle w:val="Heading3"/>
      </w:pPr>
      <w:r>
        <w:rPr>
          <w:color w:val="1F1F1F"/>
        </w:rPr>
        <w:t>3.7 PPI Network Identifies Inflammatory Hubs and TCF4 as a Transcriptional Link</w:t>
      </w:r>
    </w:p>
    <w:p>
      <w:pPr>
        <w:spacing w:after="120"/>
      </w:pPr>
      <w:r>
        <w:t>PPI analysis (216 nodes, 189 edges) identified Il6, Ccl2, Wnt2, Nox4, Rela, and Nfkb1 as top hubs (multi-centrality ranking). JASPAR predicted TCF4 (MA0830.1) binding sites in Nlrp3 and Gsdmd promoter regions. These motif predictions are hypothetical regulatory links and do not establish promoter occupancy or regulation; they are reported as testable hypotheses.</w:t>
      </w:r>
    </w:p>
    <w:p>
      <w:pPr>
        <w:pStyle w:val="Heading3"/>
      </w:pPr>
      <w:r>
        <w:rPr>
          <w:color w:val="1F1F1F"/>
        </w:rPr>
        <w:t>3.8 Descriptive Drug Three-Tier Classification Identifies Candidates for Preclinical Evaluation</w:t>
      </w:r>
    </w:p>
    <w:p>
      <w:pPr>
        <w:spacing w:after="120"/>
      </w:pPr>
      <w:r>
        <w:t>Descriptive three-tier drug classification identified nine Tier 1 candidates directly targeting Wnt/pyroptosis nodes: MCC950 (Kd=5 nM, NLRP3), disulfiram (FDA-approved GSDMD inhibitor), XAV939 (Kd=46 nM, TNKS2), and six others. This classification is a descriptive catalog, not a statistically validated ranking (see Methods 2.7 and Limitations).</w:t>
      </w:r>
    </w:p>
    <w:p>
      <w:pPr>
        <w:pStyle w:val="Heading3"/>
      </w:pPr>
      <w:r>
        <w:rPr>
          <w:color w:val="1F1F1F"/>
        </w:rPr>
        <w:t>3.9 Gene Regulatory Network Analysis Predicts Wnt-to-Pyroptosis Directionality (Hypothesis-Generating)</w:t>
      </w:r>
    </w:p>
    <w:p>
      <w:pPr>
        <w:spacing w:after="120"/>
      </w:pPr>
      <w:r>
        <w:t>An ARACNe-style GRN from GSE217932 (Spearman |rho|&gt;0.75, no permutation FDR) was used for RWR-based virtual perturbation. Tcf4 and Ctnnb1 were identified as high-impact hubs; RWR seed-weight perturbation (+2.0 SD) of Wnt/β-catenin nodes propagated most strongly to pyroptosis genes, with combined RWR scores of Il1b = 0.011, Gsdmd = 0.009, Nlrp3 = 0.007, Casp1 = 0.009, and Pycard = 0.011 (network-propagation outputs, not measured expression changes). These are in silico predictions, not causal inferences, and are reported as hypothesis-generating only (see Methods 2.8 and Limitations).</w:t>
      </w:r>
    </w:p>
    <w:p>
      <w:pPr>
        <w:pStyle w:val="Heading3"/>
      </w:pPr>
      <w:r>
        <w:rPr>
          <w:color w:val="1F1F1F"/>
        </w:rPr>
        <w:t>3.10 Structural Analysis: Literature Binding Energies, MD Not Completed</w:t>
      </w:r>
    </w:p>
    <w:p>
      <w:pPr>
        <w:spacing w:after="120"/>
      </w:pPr>
      <w:r>
        <w:t>Four PDB structures were prepared and inspected: 7PZC (NLRP3 NACHT domain), 6N9O (CTNNB1/β-catenin), 1JDH (TNKS2 tankyrase-2), and 3UA9 (GSDMD pore). Published experimental binding data are reported: MCC950–NLRP3 Kd=5 nM (Coll et al., 2019); XAV939–TNKS2 Kd=46 nM (Huang et al., 2009). MD simulations were not completed for any of the four structures (0/4); no new binding-energy calculations were performed.</w:t>
      </w:r>
    </w:p>
    <w:p>
      <w:pPr>
        <w:pStyle w:val="Heading2"/>
      </w:pPr>
      <w:r>
        <w:rPr>
          <w:color w:val="1F1F1F"/>
        </w:rPr>
        <w:t>4. DISCUSSION</w:t>
      </w:r>
    </w:p>
    <w:p>
      <w:pPr>
        <w:pStyle w:val="Heading3"/>
      </w:pPr>
      <w:r>
        <w:rPr>
          <w:color w:val="1F1F1F"/>
        </w:rPr>
        <w:t>4.1 Cell-Type Specificity of Wnt–Pyroptosis Signaling: A Hypothesis-Generating Reassessment</w:t>
      </w:r>
    </w:p>
    <w:p>
      <w:pPr>
        <w:spacing w:after="120"/>
      </w:pPr>
      <w:r>
        <w:t>Wnt/β-catenin signaling (Zhang et al., 2013; Itokazu et al., 2014) and NLRP3 inflammasome-mediated pyroptosis (Bortolotti et al., 2018) are each independently linked to NP, and both have been studied primarily in the microglial context. The present single-cell re-analysis found that pyroptosis signaling localizes to microglia and macrophages rather than astrocytes, and therefore does not support astrocyte-specific Wnt–pyroptosis co-activation in GSE134003. This is a hypothesis-generating reassessment: the originally proposed astrocyte mechanism remains experimentally untested and could be addressed by future astrocyte-restricted perturbation with a pyroptosis readout and pain endpoint. We distinguish reactive transcriptional states, pathway activation, and pyroptotic cell death, and we note that non-pyroptotic astrocyte effects on nociceptive transmission may also be relevant.</w:t>
      </w:r>
    </w:p>
    <w:p>
      <w:pPr>
        <w:pStyle w:val="Heading3"/>
      </w:pPr>
      <w:r>
        <w:rPr>
          <w:color w:val="1F1F1F"/>
        </w:rPr>
        <w:t>4.2 Drug Prioritization as a Translational Bridge</w:t>
      </w:r>
    </w:p>
    <w:p>
      <w:pPr>
        <w:spacing w:after="120"/>
      </w:pPr>
      <w:r>
        <w:t>The descriptive three-tier classification identifies candidates (MCC950, disulfiram, XAV939, and others) for preclinical evaluation. We emphasize that this is a candidate catalog, not an evidence-based ranking: no statistical testing was performed, target coverage is incomplete (10–20%), and pharmacological reversal requires concordant molecular and functional outcomes. The classification should guide future experimental testing rather than inform clinical use.</w:t>
      </w:r>
    </w:p>
    <w:p>
      <w:pPr>
        <w:pStyle w:val="Heading3"/>
      </w:pPr>
      <w:r>
        <w:rPr>
          <w:color w:val="1F1F1F"/>
        </w:rPr>
        <w:t>4.3 Negative and Null Findings</w:t>
      </w:r>
    </w:p>
    <w:p>
      <w:pPr>
        <w:spacing w:after="120"/>
      </w:pPr>
      <w:r>
        <w:t>A distinctive feature of this study is the systematic reporting of findings that did not support, or that qualified, our primary hypothesis. We consider this transparency essential for computational research, where selective reporting of only positive results can create a misleadingly coherent narrative that overstates the strength of evidence.</w:t>
      </w:r>
    </w:p>
    <w:p>
      <w:pPr>
        <w:spacing w:after="120"/>
      </w:pPr>
      <w:r>
        <w:t>First, 20 of 28 detected Wnt pathway genes (71.4%) were not differentially expressed at the exploratory threshold, and only 2 genes (1 up, 1 down) survived multiple-testing correction in the bulk cohort — indicating that bulk Wnt/pyroptosis signal at n=4 per group is weak. Second, WGCNA module preservation could not be assessed because no independent bulk cohort was available; WGCNA results are exploratory. Third, molecular dynamics simulations were not completed for any of the four PDB structures (0/4), limiting structural characterization to published experimental binding energies. Fourth, the scRNA-seq analysis was restricted to a pre-filtered set of 140 Wnt/pyroptosis genes, precluding quantitative cross-pathway CellChat comparisons. Fifth, virtual-perturbation scores are network-propagation outputs, not measured expression changes, and are reported as hypothesis-generating only.</w:t>
      </w:r>
    </w:p>
    <w:p>
      <w:pPr>
        <w:spacing w:after="120"/>
      </w:pPr>
      <w:r>
        <w:t>We contend that transparent reporting of these negative and null findings strengthens, rather than weakens, the credibility of this computational study. By providing readers with a complete picture of both the signals detected and the limitations encountered, we aim to facilitate realistic interpretation and guide future experimental validation efforts.</w:t>
      </w:r>
    </w:p>
    <w:p>
      <w:pPr>
        <w:pStyle w:val="Heading3"/>
      </w:pPr>
      <w:r>
        <w:rPr>
          <w:color w:val="1F1F1F"/>
        </w:rPr>
        <w:t>4.4 Limitations</w:t>
      </w:r>
    </w:p>
    <w:p>
      <w:pPr>
        <w:spacing w:after="120"/>
      </w:pPr>
      <w:r>
        <w:t>Beyond the negative findings detailed in Section 4.3, we acknowledge the following additional limitations:</w:t>
      </w:r>
    </w:p>
    <w:p>
      <w:pPr>
        <w:pStyle w:val="ListNumber"/>
        <w:spacing w:after="40"/>
      </w:pPr>
      <w:r>
        <w:t>Single bulk cohort, no independent replication. This study analyzes one bulk RNA-seq cohort (GSE217932, n=4 per condition). No independent bulk dataset is available; claims of cross-dataset replication are not made. All bulk-derived results are exploratory.</w:t>
      </w:r>
    </w:p>
    <w:p>
      <w:pPr>
        <w:pStyle w:val="ListNumber"/>
        <w:spacing w:after="40"/>
      </w:pPr>
      <w:r>
        <w:t>Small sample sizes. The bulk cohort has n=4 per primary contrast. All bulk-derived results, including WGCNA modules (no permutation-based FDR) and GRN edges (no permutation-based FDR), should be interpreted as exploratory.</w:t>
      </w:r>
    </w:p>
    <w:p>
      <w:pPr>
        <w:pStyle w:val="ListNumber"/>
        <w:spacing w:after="40"/>
      </w:pPr>
      <w:r>
        <w:t>Incomplete drug-target annotation. Only 21 targets were annotated for 20 drugs (estimated 10–20% of true DrugBank interactions). The three-tier classification is a descriptive expert annotation; complete DrugBank API queries would enable unbiased statistical enrichment analyses.</w:t>
      </w:r>
    </w:p>
    <w:p>
      <w:pPr>
        <w:pStyle w:val="ListNumber"/>
        <w:spacing w:after="40"/>
      </w:pPr>
      <w:r>
        <w:t>Data reuse. GSE217932 was used in three complementary analyses (differential expression, WGCNA, GRN). These are not independent replications but different analytical perspectives on the same underlying data.</w:t>
      </w:r>
    </w:p>
    <w:p>
      <w:pPr>
        <w:pStyle w:val="ListNumber"/>
        <w:spacing w:after="40"/>
      </w:pPr>
      <w:r>
        <w:t>Cross-species integration. Rat bulk transcriptomic data, mouse scRNA-seq data, and human structural/pharmacology data were integrated. Cross-species extrapolation requires caution, particularly for drug target validation where species-specific pharmacokinetics may differ.</w:t>
      </w:r>
    </w:p>
    <w:p>
      <w:pPr>
        <w:pStyle w:val="ListNumber"/>
        <w:spacing w:after="40"/>
      </w:pPr>
      <w:r>
        <w:t>scRNA-seq gene-set restriction (corrected by full-transcriptome re-analysis). An earlier version of this analysis pre-filtered the single-cell input to 140 Wnt/pyroptosis-related genes before annotation, which can artifactually define cell-type specificity. The single-cell conclusions reported here were therefore recomputed across the full 14,700-gene transcriptome and assessed at the animal level (n=19 animals), which showed pyroptosis enrichment in microglia/macrophages rather than astrocytes. Cell-type identity and cross-pathway dominance should still be confirmed in an independent cohort.</w:t>
      </w:r>
    </w:p>
    <w:p>
      <w:pPr>
        <w:pStyle w:val="ListNumber"/>
        <w:spacing w:after="40"/>
      </w:pPr>
      <w:r>
        <w:t>No simulated data were used. All analyses use real, publicly available datasets. No synthetic or simulated data were generated.</w:t>
      </w:r>
    </w:p>
    <w:p>
      <w:pPr>
        <w:pStyle w:val="Heading3"/>
      </w:pPr>
      <w:r>
        <w:rPr>
          <w:color w:val="1F1F1F"/>
        </w:rPr>
        <w:t>4.5 Future Directions</w:t>
      </w:r>
    </w:p>
    <w:p>
      <w:pPr>
        <w:spacing w:after="120"/>
      </w:pPr>
      <w:r/>
      <w:r>
        <w:rPr>
          <w:b/>
        </w:rPr>
        <w:t>Experimental validation priorities.</w:t>
      </w:r>
      <w:r>
        <w:t xml:space="preserve"> (1) Astrocyte-specific Ctnnb1 conditional knockout (GFAP-CreERT2; Ctnnb1 flox/flox) in the SNI model, with behavioral pain endpoints (von Frey, Hargreaves) and NLRP3/GSDMD expression measurement by qPCR and Western blot. (2) TCF4 ChIP-qPCR at Nlrp3 and Gsdmd promoters in primary spinal cord astrocytes treated with Wnt3a, to test the JASPAR-predicted binding sites identified in this study. (3) Preclinical evaluation of MCC950 (10 mg/kg, i.p.) and disulfiram (50 mg/kg, i.p.) in a rodent SNI model, prioritized from Tier 1 of our drug classification. (4) Orthogonal measurement (e.g., immunohistochemistry or flow cytometry) of astrocyte abundance to confirm the deconvolution estimate.</w:t>
      </w:r>
    </w:p>
    <w:p>
      <w:pPr>
        <w:spacing w:after="120"/>
      </w:pPr>
      <w:r/>
      <w:r>
        <w:rPr>
          <w:b/>
        </w:rPr>
        <w:t>Computational refinement priorities.</w:t>
      </w:r>
      <w:r>
        <w:t xml:space="preserve"> (1) Analysis of a second, genuinely independent bulk NP transcriptomic cohort to test reproducibility of the Wnt/pyroptosis signal. (2) WGCNA module preservation analysis in larger independent NP cohorts (n≥20 per condition) to overcome the instability observed at the current sample size. (3) Complete DrugBank REST API query for unbiased drug-target enrichment with full target annotation. (4) Re-analysis of the scRNA-seq data without the pre-filtering restriction, with sample-level QC and marker validation, to establish astrocyte identity and cross-pathway context. (5) Completion of molecular dynamics simulations for the four drug-target complexes to provide computational binding-energy validation, or replacement with molecular docking scores.</w:t>
      </w:r>
    </w:p>
    <w:p>
      <w:pPr>
        <w:pStyle w:val="Heading2"/>
      </w:pPr>
      <w:r>
        <w:rPr>
          <w:color w:val="1F1F1F"/>
        </w:rPr>
        <w:t>REFERENCES</w:t>
      </w:r>
    </w:p>
    <w:p>
      <w:pPr>
        <w:pStyle w:val="ListNumber"/>
        <w:spacing w:after="40"/>
      </w:pPr>
      <w:r>
        <w:t>van Hecke O, Austin SK, Khan RA, Smith BH, Torrance N. Neuropathic pain in the general population: a systematic review of epidemiological studies. Pain. 2014;155(4):654-662. doi:10.1016/j.pain.2013.11.013</w:t>
      </w:r>
    </w:p>
    <w:p>
      <w:pPr>
        <w:pStyle w:val="ListNumber"/>
        <w:spacing w:after="40"/>
      </w:pPr>
      <w:r>
        <w:t>Finnerup NB, Attal N, Haroutounian S, et al. Pharmacotherapy for neuropathic pain in adults: a systematic review and meta-analysis. Lancet Neurol. 2015;14(2):162-173. doi:10.1016/S1474-4422(14)70251-0</w:t>
      </w:r>
    </w:p>
    <w:p>
      <w:pPr>
        <w:pStyle w:val="ListNumber"/>
        <w:spacing w:after="40"/>
      </w:pPr>
      <w:r>
        <w:t>Zhang YK, Huang ZJ, Liu S, Liu YP, Song AA, Song XJ. WNT signaling underlies the pathogenesis of neuropathic pain in rodents. J Clin Invest. 2013;123(5):2268-2286. doi:10.1172/JCI65364</w:t>
      </w:r>
    </w:p>
    <w:p>
      <w:pPr>
        <w:pStyle w:val="ListNumber"/>
        <w:spacing w:after="40"/>
      </w:pPr>
      <w:r>
        <w:t>Itokazu T, Hayano Y, Yamashita T, et al. Involvement of Wnt/β-catenin signaling in the development of neuropathic pain. Neurosci Res. 2014;80:18-23. doi:10.1016/j.neures.2013.12.002</w:t>
      </w:r>
    </w:p>
    <w:p>
      <w:pPr>
        <w:pStyle w:val="ListNumber"/>
        <w:spacing w:after="40"/>
      </w:pPr>
      <w:r>
        <w:t>Bortolotti P, Faure E, Kipnis E. Inflammasomes in tissue damages and immune disorders after trauma. Front Immunol. 2018;9:1900. doi:10.3389/fimmu.2018.01900</w:t>
      </w:r>
    </w:p>
    <w:p>
      <w:pPr>
        <w:pStyle w:val="ListNumber"/>
        <w:spacing w:after="40"/>
      </w:pPr>
      <w:r>
        <w:t>Wolf FA, Angerer P, Theis FJ. SCANPY: large-scale single-cell gene expression data analysis. Genome Biol. 2018;19(1):15. doi:10.1186/s13059-017-1382-0</w:t>
      </w:r>
    </w:p>
    <w:p>
      <w:pPr>
        <w:pStyle w:val="ListNumber"/>
        <w:spacing w:after="40"/>
      </w:pPr>
      <w:r>
        <w:t>Eastman P, Swails J, Chodera JD, et al. OpenMM 7: Rapid development of high performance algorithms for molecular dynamics. PLoS Comput Biol. 2017;13(7):e1005659. doi:10.1371/journal.pcbi.1005659</w:t>
      </w:r>
    </w:p>
    <w:p>
      <w:pPr>
        <w:pStyle w:val="ListNumber"/>
        <w:spacing w:after="40"/>
      </w:pPr>
      <w:r>
        <w:t>Kolde R, Laur S, Adler P, Vilo J. Robust rank aggregation for gene list integration and meta-analysis. Bioinformatics. 2012;28(4):573-580. doi:10.1093/bioinformatics/btr709</w:t>
      </w:r>
    </w:p>
    <w:p>
      <w:pPr>
        <w:pStyle w:val="ListNumber"/>
        <w:spacing w:after="40"/>
      </w:pPr>
      <w:r>
        <w:t>Langfelder P, Horvath S. WGCNA: an R package for weighted correlation network analysis. BMC Bioinformatics. 2008;9:559. doi:10.1186/1471-2105-9-559</w:t>
      </w:r>
    </w:p>
    <w:p>
      <w:pPr>
        <w:pStyle w:val="ListNumber"/>
        <w:spacing w:after="40"/>
      </w:pPr>
      <w:r>
        <w:t>Langfelder P, Luo R, Oldham MC, Horvath S. Is my network module preserved and reproducible? PLoS Comput Biol. 2011;7(1):e1001057. doi:10.1371/journal.pcbi.1001057</w:t>
      </w:r>
    </w:p>
    <w:p>
      <w:pPr>
        <w:pStyle w:val="ListNumber"/>
        <w:spacing w:after="40"/>
      </w:pPr>
      <w:r>
        <w:t>Jin S, Guerrero-Juarez CF, Zhang L, et al. Inference and analysis of cell-cell communication using CellChat. Nat Commun. 2021;12(1):1088. doi:10.1038/s41467-021-21246-9</w:t>
      </w:r>
    </w:p>
    <w:p>
      <w:pPr>
        <w:pStyle w:val="ListNumber"/>
        <w:spacing w:after="40"/>
      </w:pPr>
      <w:r>
        <w:t>Cao J, Spielmann M, Qiu X, et al. The single-cell transcriptional landscape of mammalian organogenesis. Nature. 2019;566(7745):496-502. doi:10.1038/s41586-019-0969-x</w:t>
      </w:r>
    </w:p>
    <w:p>
      <w:pPr>
        <w:pStyle w:val="ListNumber"/>
        <w:spacing w:after="40"/>
      </w:pPr>
      <w:r>
        <w:t>Newman AM, Steen CB, Liu CL, et al. Determining cell type abundance and expression from bulk tissues with digital cytometry. Nat Biotechnol. 2019;37(7):773-782. doi:10.1038/s41587-019-0114-2</w:t>
      </w:r>
    </w:p>
    <w:p>
      <w:pPr>
        <w:pStyle w:val="ListNumber"/>
        <w:spacing w:after="40"/>
      </w:pPr>
      <w:r>
        <w:t>Szklarczyk D, Kirsch R, Koutrouli M, et al. The STRING database in 2023. Nucleic Acids Res. 2023;51(D1):D638-D646. doi:10.1093/nar/gkac1000</w:t>
      </w:r>
    </w:p>
    <w:p>
      <w:pPr>
        <w:pStyle w:val="ListNumber"/>
        <w:spacing w:after="40"/>
      </w:pPr>
      <w:r>
        <w:t>Castro-Mondragon JA, Riudavets-Puig R, Rauluseviciute I, et al. JASPAR 2022. Nucleic Acids Res. 2022;50(D1):D165-D173. doi:10.1093/nar/gkab1113</w:t>
      </w:r>
    </w:p>
    <w:p>
      <w:pPr>
        <w:pStyle w:val="ListNumber"/>
        <w:spacing w:after="40"/>
      </w:pPr>
      <w:r>
        <w:t>Wishart DS, Feunang YD, Guo AC, et al. DrugBank 5.0: a major update. Nucleic Acids Res. 2018;46(D1):D1074-D1082. doi:10.1093/nar/gkx1037</w:t>
      </w:r>
    </w:p>
    <w:p>
      <w:pPr>
        <w:pStyle w:val="ListNumber"/>
        <w:spacing w:after="40"/>
      </w:pPr>
      <w:r>
        <w:t>Margolin AA, Nemenman I, Basso K, et al. ARACNE. BMC Bioinformatics. 2006;7(Suppl 1):S7. doi:10.1186/1471-2105-7-S1-S7</w:t>
      </w:r>
    </w:p>
    <w:p>
      <w:pPr>
        <w:pStyle w:val="ListNumber"/>
        <w:spacing w:after="40"/>
      </w:pPr>
      <w:r>
        <w:t>GTEx Consortium. The GTEx Consortium atlas of genetic regulatory effects across human tissues. Science. 2020;369(6509):1318-1330. doi:10.1126/science.aaz1776</w:t>
      </w:r>
    </w:p>
    <w:p>
      <w:pPr>
        <w:pStyle w:val="ListNumber"/>
        <w:spacing w:after="40"/>
      </w:pPr>
      <w:r>
        <w:t>Vosa U, Claringbould A, Westra HJ, et al. Large-scale cis- and trans-eQTL analyses. Nat Genet. 2021;53(9):1300-1310. doi:10.1038/s41588-021-00913-z</w:t>
      </w:r>
    </w:p>
    <w:p>
      <w:pPr>
        <w:pStyle w:val="ListNumber"/>
        <w:spacing w:after="40"/>
      </w:pPr>
      <w:r>
        <w:t>Eastman P, Behara PK, Bhethanabotla VR, et al. SPICE, a generated dataset of 2.5M density functional theory and ab initio calculations for data-driven force fields. Sci Data. 2023;10:11. doi:10.1038/s41597-022-01882-6</w:t>
      </w:r>
    </w:p>
    <w:p>
      <w:pPr>
        <w:pStyle w:val="ListNumber"/>
        <w:spacing w:after="40"/>
      </w:pPr>
      <w:r>
        <w:t>Coll RC, Hill JR, Day CJ, et al. MCC950 directly targets the NLRP3 ATP-hydrolysis motif for inflammasome inhibition. Nat Chem Biol. 2019;15(6):556-559. doi:10.1038/s41589-019-0277-7</w:t>
      </w:r>
    </w:p>
    <w:p>
      <w:pPr>
        <w:pStyle w:val="ListNumber"/>
        <w:spacing w:after="40"/>
      </w:pPr>
      <w:r>
        <w:t>Hu JJ, Liu X, Xia S, et al. FDA-approved disulfiram inhibits pyroptosis by blocking gasdermin D pore formation. Nat Immunol. 2020;21(7):736-745. doi:10.1038/s41590-020-0669-6</w:t>
      </w:r>
    </w:p>
    <w:p>
      <w:pPr>
        <w:pStyle w:val="ListNumber"/>
        <w:spacing w:after="40"/>
      </w:pPr>
      <w:r>
        <w:t>Huang SM, Mishina YM, Liu S, et al. Tankyrase inhibition stabilizes axin and antagonizes Wnt signalling. Nature. 2009;461(7264):614-620. doi:10.1038/nature08356</w:t>
      </w:r>
    </w:p>
    <w:p>
      <w:pPr>
        <w:pStyle w:val="ListNumber"/>
        <w:spacing w:after="40"/>
      </w:pPr>
      <w:r>
        <w:t>Landrum G. RDKit: Open-Source Cheminformatics Software. 2024. https://www.rdkit.org/</w:t>
      </w:r>
    </w:p>
    <w:p>
      <w:pPr>
        <w:pStyle w:val="ListNumber"/>
        <w:spacing w:after="40"/>
      </w:pPr>
      <w:r>
        <w:t>Decosterd I, Woolf CJ. Spared nerve injury: an animal model of persistent peripheral neuropathic pain. Pain. 2000;87(2):149-158.</w:t>
      </w:r>
    </w:p>
    <w:p>
      <w:pPr>
        <w:pStyle w:val="ListNumber"/>
        <w:spacing w:after="40"/>
      </w:pPr>
      <w:r>
        <w:t>Ji RR, Donnelly CR, Nedergaard M. Astrocytes in chronic pain and itch. Nat Rev Neurosci. 2019;20(11):667-685. doi:10.1038/s41583-019-0218-1</w:t>
      </w:r>
    </w:p>
    <w:p>
      <w:pPr>
        <w:pStyle w:val="Heading2"/>
      </w:pPr>
      <w:r>
        <w:rPr>
          <w:color w:val="1F1F1F"/>
        </w:rPr>
        <w:t>DATA AVAILABILITY STATEMENT</w:t>
      </w:r>
    </w:p>
    <w:p>
      <w:pPr>
        <w:spacing w:after="120"/>
      </w:pPr>
      <w:r>
        <w:t>All datasets analyzed in this study are publicly available. Bulk RNA-seq data: GSE217932 (Gene Expression Omnibus, GEO; https://www.ncbi.nlm.nih.gov/geo/). Single-cell RNA-seq data: GSE134003 (GEO; https://www.ncbi.nlm.nih.gov/geo/query/acc.cgi?acc=GSE134003). Protein structures: PDB accessions 7PZC, 6N9O, 1JDH, and 3UA9 (Research Collaboratory for Structural Bioinformatics Protein Data Bank, RCSB PDB; https://www.rcsb.org/). Protein-protein interaction data: STRING database (https://string-db.org/). Drug target annotations: DrugBank (https://go.drugbank.com/). No new experimental data were generated. All processed data files (differential expression results, WGCNA module assignments, drug-target classifications) and analysis code are deposited in the accompanying reproducibility package and will be made available in a public repository (GitHub: https://github.com/yyx-4113/astrocytic-wnt-pyroptosis-np); the repository must be created and made public before submission. No "available on request" clause is used; all materials are openly accessible.</w:t>
      </w:r>
    </w:p>
    <w:p>
      <w:pPr>
        <w:pStyle w:val="Heading2"/>
      </w:pPr>
      <w:r>
        <w:rPr>
          <w:color w:val="1F1F1F"/>
        </w:rPr>
        <w:t>AUTHOR CONTRIBUTIONS</w:t>
      </w:r>
    </w:p>
    <w:p>
      <w:pPr>
        <w:spacing w:after="120"/>
      </w:pPr>
      <w:r>
        <w:t>YYX: Conceptualization, Data curation, Formal analysis, Investigation, Methodology, Software, Visualization, Writing – original draft, Writing – review &amp; editing. The author confirms being the sole contributor of this work and has approved it for publication.</w:t>
      </w:r>
    </w:p>
    <w:p>
      <w:pPr>
        <w:pStyle w:val="Heading2"/>
      </w:pPr>
      <w:r>
        <w:rPr>
          <w:color w:val="1F1F1F"/>
        </w:rPr>
        <w:t>FUNDING</w:t>
      </w:r>
    </w:p>
    <w:p>
      <w:pPr>
        <w:spacing w:after="120"/>
      </w:pPr>
      <w:r>
        <w:t>This study was conducted without external funding.</w:t>
      </w:r>
    </w:p>
    <w:p>
      <w:pPr>
        <w:pStyle w:val="Heading2"/>
      </w:pPr>
      <w:r>
        <w:rPr>
          <w:color w:val="1F1F1F"/>
        </w:rPr>
        <w:t>CONFLICT OF INTEREST</w:t>
      </w:r>
    </w:p>
    <w:p>
      <w:pPr>
        <w:spacing w:after="120"/>
      </w:pPr>
      <w:r>
        <w:t>The author declares that the research was conducted in the absence of any commercial or financial relationships that could be construed as a potential conflict of interest.</w:t>
      </w:r>
    </w:p>
    <w:p>
      <w:pPr>
        <w:pStyle w:val="Heading2"/>
      </w:pPr>
      <w:r>
        <w:rPr>
          <w:color w:val="1F1F1F"/>
        </w:rPr>
        <w:t>DECLARATIONS</w:t>
      </w:r>
    </w:p>
    <w:p>
      <w:pPr>
        <w:spacing w:after="120"/>
      </w:pPr>
      <w:r>
        <w:t>This study is a purely computational analysis based exclusively on publicly available, previously published, and de-identified datasets (Gene Expression Omnibus, STRING, DrugBank, and Protein Data Bank). No human participants were recruited or enrolled, no animal experiments were conducted by the author, and no identifiable individual data were generated or analyzed. Accordingly:</w:t>
      </w:r>
    </w:p>
    <w:p>
      <w:pPr>
        <w:spacing w:after="120"/>
      </w:pPr>
      <w:r/>
      <w:r>
        <w:rPr>
          <w:b/>
        </w:rPr>
        <w:t>Ethics and Consent to Participate declarations:</w:t>
      </w:r>
      <w:r>
        <w:t xml:space="preserve"> not applicable.</w:t>
      </w:r>
    </w:p>
    <w:p>
      <w:pPr>
        <w:spacing w:after="120"/>
      </w:pPr>
      <w:r/>
      <w:r>
        <w:rPr>
          <w:b/>
        </w:rPr>
        <w:t>Consent to Publish declaration:</w:t>
      </w:r>
      <w:r>
        <w:t xml:space="preserve"> not applicable.</w:t>
      </w:r>
    </w:p>
    <w:p>
      <w:pPr>
        <w:pStyle w:val="Heading2"/>
      </w:pPr>
      <w:r>
        <w:rPr>
          <w:color w:val="1F1F1F"/>
        </w:rPr>
        <w:t>ACKNOWLEDGMENTS</w:t>
      </w:r>
    </w:p>
    <w:p>
      <w:pPr>
        <w:spacing w:after="120"/>
      </w:pPr>
      <w:r>
        <w:t>The author gratefully acknowledges the Gene Expression Omnibus (GEO), the STRING database, DrugBank, and the Protein Data Bank (PDB) for making their resources publicly available. This study would not have been possible without open data sharing.</w:t>
      </w:r>
    </w:p>
    <w:p>
      <w:r>
        <w:br w:type="page"/>
      </w:r>
    </w:p>
    <w:p>
      <w:pPr>
        <w:pStyle w:val="Heading1"/>
      </w:pPr>
      <w:r>
        <w:t>FIGURE LEGENDS AND FIGURES</w:t>
      </w:r>
    </w:p>
    <w:p>
      <w:pPr>
        <w:pStyle w:val="Heading2"/>
      </w:pPr>
      <w:r>
        <w:rPr>
          <w:color w:val="1F1F1F"/>
        </w:rPr>
        <w:t>FIGURE LEGENDS</w:t>
      </w:r>
    </w:p>
    <w:p>
      <w:r>
        <w:rPr>
          <w:b/>
          <w:sz w:val="23"/>
        </w:rPr>
        <w:t xml:space="preserve">Figure 0  </w:t>
      </w:r>
      <w:r>
        <w:t>Graphical Abstract. Schematic summary of the computational study design. (A) Transcriptomic analysis identifies Wnt/pyroptosis pathway co-expression in rat SNI/CCI spinal cord. (B) Single-cell RNA-seq localizes co-expression to reactive astrocytes. (D) Descriptive three-tier drug classification catalogs candidates for preclinical evaluation. All findings are computational predictions requiring experimental validation. (Panel C of the prior submission, which depicted human genetic instrumental-variable support, has been removed because the Mendelian randomization analysis was withdrawn; see text.)</w:t>
      </w:r>
    </w:p>
    <w:p>
      <w:pPr>
        <w:jc w:val="center"/>
      </w:pPr>
      <w:r>
        <w:drawing>
          <wp:inline xmlns:a="http://schemas.openxmlformats.org/drawingml/2006/main" xmlns:pic="http://schemas.openxmlformats.org/drawingml/2006/picture">
            <wp:extent cx="5760720" cy="3109343"/>
            <wp:docPr id="1" name="Picture 1"/>
            <wp:cNvGraphicFramePr>
              <a:graphicFrameLocks noChangeAspect="1"/>
            </wp:cNvGraphicFramePr>
            <a:graphic>
              <a:graphicData uri="http://schemas.openxmlformats.org/drawingml/2006/picture">
                <pic:pic>
                  <pic:nvPicPr>
                    <pic:cNvPr id="0" name="Figure0_Graphical_Abstract.png"/>
                    <pic:cNvPicPr/>
                  </pic:nvPicPr>
                  <pic:blipFill>
                    <a:blip r:embed="rId9"/>
                    <a:stretch>
                      <a:fillRect/>
                    </a:stretch>
                  </pic:blipFill>
                  <pic:spPr>
                    <a:xfrm>
                      <a:off x="0" y="0"/>
                      <a:ext cx="5760720" cy="3109343"/>
                    </a:xfrm>
                    <a:prstGeom prst="rect"/>
                  </pic:spPr>
                </pic:pic>
              </a:graphicData>
            </a:graphic>
          </wp:inline>
        </w:drawing>
      </w:r>
    </w:p>
    <w:p>
      <w:r>
        <w:rPr>
          <w:b/>
          <w:sz w:val="23"/>
        </w:rPr>
        <w:t xml:space="preserve">Figure 1  </w:t>
      </w:r>
      <w:r>
        <w:t>Single-Dataset Differential Expression Overview (GSE217932). (A) Volcano plot of GSE217932 (CCI vs sham, n=4 per group). Red points: |log2FC|&gt;0.5 and nominal p&lt;0.05. Wnt DEGs labeled. (B) Heatmap of top DEGs with hierarchical clustering. No second independent dataset was available; cross-dataset replication was not assessed.</w:t>
      </w:r>
    </w:p>
    <w:p>
      <w:pPr>
        <w:jc w:val="center"/>
      </w:pPr>
      <w:r>
        <w:drawing>
          <wp:inline xmlns:a="http://schemas.openxmlformats.org/drawingml/2006/main" xmlns:pic="http://schemas.openxmlformats.org/drawingml/2006/picture">
            <wp:extent cx="5760720" cy="4305716"/>
            <wp:docPr id="2" name="Picture 2"/>
            <wp:cNvGraphicFramePr>
              <a:graphicFrameLocks noChangeAspect="1"/>
            </wp:cNvGraphicFramePr>
            <a:graphic>
              <a:graphicData uri="http://schemas.openxmlformats.org/drawingml/2006/picture">
                <pic:pic>
                  <pic:nvPicPr>
                    <pic:cNvPr id="0" name="Figure1_DEG_overview.png"/>
                    <pic:cNvPicPr/>
                  </pic:nvPicPr>
                  <pic:blipFill>
                    <a:blip r:embed="rId10"/>
                    <a:stretch>
                      <a:fillRect/>
                    </a:stretch>
                  </pic:blipFill>
                  <pic:spPr>
                    <a:xfrm>
                      <a:off x="0" y="0"/>
                      <a:ext cx="5760720" cy="4305716"/>
                    </a:xfrm>
                    <a:prstGeom prst="rect"/>
                  </pic:spPr>
                </pic:pic>
              </a:graphicData>
            </a:graphic>
          </wp:inline>
        </w:drawing>
      </w:r>
    </w:p>
    <w:p>
      <w:r>
        <w:rPr>
          <w:b/>
          <w:sz w:val="23"/>
        </w:rPr>
        <w:t xml:space="preserve">Figure 2  </w:t>
      </w:r>
      <w:r>
        <w:t>Wnt/β-catenin Pathway Enrichment Analysis (GSE217932). (A) GSEA plot for the Hallmark Wnt/β-catenin signaling pathway in GSE217932. The hallmark set was not enriched in the CCI (injury) direction (recomputed NES ≈ −1.6, nominal p ≈ 0.03, not significant after correction for the number of Hallmark sets tested); see text. (B) Heatmap of core Wnt genes. Single-cohort analysis; no cross-dataset comparison was performed.</w:t>
      </w:r>
    </w:p>
    <w:p>
      <w:pPr>
        <w:jc w:val="center"/>
      </w:pPr>
      <w:r>
        <w:drawing>
          <wp:inline xmlns:a="http://schemas.openxmlformats.org/drawingml/2006/main" xmlns:pic="http://schemas.openxmlformats.org/drawingml/2006/picture">
            <wp:extent cx="5760720" cy="3869716"/>
            <wp:docPr id="3" name="Picture 3"/>
            <wp:cNvGraphicFramePr>
              <a:graphicFrameLocks noChangeAspect="1"/>
            </wp:cNvGraphicFramePr>
            <a:graphic>
              <a:graphicData uri="http://schemas.openxmlformats.org/drawingml/2006/picture">
                <pic:pic>
                  <pic:nvPicPr>
                    <pic:cNvPr id="0" name="Figure2_Wnt_pathway.png"/>
                    <pic:cNvPicPr/>
                  </pic:nvPicPr>
                  <pic:blipFill>
                    <a:blip r:embed="rId11"/>
                    <a:stretch>
                      <a:fillRect/>
                    </a:stretch>
                  </pic:blipFill>
                  <pic:spPr>
                    <a:xfrm>
                      <a:off x="0" y="0"/>
                      <a:ext cx="5760720" cy="3869716"/>
                    </a:xfrm>
                    <a:prstGeom prst="rect"/>
                  </pic:spPr>
                </pic:pic>
              </a:graphicData>
            </a:graphic>
          </wp:inline>
        </w:drawing>
      </w:r>
    </w:p>
    <w:p>
      <w:r>
        <w:rPr>
          <w:b/>
          <w:sz w:val="23"/>
        </w:rPr>
        <w:t xml:space="preserve">Figure 3  </w:t>
      </w:r>
      <w:r>
        <w:t>Pyroptosis Gene Expression and WGCNA Co-Expression Modules. (A) Heatmap of 16 pyroptosis gene expression values (z-score normalized) in GSE217932 (sham vs CCI). Genes meeting the exploratory DEG threshold marked with asterisks. (B) WGCNA module eigengene adjacency heatmap (modules, 5,000 genes, signed network, beta=6). Wnt/pyroptosis gene module assignments indicated. (C) Spearman correlation matrix of Wnt and pyroptosis gene expression in GSE217932. Module preservation across an independent dataset was not assessed (no independent cohort available).</w:t>
      </w:r>
    </w:p>
    <w:p>
      <w:pPr>
        <w:jc w:val="center"/>
      </w:pPr>
      <w:r>
        <w:drawing>
          <wp:inline xmlns:a="http://schemas.openxmlformats.org/drawingml/2006/main" xmlns:pic="http://schemas.openxmlformats.org/drawingml/2006/picture">
            <wp:extent cx="5760720" cy="5188177"/>
            <wp:docPr id="4" name="Picture 4"/>
            <wp:cNvGraphicFramePr>
              <a:graphicFrameLocks noChangeAspect="1"/>
            </wp:cNvGraphicFramePr>
            <a:graphic>
              <a:graphicData uri="http://schemas.openxmlformats.org/drawingml/2006/picture">
                <pic:pic>
                  <pic:nvPicPr>
                    <pic:cNvPr id="0" name="Figure3_Pyroptosis_Wnt_crosstalk.png"/>
                    <pic:cNvPicPr/>
                  </pic:nvPicPr>
                  <pic:blipFill>
                    <a:blip r:embed="rId12"/>
                    <a:stretch>
                      <a:fillRect/>
                    </a:stretch>
                  </pic:blipFill>
                  <pic:spPr>
                    <a:xfrm>
                      <a:off x="0" y="0"/>
                      <a:ext cx="5760720" cy="5188177"/>
                    </a:xfrm>
                    <a:prstGeom prst="rect"/>
                  </pic:spPr>
                </pic:pic>
              </a:graphicData>
            </a:graphic>
          </wp:inline>
        </w:drawing>
      </w:r>
    </w:p>
    <w:p>
      <w:r>
        <w:rPr>
          <w:b/>
          <w:sz w:val="23"/>
        </w:rPr>
        <w:t xml:space="preserve">Figure 4  </w:t>
      </w:r>
      <w:r>
        <w:t>Single-Cell RNA-seq Atlas of SNI Spinal Cord (full-transcriptome). (A) UMAP embedding of GSE134003, colored by 14 annotated cell types. (B) Dot plot of Wnt pathway gene expression across cell types (dot size: percent expressed; color: mean expression). (C) Dot plot of pyroptosis gene expression across cell types, showing enrichment in microglia and macrophages. (D) Bar plot of pyroptosis module score by cell type (animal-level mean), demonstrating microglial/macrophage predominance and low astrocyte scores. All scores computed across 14,700 genes; n=19 animals (SI: 10, SNI: 9).</w:t>
      </w:r>
    </w:p>
    <w:p>
      <w:pPr>
        <w:jc w:val="center"/>
      </w:pPr>
      <w:r>
        <w:drawing>
          <wp:inline xmlns:a="http://schemas.openxmlformats.org/drawingml/2006/main" xmlns:pic="http://schemas.openxmlformats.org/drawingml/2006/picture">
            <wp:extent cx="5760720" cy="4191154"/>
            <wp:docPr id="5" name="Picture 5"/>
            <wp:cNvGraphicFramePr>
              <a:graphicFrameLocks noChangeAspect="1"/>
            </wp:cNvGraphicFramePr>
            <a:graphic>
              <a:graphicData uri="http://schemas.openxmlformats.org/drawingml/2006/picture">
                <pic:pic>
                  <pic:nvPicPr>
                    <pic:cNvPr id="0" name="Figure4_scRNAseq_cell_atlas.png"/>
                    <pic:cNvPicPr/>
                  </pic:nvPicPr>
                  <pic:blipFill>
                    <a:blip r:embed="rId13"/>
                    <a:stretch>
                      <a:fillRect/>
                    </a:stretch>
                  </pic:blipFill>
                  <pic:spPr>
                    <a:xfrm>
                      <a:off x="0" y="0"/>
                      <a:ext cx="5760720" cy="4191154"/>
                    </a:xfrm>
                    <a:prstGeom prst="rect"/>
                  </pic:spPr>
                </pic:pic>
              </a:graphicData>
            </a:graphic>
          </wp:inline>
        </w:drawing>
      </w:r>
    </w:p>
    <w:p>
      <w:r>
        <w:rPr>
          <w:b/>
          <w:sz w:val="23"/>
        </w:rPr>
        <w:t xml:space="preserve">Figure 5  </w:t>
      </w:r>
      <w:r>
        <w:t>CellChat Wnt Signaling and Pseudotime Trajectory Analysis. (A) Circle plot of Wnt-Fzd ligand–receptor communication network in SNI condition. Edge width proportional to communication probability; node size proportional to cell number. (B) Pseudotime heatmap: expression of Wnt and pyroptosis genes across binned pseudotime (40 bins) along the astrocyte differentiation trajectory. (C) Violin plots of pseudotime distribution by cell type.</w:t>
      </w:r>
    </w:p>
    <w:p>
      <w:pPr>
        <w:jc w:val="center"/>
      </w:pPr>
      <w:r>
        <w:drawing>
          <wp:inline xmlns:a="http://schemas.openxmlformats.org/drawingml/2006/main" xmlns:pic="http://schemas.openxmlformats.org/drawingml/2006/picture">
            <wp:extent cx="5760720" cy="5234392"/>
            <wp:docPr id="6" name="Picture 6"/>
            <wp:cNvGraphicFramePr>
              <a:graphicFrameLocks noChangeAspect="1"/>
            </wp:cNvGraphicFramePr>
            <a:graphic>
              <a:graphicData uri="http://schemas.openxmlformats.org/drawingml/2006/picture">
                <pic:pic>
                  <pic:nvPicPr>
                    <pic:cNvPr id="0" name="Figure5_CellChat_Pseudotime.png"/>
                    <pic:cNvPicPr/>
                  </pic:nvPicPr>
                  <pic:blipFill>
                    <a:blip r:embed="rId14"/>
                    <a:stretch>
                      <a:fillRect/>
                    </a:stretch>
                  </pic:blipFill>
                  <pic:spPr>
                    <a:xfrm>
                      <a:off x="0" y="0"/>
                      <a:ext cx="5760720" cy="5234392"/>
                    </a:xfrm>
                    <a:prstGeom prst="rect"/>
                  </pic:spPr>
                </pic:pic>
              </a:graphicData>
            </a:graphic>
          </wp:inline>
        </w:drawing>
      </w:r>
    </w:p>
    <w:p>
      <w:r>
        <w:rPr>
          <w:b/>
          <w:sz w:val="23"/>
        </w:rPr>
        <w:t xml:space="preserve">Figure 6  </w:t>
      </w:r>
      <w:r>
        <w:t>Cell Type Deconvolution by CIBERSORTx (GSE217932). (A) Estimated cell type proportions in GSE217932 (sham vs CCI). Astrocyte proportion: 9.6% (sham) to 9.9% (CCI) (nominal p=0.343, not significant). (B) Signature matrix heatmap of marker gene expression across reference cell types. No cross-dataset correlation was computed (single bulk cohort).</w:t>
      </w:r>
    </w:p>
    <w:p>
      <w:pPr>
        <w:jc w:val="center"/>
      </w:pPr>
      <w:r>
        <w:drawing>
          <wp:inline xmlns:a="http://schemas.openxmlformats.org/drawingml/2006/main" xmlns:pic="http://schemas.openxmlformats.org/drawingml/2006/picture">
            <wp:extent cx="5760720" cy="2187509"/>
            <wp:docPr id="7" name="Picture 7"/>
            <wp:cNvGraphicFramePr>
              <a:graphicFrameLocks noChangeAspect="1"/>
            </wp:cNvGraphicFramePr>
            <a:graphic>
              <a:graphicData uri="http://schemas.openxmlformats.org/drawingml/2006/picture">
                <pic:pic>
                  <pic:nvPicPr>
                    <pic:cNvPr id="0" name="Figure6_Deconvolution.png"/>
                    <pic:cNvPicPr/>
                  </pic:nvPicPr>
                  <pic:blipFill>
                    <a:blip r:embed="rId15"/>
                    <a:stretch>
                      <a:fillRect/>
                    </a:stretch>
                  </pic:blipFill>
                  <pic:spPr>
                    <a:xfrm>
                      <a:off x="0" y="0"/>
                      <a:ext cx="5760720" cy="2187509"/>
                    </a:xfrm>
                    <a:prstGeom prst="rect"/>
                  </pic:spPr>
                </pic:pic>
              </a:graphicData>
            </a:graphic>
          </wp:inline>
        </w:drawing>
      </w:r>
    </w:p>
    <w:p>
      <w:r>
        <w:rPr>
          <w:b/>
          <w:sz w:val="23"/>
        </w:rPr>
        <w:t xml:space="preserve">Figure 7  </w:t>
      </w:r>
      <w:r>
        <w:t>Protein–Protein Interaction Network and TCF4 Binding-Site Prediction. (A) High-confidence STRING network (combined score &gt;0.7, 216 nodes, 189 edges). Hub genes highlighted by node size. (B) Multi-centrality hub gene ranking bar chart. Top 6 hubs: Il6, Ccl2, Wnt2, Nox4, Rela, Nfkb1. (C) JASPAR-predicted TCF4 (MA0830.1) binding sites in Ccl2, Il6, Jun, Nfkb1, Nlrp3, and Gsdmd promoters. (D) TCF4-centered sub-network of predicted transcriptional targets. Motif predictions are hypothetical.</w:t>
      </w:r>
    </w:p>
    <w:p>
      <w:pPr>
        <w:jc w:val="center"/>
      </w:pPr>
      <w:r>
        <w:drawing>
          <wp:inline xmlns:a="http://schemas.openxmlformats.org/drawingml/2006/main" xmlns:pic="http://schemas.openxmlformats.org/drawingml/2006/picture">
            <wp:extent cx="5760720" cy="5371913"/>
            <wp:docPr id="8" name="Picture 8"/>
            <wp:cNvGraphicFramePr>
              <a:graphicFrameLocks noChangeAspect="1"/>
            </wp:cNvGraphicFramePr>
            <a:graphic>
              <a:graphicData uri="http://schemas.openxmlformats.org/drawingml/2006/picture">
                <pic:pic>
                  <pic:nvPicPr>
                    <pic:cNvPr id="0" name="Figure7_PPI_Hub_TCF4.png"/>
                    <pic:cNvPicPr/>
                  </pic:nvPicPr>
                  <pic:blipFill>
                    <a:blip r:embed="rId16"/>
                    <a:stretch>
                      <a:fillRect/>
                    </a:stretch>
                  </pic:blipFill>
                  <pic:spPr>
                    <a:xfrm>
                      <a:off x="0" y="0"/>
                      <a:ext cx="5760720" cy="5371913"/>
                    </a:xfrm>
                    <a:prstGeom prst="rect"/>
                  </pic:spPr>
                </pic:pic>
              </a:graphicData>
            </a:graphic>
          </wp:inline>
        </w:drawing>
      </w:r>
    </w:p>
    <w:p>
      <w:r>
        <w:rPr>
          <w:b/>
          <w:sz w:val="23"/>
        </w:rPr>
        <w:t xml:space="preserve">Figure 8  </w:t>
      </w:r>
      <w:r>
        <w:t>Descriptive Drug Three-Tier Classification (No Statistical Testing). (A) Three-tier drug classification overview: drug pills grouped by tier (green = approved, orange = investigational). (B) Drug-target bipartite network: 20 drugs, 21 unique targets, 33 edges (41 total nodes). Drug nodes colored by tier; target nodes in gray. (C) Detailed tier classification table with target annotations, approval status, and mechanism of action for all 20 compounds.</w:t>
      </w:r>
    </w:p>
    <w:p>
      <w:pPr>
        <w:jc w:val="center"/>
      </w:pPr>
      <w:r>
        <w:drawing>
          <wp:inline xmlns:a="http://schemas.openxmlformats.org/drawingml/2006/main" xmlns:pic="http://schemas.openxmlformats.org/drawingml/2006/picture">
            <wp:extent cx="5760720" cy="3403541"/>
            <wp:docPr id="9" name="Picture 9"/>
            <wp:cNvGraphicFramePr>
              <a:graphicFrameLocks noChangeAspect="1"/>
            </wp:cNvGraphicFramePr>
            <a:graphic>
              <a:graphicData uri="http://schemas.openxmlformats.org/drawingml/2006/picture">
                <pic:pic>
                  <pic:nvPicPr>
                    <pic:cNvPr id="0" name="Figure8_Drug_ThreeTier_Classification.png"/>
                    <pic:cNvPicPr/>
                  </pic:nvPicPr>
                  <pic:blipFill>
                    <a:blip r:embed="rId17"/>
                    <a:stretch>
                      <a:fillRect/>
                    </a:stretch>
                  </pic:blipFill>
                  <pic:spPr>
                    <a:xfrm>
                      <a:off x="0" y="0"/>
                      <a:ext cx="5760720" cy="3403541"/>
                    </a:xfrm>
                    <a:prstGeom prst="rect"/>
                  </pic:spPr>
                </pic:pic>
              </a:graphicData>
            </a:graphic>
          </wp:inline>
        </w:drawing>
      </w:r>
    </w:p>
    <w:p>
      <w:r>
        <w:rPr>
          <w:b/>
          <w:sz w:val="23"/>
        </w:rPr>
        <w:t xml:space="preserve">Figure 9  </w:t>
      </w:r>
      <w:r>
        <w:t>Gene Regulatory Network and Virtual Perturbation Analysis (Exploratory; n=12; No FDR). (A) ARACNe-style GRN from GSE217932 (Spearman |rho|&gt;0.75, DPI epsilon=0.15). Wnt genes in blue; pyroptosis genes in red; inferred regulators in gray. (B) Virtual KO impact scores by RWR perturbation. Tcf4 and Ctnnb1 identified as high-impact hubs. (C) Virtual OE seed-weight perturbation (+2.0 SD) of Wnt/β-catenin nodes: RWR propagation reaches pyroptosis genes (e.g., Il1b RWR = 0.011, Gsdmd RWR = 0.009, Nlrp3 RWR = 0.007). (D) Virtual KD (−2.0 SD) of Tcf4: reduced propagation to the same pyroptosis genes. All scores are RWR network-propagation outputs (hypothesis-generating only).</w:t>
      </w:r>
    </w:p>
    <w:p>
      <w:pPr>
        <w:jc w:val="center"/>
      </w:pPr>
      <w:r>
        <w:drawing>
          <wp:inline xmlns:a="http://schemas.openxmlformats.org/drawingml/2006/main" xmlns:pic="http://schemas.openxmlformats.org/drawingml/2006/picture">
            <wp:extent cx="5760720" cy="4523777"/>
            <wp:docPr id="10" name="Picture 10"/>
            <wp:cNvGraphicFramePr>
              <a:graphicFrameLocks noChangeAspect="1"/>
            </wp:cNvGraphicFramePr>
            <a:graphic>
              <a:graphicData uri="http://schemas.openxmlformats.org/drawingml/2006/picture">
                <pic:pic>
                  <pic:nvPicPr>
                    <pic:cNvPr id="0" name="Figure9_GRN_VirtualKO.png"/>
                    <pic:cNvPicPr/>
                  </pic:nvPicPr>
                  <pic:blipFill>
                    <a:blip r:embed="rId18"/>
                    <a:stretch>
                      <a:fillRect/>
                    </a:stretch>
                  </pic:blipFill>
                  <pic:spPr>
                    <a:xfrm>
                      <a:off x="0" y="0"/>
                      <a:ext cx="5760720" cy="4523777"/>
                    </a:xfrm>
                    <a:prstGeom prst="rect"/>
                  </pic:spPr>
                </pic:pic>
              </a:graphicData>
            </a:graphic>
          </wp:inline>
        </w:drawing>
      </w:r>
    </w:p>
    <w:p>
      <w:r>
        <w:rPr>
          <w:b/>
          <w:sz w:val="23"/>
        </w:rPr>
        <w:t xml:space="preserve">Figure 10  </w:t>
      </w:r>
      <w:r>
        <w:t>Structural Analysis of Drug-Target Complexes (Literature Binding Energies; MD Not Completed). (A) PDBFixer-remediated PDB structures: 7PZC (NLRP3 NACHT domain, 118 kDa), 6N9O (CTNNB1/β-catenin, 86 kDa), 1JDH (TNKS2 tankyrase-2, 71 kDa), 3UA9 (GSDMD pore, 53 kDa). (B) Published experimental binding affinities (Kd, nM): MCC950–NLRP3 Kd=5 nM (Coll et al., 2019); XAV939–TNKS2 Kd=46 nM (Huang et al., 2009). (C) Molecular-dynamics simulation status: 0/4 completed; no new binding-energy calculations were performed (literature values used).</w:t>
      </w:r>
    </w:p>
    <w:p>
      <w:pPr>
        <w:jc w:val="center"/>
      </w:pPr>
      <w:r>
        <w:drawing>
          <wp:inline xmlns:a="http://schemas.openxmlformats.org/drawingml/2006/main" xmlns:pic="http://schemas.openxmlformats.org/drawingml/2006/picture">
            <wp:extent cx="5760720" cy="1793808"/>
            <wp:docPr id="11" name="Picture 11"/>
            <wp:cNvGraphicFramePr>
              <a:graphicFrameLocks noChangeAspect="1"/>
            </wp:cNvGraphicFramePr>
            <a:graphic>
              <a:graphicData uri="http://schemas.openxmlformats.org/drawingml/2006/picture">
                <pic:pic>
                  <pic:nvPicPr>
                    <pic:cNvPr id="0" name="Figure10_Structural_Analysis.png"/>
                    <pic:cNvPicPr/>
                  </pic:nvPicPr>
                  <pic:blipFill>
                    <a:blip r:embed="rId19"/>
                    <a:stretch>
                      <a:fillRect/>
                    </a:stretch>
                  </pic:blipFill>
                  <pic:spPr>
                    <a:xfrm>
                      <a:off x="0" y="0"/>
                      <a:ext cx="5760720" cy="1793808"/>
                    </a:xfrm>
                    <a:prstGeom prst="rect"/>
                  </pic:spPr>
                </pic:pic>
              </a:graphicData>
            </a:graphic>
          </wp:inline>
        </w:drawing>
      </w:r>
    </w:p>
    <w:p>
      <w:r>
        <w:rPr>
          <w:b/>
          <w:sz w:val="23"/>
        </w:rPr>
        <w:t xml:space="preserve">Figure 11  </w:t>
      </w:r>
      <w:r>
        <w:t>Reproducibility and Limitation Self-Audit. A compliance matrix summarizing, for each analytical module (rows, keyed to the methods sections), the extent to which the study addressed five reproducibility and scientific-strictness dimensions (columns): sample size, independent replication, multiple-testing control, reporting of negative/null results, and code/data sharing. Green tick = explicitly addressed with adequate power; amber triangle = partially addressed or explicitly discussed as a limitation; red cross = not applicable or absent in this study. A bottom "Summary" row reports the weighted compliance rate per dimension (%), and a right-hand "Score" column reports the weighted compliance rate per module (%), making the scope and limits of the evidence explicit. Note: the study analyses a single bulk cohort and therefore scores "independent replication" as not applicable/absent for bulk-derived modules; the self-audit is a transparency instrument, not evidence of replication.</w:t>
        <w:br/>
        <w:br/>
        <w:t>---</w:t>
        <w:br/>
        <w:br/>
        <w:t>## SUPPLEMENTARY MATERIALS</w:t>
        <w:br/>
        <w:br/>
      </w:r>
      <w:r>
        <w:rPr>
          <w:b/>
        </w:rPr>
        <w:t>Supplementary Table S1 – WGCNA Module Assignments (GSE217932).</w:t>
      </w:r>
      <w:r>
        <w:t xml:space="preserve"> Module assignments for Wnt/pyroptosis genes across identified co-expression modules, with module sizes and exploratory interpretation. Module preservation across an independent dataset was not assessed (no independent bulk cohort available). Data file: MC5_WGCNA_Modules.csv.</w:t>
        <w:br/>
        <w:br/>
      </w:r>
      <w:r>
        <w:rPr>
          <w:b/>
        </w:rPr>
        <w:t>Supplementary Table S2 – Descriptive Drug Three-Tier Classification with Target Annotations.</w:t>
      </w:r>
      <w:r>
        <w:t xml:space="preserve"> Complete classification of 20 drugs with DrugBank target annotations, tier assignment, approval status, mechanism of action, and PubChem CID verification status. Data file: MC2_Drug_ThreeTier.csv. No statistical testing performed.</w:t>
        <w:br/>
        <w:br/>
      </w:r>
      <w:r>
        <w:rPr>
          <w:b/>
        </w:rPr>
        <w:t>Supplementary Table S3 – CellChat Wnt-Fzd Communication Probability Matrix (SNI Condition).</w:t>
      </w:r>
      <w:r>
        <w:t xml:space="preserve"> Row-normalized communication probabilities between 14 annotated cell types for Wnt-Fzd ligand–receptor pairs. Data file: Figure5_communication_SNI.csv.</w:t>
        <w:br/>
        <w:br/>
        <w:t>All supplementary data files are provided in CSV format in the accompanying reproducibility package and are openly accessible (no "available on request" clause).</w:t>
      </w:r>
    </w:p>
    <w:p>
      <w:pPr>
        <w:jc w:val="center"/>
      </w:pPr>
      <w:r>
        <w:drawing>
          <wp:inline xmlns:a="http://schemas.openxmlformats.org/drawingml/2006/main" xmlns:pic="http://schemas.openxmlformats.org/drawingml/2006/picture">
            <wp:extent cx="5760720" cy="3732835"/>
            <wp:docPr id="12" name="Picture 12"/>
            <wp:cNvGraphicFramePr>
              <a:graphicFrameLocks noChangeAspect="1"/>
            </wp:cNvGraphicFramePr>
            <a:graphic>
              <a:graphicData uri="http://schemas.openxmlformats.org/drawingml/2006/picture">
                <pic:pic>
                  <pic:nvPicPr>
                    <pic:cNvPr id="0" name="Figure11_Reproducibility_Audit.png"/>
                    <pic:cNvPicPr/>
                  </pic:nvPicPr>
                  <pic:blipFill>
                    <a:blip r:embed="rId20"/>
                    <a:stretch>
                      <a:fillRect/>
                    </a:stretch>
                  </pic:blipFill>
                  <pic:spPr>
                    <a:xfrm>
                      <a:off x="0" y="0"/>
                      <a:ext cx="5760720" cy="373283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