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on the DRG–spinal axis: dorsal root ganglion analysis with spinal-cord localisation and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i w:val="0"/>
          <w:sz w:val="22"/>
        </w:rPr>
        <w:t>Background.</w:t>
      </w:r>
      <w:r>
        <w:rPr>
          <w:rFonts w:ascii="Times New Roman" w:hAnsi="Times New Roman"/>
          <w:b w:val="0"/>
          <w:i w:val="0"/>
          <w:sz w:val="22"/>
        </w:rPr>
        <w:t xml:space="preserve"> Chronic postsurgical pain affects 10–50% of surgical patients, yet DRG–spinal-axis targets remain undefined. We reanalysed 12 public GEO datasets (four nerve-injury, one incision), framing the axis as a nerve-injury-associated response and the incision arm as a held-out translation test.</w:t>
      </w:r>
    </w:p>
    <w:p>
      <w:pPr>
        <w:spacing w:before="0" w:after="40"/>
      </w:pPr>
      <w:r>
        <w:rPr>
          <w:rFonts w:ascii="Times New Roman" w:hAnsi="Times New Roman"/>
          <w:b/>
          <w:i w:val="0"/>
          <w:sz w:val="22"/>
        </w:rPr>
        <w:t>Methods.</w:t>
      </w:r>
      <w:r>
        <w:rPr>
          <w:rFonts w:ascii="Times New Roman" w:hAnsi="Times New Roman"/>
          <w:b w:val="0"/>
          <w:i w:val="0"/>
          <w:sz w:val="22"/>
        </w:rPr>
        <w:t xml:space="preserve"> We integrated 12 GEO datasets by Stouffer meta-analysis, set-level BH-corrected gene-set tests, dual-ML hub identification under leakage-controlled leave-one-dataset-out, and a full-library (3,085-drug) docking screen with reverse positive controls.</w:t>
      </w:r>
    </w:p>
    <w:p>
      <w:pPr>
        <w:spacing w:before="0" w:after="40"/>
      </w:pPr>
      <w:r>
        <w:rPr>
          <w:rFonts w:ascii="Times New Roman" w:hAnsi="Times New Roman"/>
          <w:b/>
          <w:i w:val="0"/>
          <w:sz w:val="22"/>
        </w:rPr>
        <w:t>Results.</w:t>
      </w:r>
      <w:r>
        <w:rPr>
          <w:rFonts w:ascii="Times New Roman" w:hAnsi="Times New Roman"/>
          <w:b w:val="0"/>
          <w:i w:val="0"/>
          <w:sz w:val="22"/>
        </w:rPr>
        <w:t xml:space="preserve"> A 4,055-gene core emerged under fixed effects but only 1,008 persisted under random effects. Gene-set tests confirmed a neuroimmune/DAM-like programme (q = 0.003 each); OXPHOS did not survive random-effects correction (q = 0.31). A non-circular test showed the nerve-injury signature does not predict incision (46.2% vs 47.1%, p = 0.14). Spatial mapping placed 17/33 hubs in the dorsal horn; the human blood miRNA layer was negative (p = 0.51). Full-library docking of 3,085 drugs against the 10 tractable targets found none clearing both the full-library and size-independent enrichment filters (ADRA2A 0.618 → 0.532, p = 0.118); the ion-channel class was undockable.</w:t>
      </w:r>
    </w:p>
    <w:p>
      <w:pPr>
        <w:spacing w:before="0" w:after="40"/>
      </w:pPr>
      <w:r>
        <w:rPr>
          <w:rFonts w:ascii="Times New Roman" w:hAnsi="Times New Roman"/>
          <w:b/>
          <w:i w:val="0"/>
          <w:sz w:val="22"/>
        </w:rPr>
        <w:t>Conclusions.</w:t>
      </w:r>
      <w:r>
        <w:rPr>
          <w:rFonts w:ascii="Times New Roman" w:hAnsi="Times New Roman"/>
          <w:b w:val="0"/>
          <w:i w:val="0"/>
          <w:sz w:val="22"/>
        </w:rPr>
        <w:t xml:space="preserve"> The axis is a nerve-injury-associated, heterogeneity-sensitive response that is not shown by this meta-analysis to be CPSP-specific, because the nerve-injury signature does not predict the single incision arm (46.2% vs 47.1% background, p = 0.14); the docking null is a methodological boundary, not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DRG–spinal axis.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no drug target that held up reliably, a deliberately honest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single peripheral–central axis.</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DRG–spinal axis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DRG–spinal axis computationally across 12 curated GEO datasets spanning incision, nerve-injury and spared-nerve-injury (SNI) models in rat, mouse and human.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to our knowledge,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6,869 at meta_FDR &lt; 0.05 and a core signature of 4,055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two timepoints are from the same animals and are not statistically independent; their joint influence is bounded by the bulk-only (overlap 54.3%) and collapse (retention 91.4%)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The Stouffer meta core is thus a DRG-axis product (all six inputs are DRG or DRG translatome); the spinal-cord dimension of the titular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≈39% across all genes) but substantial within the candidate-hub subset — median I² 72.8% across the 35 hubs, 18/35 retaining FDR_RE &lt; 0.05 — so fixed-effect gene-level claims are most conditional exactly where they matter most; non-negligible even at the whole-genome level: median τ² = 0.232 and median I² = 38.8%, with 41.9% of genes showing I² &gt; 50% and 68.1% showing τ² &gt; 0. Under random effects the core (FDR_RE &lt; 0.05 and consistency ≥ 0.8) shrank to 1,008 genes, 24.9% of the fixed-effect core. The fixed-effect core is therefore reported as the primary result and the random-effects core as its sensitivity bound; gene-level conclusions drawn from the 4,055-gene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72.8% and 18/35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+4.94, 100% up, permutation q = 0.003), DAM-like neuroimmune programme (+3.88, 93.8% up, q = 0.003) and complement (+3.44, 94.4% up, q = 0.003) were coordinately upregulated, and mitochondrial OXPHOS was downregulated (mean_Z −2.37, 73.7% of members down, q = 0.020).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Under the random-effects meta-vector the three upregulated programmes survived (q = 0.003 each) but OXPHOS did not (q = 0.31), so energy-metabolism suppression is reported as a fixed-effect finding that is not reliable under between-contrast heterogeneity. Because this is a bulk-tissue gene-set signal, it cannot be attributed specifically to resident microglia versus infiltrating macrophages or other neuroimmune cells; "DAM-like" denotes the shared transcriptional programme, not a cell-type-resolved state. Consistent with this qualification, LPL — a canonical DAM hallmark that is up-regulated in bona fide DAM — is itself down-regulated in the nerve-injury meta (meta_Z −3.43, FDR 6.1×10⁻⁴),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defined a core of 2,512 genes (the same union-K≥3 inclusion rule as the primary — a gene was retained if present in ≥3 of the four bulk contrasts — so the sensitivity is method-identical to the six-input analysis except for the removal of the translatome study), of which 2,202 (54.3%) overlapped the primary 4,055-gene core. The 54.3% figure is the conservative, threshold-strict overlap: it applies the same directional-consistency gate the six-input core applies at ≥5/6 (all four bulk contrasts concordant, 4/4). When the same concordance proportion is required of the four-contrast set (≥3/4 — the largest achievable majority concordance for four contrasts, versus ≥5/6 ≈ 0.83 for six), the overlap rises to 3,587/4,055 = 88.5%; 1,385 of the 1,853 genes that appear lost under the strict 4/4 gate are recovered, and only 211 of the 4,055 primary-core genes are not bulk-significant at all (the genuine translatome-specific contribution to membership). The apparent 45.7% "translatome-dependence" of gene-level membership is therefore substantially a threshold/concordance-count artefact rather than a disappearance of the axis, and we report it as such rather than as a primary fragility.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SCN10A/Nav1.8 mRNA is down-regulated after axotomy, and bulk DRG signal is confounded by injury-induced neuronal atrophy/loss¹² and by the dilution of neuronal transcripts by infiltrating immune and glial cells.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53.9% (7,751/14,390 shared genes; Wilson 95% CI 53.0–54.7%) overall and 69.5% (2,473/3,556; Wilson 95% CI 68.0–71.0%) when restricted to the 4,055-gene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genes shared across the six contrasts (3,556 of which fall in the 4,055-gene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 / 3,556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(6,779/14,390; 95% CI 46.3–47.9%), and among the 4,899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46.2% (2,266/4,899; 95% CI 44.9–47.7%)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−0.9 pp versus background, permutation p = 0.14. Restricting to nerve-injury-only consistency also collapses the apparent core translation from 69.5% to 53.8% (2,318/4,306; 95% CI 52.3–55.3%). The conclusion is stronger, not weaker, than the original formulation: knowing that a gene is strongly and consistently regulated by nerve injury carries essentially no information about its direction in the incision model, and roughly half of such genes move in the opposite direction. Within the reported 4,055-gene core, 1,083 of 3,556 genes with incision measurements are incision-discordant. A nerve-injury-only core (FDR &lt; 0.05 and nerve-injury consistency ≥ 0.8, incision excluded) comprised 5,412 genes under fixed effects and 3,099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The dual-ML consensus identified 35 candidate hub genes; 32/35 (91%) fell inside the meta core signature (Table 2).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confirmed a nerve-injury-specific — not universally generalisable — LODO signal (Fig. 2A). Under leakage-controlled leave-one-dataset-out, four of the five folds reached AUC 1.000 (GSE278227 CCI rat DRG, n = 28; GSE212311 CCI, n = 6; and the two same-animal GSE241361 folds — mouse DRG AUC 1.000, n = 9; spinal cord AUC 1.000, n = 9 — which are excluded from the cross-animal mean); the two genuinely independent cross-animal nerve-injury folds are GSE278227 (n = 28) and GSE212311 (n = 6), both at AUC 1.000, and the nerve-injury-specific — not universal — conclusion rests on this pattern rather than on a quoted cross-animal mean. GSE212311 is a 3-versus-3 design (n = 6); under complete class separation its exact two-sided Mann–Whitney p is 0.10 (one-sided 0.05), the minimum attainable for that sample size, so its AUC 1.0 is the statistical floor of the design rather than independent evidence, and the cross-animal nerve-injury-specific conclusion rests principally on GSE278227 (n = 28). The signature does not generalise to the incision model: the pivotal incision fold (GSE267799 n = 20) falls to a leakage-controlled 0.677 [0.374, 0.940], a confidence interval that includes chance, so it neither confirms nor refutes incision generalisation; the nerve-injury-specific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139–164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reproducibly recovered as a structurally-tractable set, not merely asserted by structural tractability.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(n=60), neither LSS+DS vs LSS (min p = 1.3e-4, FDR 0.128) nor association with %nprs20delta (min p = 8.5e-4, FDR 0.556) reached FDR significance; nominal hits clustered in immune miRNAs (miR-99b/let-7e/miR-125a polycistron; miR-146a-3p; miR-155-5p). The indirect hub-mRNA chain was detectable, miRDB v6.0 predicted 3,511 hub→miRNA targeting relationships spanning 33 of 35 hubs, of which 752 were high-confidence (score ≥ 80) and 328 of those pairs involved human-plasma-detectable miRNAs (253 distinct plasma-detectable miRNAs), but the set-level permutation test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DRG–spinal programme</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 xml:space="preserve">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VIP and (externally motivated) REG3B. We stress that REG3B is an external motivational hypothesis, not an internal-supporting hub: in this study REG3B was </w:t>
      </w:r>
      <w:r>
        <w:rPr>
          <w:rFonts w:ascii="Times New Roman" w:hAnsi="Times New Roman"/>
          <w:b w:val="0"/>
          <w:i/>
          <w:sz w:val="22"/>
        </w:rPr>
        <w:t>not</w:t>
      </w:r>
      <w:r>
        <w:rPr>
          <w:rFonts w:ascii="Times New Roman" w:hAnsi="Times New Roman"/>
          <w:b w:val="0"/>
          <w:i w:val="0"/>
          <w:sz w:val="22"/>
        </w:rPr>
        <w:t xml:space="preserve"> in the meta core, was not localisable in spinal snRNA, and showed only 1.7% detection in DRG; its "established DRG neuroimmune hub" status derives solely from a single CRPS-I (not CPSP, not nerve-transection) report¹⁹ and must be tested in the present model before any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0.440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and TNIK (p = 7.3e-5; 0.852 → 0.898);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(4.84), yet under the random-effects meta-analysis only 4 of the 10 targets retained FDR &lt; 0.05 (SLC2A1 q = 0.0000, ADRA2A 0.039, GALNS 0.025, TNIK 0.021),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4.84</w:t>
            </w:r>
          </w:p>
        </w:tc>
        <w:tc>
          <w:tcPr>
            <w:tcW w:type="dxa" w:w="1337"/>
          </w:tcPr>
          <w:p>
            <w:pPr>
              <w:spacing w:line="240" w:lineRule="auto" w:before="20" w:after="20"/>
            </w:pPr>
            <w:r/>
            <w:r>
              <w:rPr>
                <w:rFonts w:ascii="Times New Roman" w:hAnsi="Times New Roman"/>
                <w:b w:val="0"/>
                <w:i w:val="0"/>
                <w:sz w:val="18"/>
              </w:rPr>
              <w:t>1.5e-5</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0.039</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α2A adrenergic receptor; established descending anti-nociception</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6.09</w:t>
            </w:r>
          </w:p>
        </w:tc>
        <w:tc>
          <w:tcPr>
            <w:tcW w:type="dxa" w:w="1337"/>
          </w:tcPr>
          <w:p>
            <w:pPr>
              <w:spacing w:line="240" w:lineRule="auto" w:before="20" w:after="20"/>
            </w:pPr>
            <w:r/>
            <w:r>
              <w:rPr>
                <w:rFonts w:ascii="Times New Roman" w:hAnsi="Times New Roman"/>
                <w:b w:val="0"/>
                <w:i w:val="0"/>
                <w:sz w:val="18"/>
              </w:rPr>
              <w:t>3.9e-8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0.126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2.9e-8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4.3e-13</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0.021</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3.2e-10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0.188</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3.7e-10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0.060</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6.83</w:t>
            </w:r>
          </w:p>
        </w:tc>
        <w:tc>
          <w:tcPr>
            <w:tcW w:type="dxa" w:w="1337"/>
          </w:tcPr>
          <w:p>
            <w:pPr>
              <w:spacing w:line="240" w:lineRule="auto" w:before="20" w:after="20"/>
            </w:pPr>
            <w:r/>
            <w:r>
              <w:rPr>
                <w:rFonts w:ascii="Times New Roman" w:hAnsi="Times New Roman"/>
                <w:b w:val="0"/>
                <w:i w:val="0"/>
                <w:sz w:val="18"/>
              </w:rPr>
              <w:t>6.3e-10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0.0000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5.79</w:t>
            </w:r>
          </w:p>
        </w:tc>
        <w:tc>
          <w:tcPr>
            <w:tcW w:type="dxa" w:w="1337"/>
          </w:tcPr>
          <w:p>
            <w:pPr>
              <w:spacing w:line="240" w:lineRule="auto" w:before="20" w:after="20"/>
            </w:pPr>
            <w:r/>
            <w:r>
              <w:rPr>
                <w:rFonts w:ascii="Times New Roman" w:hAnsi="Times New Roman"/>
                <w:b w:val="0"/>
                <w:i w:val="0"/>
                <w:sz w:val="18"/>
              </w:rPr>
              <w:t>1.8e-7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0.025</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6.00</w:t>
            </w:r>
          </w:p>
        </w:tc>
        <w:tc>
          <w:tcPr>
            <w:tcW w:type="dxa" w:w="1337"/>
          </w:tcPr>
          <w:p>
            <w:pPr>
              <w:spacing w:line="240" w:lineRule="auto" w:before="20" w:after="20"/>
            </w:pPr>
            <w:r/>
            <w:r>
              <w:rPr>
                <w:rFonts w:ascii="Times New Roman" w:hAnsi="Times New Roman"/>
                <w:b w:val="0"/>
                <w:i w:val="0"/>
                <w:sz w:val="18"/>
              </w:rPr>
              <w:t>6.4e-8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0.186</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7.18</w:t>
            </w:r>
          </w:p>
        </w:tc>
        <w:tc>
          <w:tcPr>
            <w:tcW w:type="dxa" w:w="1337"/>
          </w:tcPr>
          <w:p>
            <w:pPr>
              <w:spacing w:line="240" w:lineRule="auto" w:before="20" w:after="20"/>
            </w:pPr>
            <w:r/>
            <w:r>
              <w:rPr>
                <w:rFonts w:ascii="Times New Roman" w:hAnsi="Times New Roman"/>
                <w:b w:val="0"/>
                <w:i w:val="0"/>
                <w:sz w:val="18"/>
              </w:rPr>
              <w:t>8.1e-11</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0.296</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suzetrigine²²,²³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DRG–spinal axis is recurrently characterized by a neuroimmune–metabolic programme that is best described as a nerve-injury-associated transcriptional response rather than a CPSP-specific pathway: coordinated DAM-like neuroimmune and complement activation²¹,²⁴,²⁵ (the DAM programme was first defined in neurodegeneration by Keren-Shaul et al.²⁶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al.²⁷ — and is therefore described as DAM-like). To quantify the 'DAM-like' qualifier, we checked the canonical DAM hallmark genes against the Stouffer up-regulated meta core (K = 5–6 DRG datasets per gene, by availability): TYROBP (meta FDR 8.8 × 10⁻⁹; consistency 5/5 datasets) and TREM2 (meta FDR 1.3 × 10⁻³; consistency 5/6) are both within the FDR &lt; 0.05 core, whereas APOE, although directionally consistent (consistency 6/6, up-regulated), does not reach the FDR &lt; 0.05 threshold (meta FDR 0.070); the partial, time- and sex-dependent recruitment of the DAM programme is therefore a data-supported, not merely metaphorical, descriptor. In the fixed-effect analysis only, OXPHOS suppression (which did not survive random-effects correction, q = 0.31), consistent with the growing literature on microglial–complement and energy-metabolism dysfunction in chronic and neuropathic pain²⁴,²⁵,²⁸,²⁹,³⁰,³¹, and with prior multi-tissue CPSP resources including a DRG-containing dataset⁶ and a spinal-cord neuropathic-pain atlas⁷. Chemokine signalling at the spinal dorsal horn, in particular the CXCL12/SDF-1 axis, has also been implicated in nerve-injury and postsurgical pain models³²,³³, reinforcing the neuroimmune component of the axis. The nerve-injury signature does not predict incision direction (46.2% versus a 47.1% background; difference −0.9 pp, p = 0.14),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91% overlapping the meta core) is not a list of "new" genes, ATF3, SPRR1A, NPY, VIP and others are well-established DRG injury markers⁴,⁵,³⁴.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an external hypothesis only (model-mismatched evidence¹⁹)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narrative³⁵,³⁶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MAPK14, AXL and TFE3 have the strongest prior biological rationale among the tractable targets, but on our own pre-specified criteria none of them can be advanced: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4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AXL, TNIK and ACVR1,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DRG–spinal axis is a nerve-injury-associated, heterogeneity-sensitive transcriptional response rather than a CPSP-specific pathway: its gene-set membership is highly sensitive to how the individual studies are combined (an honest random-effects sensitivity analysis shrinks the core from 4,055 to 1,008 genes, median I² = 38.8%), and the nerve-injury signature does not predict the single surgical-incision arm (46.2% vs 47.1% background, p = 0.14). A prospectively specified, full-library docking screen of the FDA-approved catalogue found no target that cleared both the full-library and size-independent enrichment filters (ADRA2A Tier-1 AUC 0.618 collapses to 0.532, p = 0.118; events-per-parameter ≤ 2 for all ChEMBL-annotated positive controls), so the honest docking null is a methodological boundary, not a false lead.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IL/CL;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overlap with the six-input core = 2,202/4,055 = 54.3% under the strict 4/4 concordance gate (the same ≥5/6 gate the primary core applies); applying the same concordance proportion to the four-contrast set, ≥3/4, gives 3,587/4,055 = 88.5%, with only 211 primary-core genes not bulk-significant at all;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The GEO accession pools two incision-type postoperative pain models — skin/muscle incision and retraction (SMIR; n = 60 across DRG/muscle/skin) and lateral paw incision (LPI; n = 48) — and the 'chronic' contrast merges day-10 and day-32 samples (36 chronic vs 24 baseline at 0d). Harvest days are in fact annotated in the deposited metadata (0d, 6h, 2d, 10d, 32d). Because SMIR mechanical hypersensitivity has been reported to dissipate by postoperative day 32 (Flatters et al., 2008³⁷), the day-32 SMIR samples represent a resolving rather than established-chronic phenotype; their inclusion dilutes the injury signal and makes the incision contrast conservative.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al.²⁶.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Univariate t pre-screening (Top 800) fed three feature selectors: LASSO (λ.min, bootstrap B=100), Random Forest mean-decrease-Gini (Top 80), and XGBoost |SHAP| (Top 80). A gene was a hub if ≥2/3 methods agreed.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DeLong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23.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24.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25.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26.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27.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28.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29.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30.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31.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32.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33.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34.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35.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36.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37.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will be released as version v1.0.0 (README + CITATION.cff + MIT LICENSE + reproduction scripts), and the derived tables enumerated below and in MANIFEST.sha256 will be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A versioned Zenodo archive will be deposited at submission and will receive a citable DOI at that point (10.5281/zenodo.XXXXXXX, minted upon deposit). The Zenodo archive and the GitHub release v1.0.0 are created together at submission; the Zenodo record archives the exact v1.0.0 repository snapshot.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+4.94, 100% of members up, q = 0.003), DAM microglia (+3.88, 93.8% up, q = 0.003) and complement (+3.44, 94.4% up, q = 0.003). Mitochondrial OXPHOS is downregulated (mean_Z −2.37, 73.7% of members down; q = 0.020, blue) under fixed effects but does not survive set-level BH when the same sets are recomputed on the random-effects meta-vector (q = 0.31). Bars are coloured by permutation significance (red = perm p ≤ 0.005, blue = perm p ≤ 0.05, grey = not significant). Ion-channel families (Nav_SCN q = 0.44; TRP q = 0.89; CACNA q = 0.85; Kv/KCNQ q = 0.85) show no coordinate change (grey), the key negative finding indicating a neuroimmune/metabolic, not ion-channel, axis.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99294"/>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99294"/>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Cross-animal held-out datasets (three folds) reach leakage-controlled AUC 1.000 for GSE278227 (CCI rat DRG, n = 28) and GSE212311 (CCI, n = 6); the incision fold (GSE267799, n = 20) falls to leakage-controlled 0.677 [0.374, 0.940], the cross-animal LODO floor that includes chance. The two GSE241361 folds (mouse DRG AUC 1.000 [1.000, 1.000], n = 9; spinal cord AUC 1.000 [1.000, 1.000], n = 9, leakage-controlled) come from the same animals and are plotted separately, excluded from the cross-animal mean. Three folds show degenerate DeLong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6,869 at meta_FDR &lt; 0.05; core = 4,055 (meta_FDR &lt; 0.05 and consistency ≥ 0.8). Random-effects sensitivity (DerSimonian–Laird; median τ² = 0.232, median I² = 38.8%): core = 1,008 (24.9% of the fixed-effect core). Collapse-sensitivity (5 inputs): core 4,294, retained 3,707/4,055 = 91.4%. Bulk-only sensitivity (4 bulk studies, translatome excluded; same union-K≥3 definition as primary): core 2,512; overlap with primary core 2,202/4,055 = 54.3% under the strict 4/4 concordance gate, rising to 3,587/4,055 = 88.5% under the threshold-relaxed ≥3/4 gate; only 211 primary-core genes are not bulk-significant at all,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n_methods = number of methods flagging the gene; in meta-core = membership in the 4,055-gene Stouffer meta signature. Source: P3_hub_genes.csv. Bootstrap stability caveat: a 200-resample bootstrap of the 72 pooled samples (P3_hub_bootstrap.csv) showed low per-gene recovery (max 15.5%, 0/35 at a &gt;=0.9 threshold; LASSO contributed no selections under resampling),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Symbol</w:t>
            </w:r>
          </w:p>
        </w:tc>
        <w:tc>
          <w:tcPr>
            <w:tcW w:type="dxa" w:w="1560"/>
          </w:tcPr>
          <w:p>
            <w:pPr>
              <w:spacing w:line="240" w:lineRule="auto" w:before="20" w:after="20"/>
            </w:pPr>
            <w:r/>
            <w:r>
              <w:rPr>
                <w:rFonts w:ascii="Times New Roman" w:hAnsi="Times New Roman"/>
                <w:b/>
                <w:i w:val="0"/>
                <w:sz w:val="17"/>
              </w:rPr>
              <w:t>n_methods</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w:t>
            </w:r>
          </w:p>
        </w:tc>
        <w:tc>
          <w:tcPr>
            <w:tcW w:type="dxa" w:w="1560"/>
          </w:tcPr>
          <w:p>
            <w:pPr>
              <w:spacing w:line="240" w:lineRule="auto" w:before="20" w:after="20"/>
            </w:pPr>
            <w:r/>
            <w:r>
              <w:rPr>
                <w:rFonts w:ascii="Times New Roman" w:hAnsi="Times New Roman"/>
                <w:b/>
                <w:i w:val="0"/>
                <w:sz w:val="17"/>
              </w:rPr>
              <w:t>in meta-core</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False</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False</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True</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False</w:t>
            </w:r>
          </w:p>
        </w:tc>
      </w:tr>
    </w:tbl>
    <w:p>
      <w:pPr>
        <w:spacing w:before="0" w:after="80"/>
      </w:pPr>
    </w:p>
    <w:p>
      <w:pPr>
        <w:spacing w:before="0" w:after="40"/>
      </w:pPr>
      <w:r>
        <w:rPr>
          <w:rFonts w:ascii="Times New Roman" w:hAnsi="Times New Roman"/>
          <w:b/>
          <w:i w:val="0"/>
          <w:sz w:val="22"/>
        </w:rPr>
        <w:t>Table 2</w:t>
      </w:r>
      <w:r>
        <w:rPr>
          <w:rFonts w:ascii="Times New Roman" w:hAnsi="Times New Roman"/>
          <w:b w:val="0"/>
          <w:i w:val="0"/>
          <w:sz w:val="22"/>
        </w:rPr>
        <w:t xml:space="preserve"> 35 hub genes — dual-ML consensus, meta-core membership and per-method importance.</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Hub</w:t>
            </w:r>
          </w:p>
        </w:tc>
        <w:tc>
          <w:tcPr>
            <w:tcW w:type="dxa" w:w="1170"/>
          </w:tcPr>
          <w:p>
            <w:pPr>
              <w:spacing w:line="240" w:lineRule="auto" w:before="20" w:after="20"/>
            </w:pPr>
            <w:r/>
            <w:r>
              <w:rPr>
                <w:rFonts w:ascii="Times New Roman" w:hAnsi="Times New Roman"/>
                <w:b/>
                <w:i w:val="0"/>
                <w:sz w:val="18"/>
              </w:rPr>
              <w:t>Methods (n/3)</w:t>
            </w:r>
          </w:p>
        </w:tc>
        <w:tc>
          <w:tcPr>
            <w:tcW w:type="dxa" w:w="1170"/>
          </w:tcPr>
          <w:p>
            <w:pPr>
              <w:spacing w:line="240" w:lineRule="auto" w:before="20" w:after="20"/>
            </w:pPr>
            <w:r/>
            <w:r>
              <w:rPr>
                <w:rFonts w:ascii="Times New Roman" w:hAnsi="Times New Roman"/>
                <w:b/>
                <w:i w:val="0"/>
                <w:sz w:val="18"/>
              </w:rPr>
              <w:t>In meta core</w:t>
            </w:r>
          </w:p>
        </w:tc>
        <w:tc>
          <w:tcPr>
            <w:tcW w:type="dxa" w:w="1170"/>
          </w:tcPr>
          <w:p>
            <w:pPr>
              <w:spacing w:line="240" w:lineRule="auto" w:before="20" w:after="20"/>
            </w:pPr>
            <w:r/>
            <w:r>
              <w:rPr>
                <w:rFonts w:ascii="Times New Roman" w:hAnsi="Times New Roman"/>
                <w:b/>
                <w:i w:val="0"/>
                <w:sz w:val="18"/>
              </w:rPr>
              <w:t>LASSO freq</w:t>
            </w:r>
          </w:p>
        </w:tc>
        <w:tc>
          <w:tcPr>
            <w:tcW w:type="dxa" w:w="1170"/>
          </w:tcPr>
          <w:p>
            <w:pPr>
              <w:spacing w:line="240" w:lineRule="auto" w:before="20" w:after="20"/>
            </w:pPr>
            <w:r/>
            <w:r>
              <w:rPr>
                <w:rFonts w:ascii="Times New Roman" w:hAnsi="Times New Roman"/>
                <w:b/>
                <w:i w:val="0"/>
                <w:sz w:val="18"/>
              </w:rPr>
              <w:t>RF Gini</w:t>
            </w:r>
          </w:p>
        </w:tc>
        <w:tc>
          <w:tcPr>
            <w:tcW w:type="dxa" w:w="1170"/>
          </w:tcPr>
          <w:p>
            <w:pPr>
              <w:spacing w:line="240" w:lineRule="auto" w:before="20" w:after="20"/>
            </w:pPr>
            <w:r/>
            <w:r>
              <w:rPr>
                <w:rFonts w:ascii="Times New Roman" w:hAnsi="Times New Roman"/>
                <w:b/>
                <w:i w:val="0"/>
                <w:sz w:val="18"/>
              </w:rPr>
              <w:t>SHAP</w:t>
            </w:r>
          </w:p>
        </w:tc>
        <w:tc>
          <w:tcPr>
            <w:tcW w:type="dxa" w:w="1170"/>
          </w:tcPr>
          <w:p>
            <w:pPr>
              <w:spacing w:line="240" w:lineRule="auto" w:before="20" w:after="20"/>
            </w:pPr>
            <w:r/>
            <w:r>
              <w:rPr>
                <w:rFonts w:ascii="Times New Roman" w:hAnsi="Times New Roman"/>
                <w:b/>
                <w:i w:val="0"/>
                <w:sz w:val="18"/>
              </w:rPr>
              <w:t>abs</w:t>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SPRR1A</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0.96</w:t>
            </w:r>
          </w:p>
        </w:tc>
        <w:tc>
          <w:tcPr>
            <w:tcW w:type="dxa" w:w="1170"/>
          </w:tcPr>
          <w:p>
            <w:pPr>
              <w:spacing w:line="240" w:lineRule="auto" w:before="20" w:after="20"/>
            </w:pPr>
            <w:r/>
            <w:r>
              <w:rPr>
                <w:rFonts w:ascii="Times New Roman" w:hAnsi="Times New Roman"/>
                <w:b w:val="0"/>
                <w:i w:val="0"/>
                <w:sz w:val="18"/>
              </w:rPr>
              <w:t>0.033</w:t>
            </w:r>
          </w:p>
        </w:tc>
        <w:tc>
          <w:tcPr>
            <w:tcW w:type="dxa" w:w="1170"/>
          </w:tcPr>
          <w:p>
            <w:pPr>
              <w:spacing w:line="240" w:lineRule="auto" w:before="20" w:after="20"/>
            </w:pPr>
            <w:r/>
            <w:r>
              <w:rPr>
                <w:rFonts w:ascii="Times New Roman" w:hAnsi="Times New Roman"/>
                <w:b w:val="0"/>
                <w:i w:val="0"/>
                <w:sz w:val="18"/>
              </w:rPr>
              <w:t>1.043</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ATF3</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0.85</w:t>
            </w:r>
          </w:p>
        </w:tc>
        <w:tc>
          <w:tcPr>
            <w:tcW w:type="dxa" w:w="1170"/>
          </w:tcPr>
          <w:p>
            <w:pPr>
              <w:spacing w:line="240" w:lineRule="auto" w:before="20" w:after="20"/>
            </w:pPr>
            <w:r/>
            <w:r>
              <w:rPr>
                <w:rFonts w:ascii="Times New Roman" w:hAnsi="Times New Roman"/>
                <w:b w:val="0"/>
                <w:i w:val="0"/>
                <w:sz w:val="18"/>
              </w:rPr>
              <w:t>0.024</w:t>
            </w:r>
          </w:p>
        </w:tc>
        <w:tc>
          <w:tcPr>
            <w:tcW w:type="dxa" w:w="1170"/>
          </w:tcPr>
          <w:p>
            <w:pPr>
              <w:spacing w:line="240" w:lineRule="auto" w:before="20" w:after="20"/>
            </w:pPr>
            <w:r/>
            <w:r>
              <w:rPr>
                <w:rFonts w:ascii="Times New Roman" w:hAnsi="Times New Roman"/>
                <w:b w:val="0"/>
                <w:i w:val="0"/>
                <w:sz w:val="18"/>
              </w:rPr>
              <w:t>0.145</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CDHR5</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0.79</w:t>
            </w:r>
          </w:p>
        </w:tc>
        <w:tc>
          <w:tcPr>
            <w:tcW w:type="dxa" w:w="1170"/>
          </w:tcPr>
          <w:p>
            <w:pPr>
              <w:spacing w:line="240" w:lineRule="auto" w:before="20" w:after="20"/>
            </w:pPr>
            <w:r/>
            <w:r>
              <w:rPr>
                <w:rFonts w:ascii="Times New Roman" w:hAnsi="Times New Roman"/>
                <w:b w:val="0"/>
                <w:i w:val="0"/>
                <w:sz w:val="18"/>
              </w:rPr>
              <w:t>0.012</w:t>
            </w:r>
          </w:p>
        </w:tc>
        <w:tc>
          <w:tcPr>
            <w:tcW w:type="dxa" w:w="1170"/>
          </w:tcPr>
          <w:p>
            <w:pPr>
              <w:spacing w:line="240" w:lineRule="auto" w:before="20" w:after="20"/>
            </w:pPr>
            <w:r/>
            <w:r>
              <w:rPr>
                <w:rFonts w:ascii="Times New Roman" w:hAnsi="Times New Roman"/>
                <w:b w:val="0"/>
                <w:i w:val="0"/>
                <w:sz w:val="18"/>
              </w:rPr>
              <w:t>0.319</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GALNS</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0.78</w:t>
            </w:r>
          </w:p>
        </w:tc>
        <w:tc>
          <w:tcPr>
            <w:tcW w:type="dxa" w:w="1170"/>
          </w:tcPr>
          <w:p>
            <w:pPr>
              <w:spacing w:line="240" w:lineRule="auto" w:before="20" w:after="20"/>
            </w:pPr>
            <w:r/>
            <w:r>
              <w:rPr>
                <w:rFonts w:ascii="Times New Roman" w:hAnsi="Times New Roman"/>
                <w:b w:val="0"/>
                <w:i w:val="0"/>
                <w:sz w:val="18"/>
              </w:rPr>
              <w:t>0.005</w:t>
            </w:r>
          </w:p>
        </w:tc>
        <w:tc>
          <w:tcPr>
            <w:tcW w:type="dxa" w:w="1170"/>
          </w:tcPr>
          <w:p>
            <w:pPr>
              <w:spacing w:line="240" w:lineRule="auto" w:before="20" w:after="20"/>
            </w:pPr>
            <w:r/>
            <w:r>
              <w:rPr>
                <w:rFonts w:ascii="Times New Roman" w:hAnsi="Times New Roman"/>
                <w:b w:val="0"/>
                <w:i w:val="0"/>
                <w:sz w:val="18"/>
              </w:rPr>
              <w:t>0.045</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TFE3</w:t>
            </w:r>
          </w:p>
        </w:tc>
        <w:tc>
          <w:tcPr>
            <w:tcW w:type="dxa" w:w="1170"/>
          </w:tcPr>
          <w:p>
            <w:pPr>
              <w:spacing w:line="240" w:lineRule="auto" w:before="20" w:after="20"/>
            </w:pPr>
            <w:r/>
            <w:r>
              <w:rPr>
                <w:rFonts w:ascii="Times New Roman" w:hAnsi="Times New Roman"/>
                <w:b w:val="0"/>
                <w:i w:val="0"/>
                <w:sz w:val="18"/>
              </w:rPr>
              <w:t>3</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0.62</w:t>
            </w:r>
          </w:p>
        </w:tc>
        <w:tc>
          <w:tcPr>
            <w:tcW w:type="dxa" w:w="1170"/>
          </w:tcPr>
          <w:p>
            <w:pPr>
              <w:spacing w:line="240" w:lineRule="auto" w:before="20" w:after="20"/>
            </w:pPr>
            <w:r/>
            <w:r>
              <w:rPr>
                <w:rFonts w:ascii="Times New Roman" w:hAnsi="Times New Roman"/>
                <w:b w:val="0"/>
                <w:i w:val="0"/>
                <w:sz w:val="18"/>
              </w:rPr>
              <w:t>0.023</w:t>
            </w:r>
          </w:p>
        </w:tc>
        <w:tc>
          <w:tcPr>
            <w:tcW w:type="dxa" w:w="1170"/>
          </w:tcPr>
          <w:p>
            <w:pPr>
              <w:spacing w:line="240" w:lineRule="auto" w:before="20" w:after="20"/>
            </w:pPr>
            <w:r/>
            <w:r>
              <w:rPr>
                <w:rFonts w:ascii="Times New Roman" w:hAnsi="Times New Roman"/>
                <w:b w:val="0"/>
                <w:i w:val="0"/>
                <w:sz w:val="18"/>
              </w:rPr>
              <w:t>0.204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MEGF11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0.71</w:t>
            </w:r>
          </w:p>
        </w:tc>
        <w:tc>
          <w:tcPr>
            <w:tcW w:type="dxa" w:w="1170"/>
          </w:tcPr>
          <w:p>
            <w:pPr>
              <w:spacing w:line="240" w:lineRule="auto" w:before="20" w:after="20"/>
            </w:pPr>
            <w:r/>
            <w:r>
              <w:rPr>
                <w:rFonts w:ascii="Times New Roman" w:hAnsi="Times New Roman"/>
                <w:b w:val="0"/>
                <w:i w:val="0"/>
                <w:sz w:val="18"/>
              </w:rPr>
              <w:t>0.001</w:t>
            </w:r>
          </w:p>
        </w:tc>
        <w:tc>
          <w:tcPr>
            <w:tcW w:type="dxa" w:w="1170"/>
          </w:tcPr>
          <w:p>
            <w:pPr>
              <w:spacing w:line="240" w:lineRule="auto" w:before="20" w:after="20"/>
            </w:pPr>
            <w:r/>
            <w:r>
              <w:rPr>
                <w:rFonts w:ascii="Times New Roman" w:hAnsi="Times New Roman"/>
                <w:b w:val="0"/>
                <w:i w:val="0"/>
                <w:sz w:val="18"/>
              </w:rPr>
              <w:t>0.034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PTPN23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0.50</w:t>
            </w:r>
          </w:p>
        </w:tc>
        <w:tc>
          <w:tcPr>
            <w:tcW w:type="dxa" w:w="1170"/>
          </w:tcPr>
          <w:p>
            <w:pPr>
              <w:spacing w:line="240" w:lineRule="auto" w:before="20" w:after="20"/>
            </w:pPr>
            <w:r/>
            <w:r>
              <w:rPr>
                <w:rFonts w:ascii="Times New Roman" w:hAnsi="Times New Roman"/>
                <w:b w:val="0"/>
                <w:i w:val="0"/>
                <w:sz w:val="18"/>
              </w:rPr>
              <w:t>0.015</w:t>
            </w:r>
          </w:p>
        </w:tc>
        <w:tc>
          <w:tcPr>
            <w:tcW w:type="dxa" w:w="1170"/>
          </w:tcPr>
          <w:p>
            <w:pPr>
              <w:spacing w:line="240" w:lineRule="auto" w:before="20" w:after="20"/>
            </w:pPr>
            <w:r/>
            <w:r>
              <w:rPr>
                <w:rFonts w:ascii="Times New Roman" w:hAnsi="Times New Roman"/>
                <w:b w:val="0"/>
                <w:i w:val="0"/>
                <w:sz w:val="18"/>
              </w:rPr>
              <w:t>0.092</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SLC2A1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0.41</w:t>
            </w:r>
          </w:p>
        </w:tc>
        <w:tc>
          <w:tcPr>
            <w:tcW w:type="dxa" w:w="1170"/>
          </w:tcPr>
          <w:p>
            <w:pPr>
              <w:spacing w:line="240" w:lineRule="auto" w:before="20" w:after="20"/>
            </w:pPr>
            <w:r/>
            <w:r>
              <w:rPr>
                <w:rFonts w:ascii="Times New Roman" w:hAnsi="Times New Roman"/>
                <w:b w:val="0"/>
                <w:i w:val="0"/>
                <w:sz w:val="18"/>
              </w:rPr>
              <w:t>0.008</w:t>
            </w:r>
          </w:p>
        </w:tc>
        <w:tc>
          <w:tcPr>
            <w:tcW w:type="dxa" w:w="1170"/>
          </w:tcPr>
          <w:p>
            <w:pPr>
              <w:spacing w:line="240" w:lineRule="auto" w:before="20" w:after="20"/>
            </w:pPr>
            <w:r/>
            <w:r>
              <w:rPr>
                <w:rFonts w:ascii="Times New Roman" w:hAnsi="Times New Roman"/>
                <w:b w:val="0"/>
                <w:i w:val="0"/>
                <w:sz w:val="18"/>
              </w:rPr>
              <w:t>0.078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CCDC160</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0.39</w:t>
            </w:r>
          </w:p>
        </w:tc>
        <w:tc>
          <w:tcPr>
            <w:tcW w:type="dxa" w:w="1170"/>
          </w:tcPr>
          <w:p>
            <w:pPr>
              <w:spacing w:line="240" w:lineRule="auto" w:before="20" w:after="20"/>
            </w:pPr>
            <w:r/>
            <w:r>
              <w:rPr>
                <w:rFonts w:ascii="Times New Roman" w:hAnsi="Times New Roman"/>
                <w:b w:val="0"/>
                <w:i w:val="0"/>
                <w:sz w:val="18"/>
              </w:rPr>
              <w:t>0.008</w:t>
            </w:r>
          </w:p>
        </w:tc>
        <w:tc>
          <w:tcPr>
            <w:tcW w:type="dxa" w:w="1170"/>
          </w:tcPr>
          <w:p>
            <w:pPr>
              <w:spacing w:line="240" w:lineRule="auto" w:before="20" w:after="20"/>
            </w:pPr>
            <w:r/>
            <w:r>
              <w:rPr>
                <w:rFonts w:ascii="Times New Roman" w:hAnsi="Times New Roman"/>
                <w:b w:val="0"/>
                <w:i w:val="0"/>
                <w:sz w:val="18"/>
              </w:rPr>
              <w:t>0.034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SRRM4</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0.38</w:t>
            </w:r>
          </w:p>
        </w:tc>
        <w:tc>
          <w:tcPr>
            <w:tcW w:type="dxa" w:w="1170"/>
          </w:tcPr>
          <w:p>
            <w:pPr>
              <w:spacing w:line="240" w:lineRule="auto" w:before="20" w:after="20"/>
            </w:pPr>
            <w:r/>
            <w:r>
              <w:rPr>
                <w:rFonts w:ascii="Times New Roman" w:hAnsi="Times New Roman"/>
                <w:b w:val="0"/>
                <w:i w:val="0"/>
                <w:sz w:val="18"/>
              </w:rPr>
              <w:t>0.016</w:t>
            </w:r>
          </w:p>
        </w:tc>
        <w:tc>
          <w:tcPr>
            <w:tcW w:type="dxa" w:w="1170"/>
          </w:tcPr>
          <w:p>
            <w:pPr>
              <w:spacing w:line="240" w:lineRule="auto" w:before="20" w:after="20"/>
            </w:pPr>
            <w:r/>
            <w:r>
              <w:rPr>
                <w:rFonts w:ascii="Times New Roman" w:hAnsi="Times New Roman"/>
                <w:b w:val="0"/>
                <w:i w:val="0"/>
                <w:sz w:val="18"/>
              </w:rPr>
              <w:t>0.080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VIP</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0.26</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WDR81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0.25</w:t>
            </w:r>
          </w:p>
        </w:tc>
        <w:tc>
          <w:tcPr>
            <w:tcW w:type="dxa" w:w="1170"/>
          </w:tcPr>
          <w:p>
            <w:pPr>
              <w:spacing w:line="240" w:lineRule="auto" w:before="20" w:after="20"/>
            </w:pPr>
            <w:r/>
            <w:r>
              <w:rPr>
                <w:rFonts w:ascii="Times New Roman" w:hAnsi="Times New Roman"/>
                <w:b w:val="0"/>
                <w:i w:val="0"/>
                <w:sz w:val="18"/>
              </w:rPr>
              <w:t>0.010</w:t>
            </w:r>
          </w:p>
        </w:tc>
        <w:tc>
          <w:tcPr>
            <w:tcW w:type="dxa" w:w="1170"/>
          </w:tcPr>
          <w:p>
            <w:pPr>
              <w:spacing w:line="240" w:lineRule="auto" w:before="20" w:after="20"/>
            </w:pPr>
            <w:r/>
            <w:r>
              <w:rPr>
                <w:rFonts w:ascii="Times New Roman" w:hAnsi="Times New Roman"/>
                <w:b w:val="0"/>
                <w:i w:val="0"/>
                <w:sz w:val="18"/>
              </w:rPr>
              <w:t>0.044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ANKRD1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0.17</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ECEL1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0.17</w:t>
            </w:r>
          </w:p>
        </w:tc>
        <w:tc>
          <w:tcPr>
            <w:tcW w:type="dxa" w:w="1170"/>
          </w:tcPr>
          <w:p>
            <w:pPr>
              <w:spacing w:line="240" w:lineRule="auto" w:before="20" w:after="20"/>
            </w:pPr>
            <w:r/>
            <w:r>
              <w:rPr>
                <w:rFonts w:ascii="Times New Roman" w:hAnsi="Times New Roman"/>
                <w:b w:val="0"/>
                <w:i w:val="0"/>
                <w:sz w:val="18"/>
              </w:rPr>
              <w:t>0.016</w:t>
            </w:r>
          </w:p>
        </w:tc>
        <w:tc>
          <w:tcPr>
            <w:tcW w:type="dxa" w:w="1170"/>
          </w:tcPr>
          <w:p>
            <w:pPr>
              <w:spacing w:line="240" w:lineRule="auto" w:before="20" w:after="20"/>
            </w:pPr>
            <w:r/>
            <w:r>
              <w:rPr>
                <w:rFonts w:ascii="Times New Roman" w:hAnsi="Times New Roman"/>
                <w:b w:val="0"/>
                <w:i w:val="0"/>
                <w:sz w:val="18"/>
              </w:rPr>
              <w:t>0.129</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LNP1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0.17</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0.013</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ITPKC</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0.11</w:t>
            </w:r>
          </w:p>
        </w:tc>
        <w:tc>
          <w:tcPr>
            <w:tcW w:type="dxa" w:w="1170"/>
          </w:tcPr>
          <w:p>
            <w:pPr>
              <w:spacing w:line="240" w:lineRule="auto" w:before="20" w:after="20"/>
            </w:pPr>
            <w:r/>
            <w:r>
              <w:rPr>
                <w:rFonts w:ascii="Times New Roman" w:hAnsi="Times New Roman"/>
                <w:b w:val="0"/>
                <w:i w:val="0"/>
                <w:sz w:val="18"/>
              </w:rPr>
              <w:t>0.005</w:t>
            </w:r>
          </w:p>
        </w:tc>
        <w:tc>
          <w:tcPr>
            <w:tcW w:type="dxa" w:w="1170"/>
          </w:tcPr>
          <w:p>
            <w:pPr>
              <w:spacing w:line="240" w:lineRule="auto" w:before="20" w:after="20"/>
            </w:pPr>
            <w:r/>
            <w:r>
              <w:rPr>
                <w:rFonts w:ascii="Times New Roman" w:hAnsi="Times New Roman"/>
                <w:b w:val="0"/>
                <w:i w:val="0"/>
                <w:sz w:val="18"/>
              </w:rPr>
              <w:t>0.021</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0.11</w:t>
            </w:r>
          </w:p>
        </w:tc>
        <w:tc>
          <w:tcPr>
            <w:tcW w:type="dxa" w:w="1170"/>
          </w:tcPr>
          <w:p>
            <w:pPr>
              <w:spacing w:line="240" w:lineRule="auto" w:before="20" w:after="20"/>
            </w:pPr>
            <w:r/>
            <w:r>
              <w:rPr>
                <w:rFonts w:ascii="Times New Roman" w:hAnsi="Times New Roman"/>
                <w:b w:val="0"/>
                <w:i w:val="0"/>
                <w:sz w:val="18"/>
              </w:rPr>
              <w:t>0.011</w:t>
            </w:r>
          </w:p>
        </w:tc>
        <w:tc>
          <w:tcPr>
            <w:tcW w:type="dxa" w:w="1170"/>
          </w:tcPr>
          <w:p>
            <w:pPr>
              <w:spacing w:line="240" w:lineRule="auto" w:before="20" w:after="20"/>
            </w:pPr>
            <w:r/>
            <w:r>
              <w:rPr>
                <w:rFonts w:ascii="Times New Roman" w:hAnsi="Times New Roman"/>
                <w:b w:val="0"/>
                <w:i w:val="0"/>
                <w:sz w:val="18"/>
              </w:rPr>
              <w:t>0.049</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ANKRD13B</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0.08</w:t>
            </w:r>
          </w:p>
        </w:tc>
        <w:tc>
          <w:tcPr>
            <w:tcW w:type="dxa" w:w="1170"/>
          </w:tcPr>
          <w:p>
            <w:pPr>
              <w:spacing w:line="240" w:lineRule="auto" w:before="20" w:after="20"/>
            </w:pPr>
            <w:r/>
            <w:r>
              <w:rPr>
                <w:rFonts w:ascii="Times New Roman" w:hAnsi="Times New Roman"/>
                <w:b w:val="0"/>
                <w:i w:val="0"/>
                <w:sz w:val="18"/>
              </w:rPr>
              <w:t>0.007</w:t>
            </w:r>
          </w:p>
        </w:tc>
        <w:tc>
          <w:tcPr>
            <w:tcW w:type="dxa" w:w="1170"/>
          </w:tcPr>
          <w:p>
            <w:pPr>
              <w:spacing w:line="240" w:lineRule="auto" w:before="20" w:after="20"/>
            </w:pPr>
            <w:r/>
            <w:r>
              <w:rPr>
                <w:rFonts w:ascii="Times New Roman" w:hAnsi="Times New Roman"/>
                <w:b w:val="0"/>
                <w:i w:val="0"/>
                <w:sz w:val="18"/>
              </w:rPr>
              <w:t>0.014</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CTTN</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0.07</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0.022</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FLRT3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0.07</w:t>
            </w:r>
          </w:p>
        </w:tc>
        <w:tc>
          <w:tcPr>
            <w:tcW w:type="dxa" w:w="1170"/>
          </w:tcPr>
          <w:p>
            <w:pPr>
              <w:spacing w:line="240" w:lineRule="auto" w:before="20" w:after="20"/>
            </w:pPr>
            <w:r/>
            <w:r>
              <w:rPr>
                <w:rFonts w:ascii="Times New Roman" w:hAnsi="Times New Roman"/>
                <w:b w:val="0"/>
                <w:i w:val="0"/>
                <w:sz w:val="18"/>
              </w:rPr>
              <w:t>0.016</w:t>
            </w:r>
          </w:p>
        </w:tc>
        <w:tc>
          <w:tcPr>
            <w:tcW w:type="dxa" w:w="1170"/>
          </w:tcPr>
          <w:p>
            <w:pPr>
              <w:spacing w:line="240" w:lineRule="auto" w:before="20" w:after="20"/>
            </w:pPr>
            <w:r/>
            <w:r>
              <w:rPr>
                <w:rFonts w:ascii="Times New Roman" w:hAnsi="Times New Roman"/>
                <w:b w:val="0"/>
                <w:i w:val="0"/>
                <w:sz w:val="18"/>
              </w:rPr>
              <w:t>0.120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CHL1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0.06</w:t>
            </w:r>
          </w:p>
        </w:tc>
        <w:tc>
          <w:tcPr>
            <w:tcW w:type="dxa" w:w="1170"/>
          </w:tcPr>
          <w:p>
            <w:pPr>
              <w:spacing w:line="240" w:lineRule="auto" w:before="20" w:after="20"/>
            </w:pPr>
            <w:r/>
            <w:r>
              <w:rPr>
                <w:rFonts w:ascii="Times New Roman" w:hAnsi="Times New Roman"/>
                <w:b w:val="0"/>
                <w:i w:val="0"/>
                <w:sz w:val="18"/>
              </w:rPr>
              <w:t>0.020</w:t>
            </w:r>
          </w:p>
        </w:tc>
        <w:tc>
          <w:tcPr>
            <w:tcW w:type="dxa" w:w="1170"/>
          </w:tcPr>
          <w:p>
            <w:pPr>
              <w:spacing w:line="240" w:lineRule="auto" w:before="20" w:after="20"/>
            </w:pPr>
            <w:r/>
            <w:r>
              <w:rPr>
                <w:rFonts w:ascii="Times New Roman" w:hAnsi="Times New Roman"/>
                <w:b w:val="0"/>
                <w:i w:val="0"/>
                <w:sz w:val="18"/>
              </w:rPr>
              <w:t>0.120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0.05</w:t>
            </w:r>
          </w:p>
        </w:tc>
        <w:tc>
          <w:tcPr>
            <w:tcW w:type="dxa" w:w="1170"/>
          </w:tcPr>
          <w:p>
            <w:pPr>
              <w:spacing w:line="240" w:lineRule="auto" w:before="20" w:after="20"/>
            </w:pPr>
            <w:r/>
            <w:r>
              <w:rPr>
                <w:rFonts w:ascii="Times New Roman" w:hAnsi="Times New Roman"/>
                <w:b w:val="0"/>
                <w:i w:val="0"/>
                <w:sz w:val="18"/>
              </w:rPr>
              <w:t>0.006</w:t>
            </w:r>
          </w:p>
        </w:tc>
        <w:tc>
          <w:tcPr>
            <w:tcW w:type="dxa" w:w="1170"/>
          </w:tcPr>
          <w:p>
            <w:pPr>
              <w:spacing w:line="240" w:lineRule="auto" w:before="20" w:after="20"/>
            </w:pPr>
            <w:r/>
            <w:r>
              <w:rPr>
                <w:rFonts w:ascii="Times New Roman" w:hAnsi="Times New Roman"/>
                <w:b w:val="0"/>
                <w:i w:val="0"/>
                <w:sz w:val="18"/>
              </w:rPr>
              <w:t>0.128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FLNC</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0.04</w:t>
            </w:r>
          </w:p>
        </w:tc>
        <w:tc>
          <w:tcPr>
            <w:tcW w:type="dxa" w:w="1170"/>
          </w:tcPr>
          <w:p>
            <w:pPr>
              <w:spacing w:line="240" w:lineRule="auto" w:before="20" w:after="20"/>
            </w:pPr>
            <w:r/>
            <w:r>
              <w:rPr>
                <w:rFonts w:ascii="Times New Roman" w:hAnsi="Times New Roman"/>
                <w:b w:val="0"/>
                <w:i w:val="0"/>
                <w:sz w:val="18"/>
              </w:rPr>
              <w:t>0.020</w:t>
            </w:r>
          </w:p>
        </w:tc>
        <w:tc>
          <w:tcPr>
            <w:tcW w:type="dxa" w:w="1170"/>
          </w:tcPr>
          <w:p>
            <w:pPr>
              <w:spacing w:line="240" w:lineRule="auto" w:before="20" w:after="20"/>
            </w:pPr>
            <w:r/>
            <w:r>
              <w:rPr>
                <w:rFonts w:ascii="Times New Roman" w:hAnsi="Times New Roman"/>
                <w:b w:val="0"/>
                <w:i w:val="0"/>
                <w:sz w:val="18"/>
              </w:rPr>
              <w:t>0.340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RNF19B</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0.03</w:t>
            </w:r>
          </w:p>
        </w:tc>
        <w:tc>
          <w:tcPr>
            <w:tcW w:type="dxa" w:w="1170"/>
          </w:tcPr>
          <w:p>
            <w:pPr>
              <w:spacing w:line="240" w:lineRule="auto" w:before="20" w:after="20"/>
            </w:pPr>
            <w:r/>
            <w:r>
              <w:rPr>
                <w:rFonts w:ascii="Times New Roman" w:hAnsi="Times New Roman"/>
                <w:b w:val="0"/>
                <w:i w:val="0"/>
                <w:sz w:val="18"/>
              </w:rPr>
              <w:t>0.019</w:t>
            </w:r>
          </w:p>
        </w:tc>
        <w:tc>
          <w:tcPr>
            <w:tcW w:type="dxa" w:w="1170"/>
          </w:tcPr>
          <w:p>
            <w:pPr>
              <w:spacing w:line="240" w:lineRule="auto" w:before="20" w:after="20"/>
            </w:pPr>
            <w:r/>
            <w:r>
              <w:rPr>
                <w:rFonts w:ascii="Times New Roman" w:hAnsi="Times New Roman"/>
                <w:b w:val="0"/>
                <w:i w:val="0"/>
                <w:sz w:val="18"/>
              </w:rPr>
              <w:t>0.536</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AGRN</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0.053</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CRISP3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0.006</w:t>
            </w:r>
          </w:p>
        </w:tc>
        <w:tc>
          <w:tcPr>
            <w:tcW w:type="dxa" w:w="1170"/>
          </w:tcPr>
          <w:p>
            <w:pPr>
              <w:spacing w:line="240" w:lineRule="auto" w:before="20" w:after="20"/>
            </w:pPr>
            <w:r/>
            <w:r>
              <w:rPr>
                <w:rFonts w:ascii="Times New Roman" w:hAnsi="Times New Roman"/>
                <w:b w:val="0"/>
                <w:i w:val="0"/>
                <w:sz w:val="18"/>
              </w:rPr>
              <w:t>0.028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REG3B</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SERPINE1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0.006</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TNS3</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0.02</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0.01</w:t>
            </w:r>
          </w:p>
        </w:tc>
        <w:tc>
          <w:tcPr>
            <w:tcW w:type="dxa" w:w="1170"/>
          </w:tcPr>
          <w:p>
            <w:pPr>
              <w:spacing w:line="240" w:lineRule="auto" w:before="20" w:after="20"/>
            </w:pPr>
            <w:r/>
            <w:r>
              <w:rPr>
                <w:rFonts w:ascii="Times New Roman" w:hAnsi="Times New Roman"/>
                <w:b w:val="0"/>
                <w:i w:val="0"/>
                <w:sz w:val="18"/>
              </w:rPr>
              <w:t>0.013</w:t>
            </w:r>
          </w:p>
        </w:tc>
        <w:tc>
          <w:tcPr>
            <w:tcW w:type="dxa" w:w="1170"/>
          </w:tcPr>
          <w:p>
            <w:pPr>
              <w:spacing w:line="240" w:lineRule="auto" w:before="20" w:after="20"/>
            </w:pPr>
            <w:r/>
            <w:r>
              <w:rPr>
                <w:rFonts w:ascii="Times New Roman" w:hAnsi="Times New Roman"/>
                <w:b w:val="0"/>
                <w:i w:val="0"/>
                <w:sz w:val="18"/>
              </w:rPr>
              <w:t>0.058</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0.004</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NPY</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0.007</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RUBCN</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0.003</w:t>
            </w:r>
          </w:p>
        </w:tc>
        <w:tc>
          <w:tcPr>
            <w:tcW w:type="dxa" w:w="1170"/>
          </w:tcPr>
          <w:p>
            <w:pPr>
              <w:spacing w:line="240" w:lineRule="auto" w:before="20" w:after="20"/>
            </w:pPr>
            <w:r/>
            <w:r>
              <w:rPr>
                <w:rFonts w:ascii="Times New Roman" w:hAnsi="Times New Roman"/>
                <w:b w:val="0"/>
                <w:i w:val="0"/>
                <w:sz w:val="18"/>
              </w:rPr>
              <w:t>0.000</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VASH2</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0.012</w:t>
            </w:r>
          </w:p>
        </w:tc>
        <w:tc>
          <w:tcPr>
            <w:tcW w:type="dxa" w:w="1170"/>
          </w:tcPr>
          <w:p>
            <w:pPr>
              <w:spacing w:line="240" w:lineRule="auto" w:before="20" w:after="20"/>
            </w:pPr>
            <w:r/>
            <w:r>
              <w:rPr>
                <w:rFonts w:ascii="Times New Roman" w:hAnsi="Times New Roman"/>
                <w:b w:val="0"/>
                <w:i w:val="0"/>
                <w:sz w:val="18"/>
              </w:rPr>
              <w:t>0.105</w:t>
            </w:r>
          </w:p>
        </w:tc>
        <w:tc>
          <w:tcPr>
            <w:tcW w:type="dxa" w:w="1170"/>
          </w:tcPr>
          <w:p>
            <w:pPr>
              <w:spacing w:line="240" w:lineRule="auto" w:before="20" w:after="20"/>
            </w:pPr>
            <w:r/>
          </w:p>
        </w:tc>
        <w:tc>
          <w:tcPr>
            <w:tcW w:type="dxa" w:w="1170"/>
          </w:tcPr>
          <w:p>
            <w:pPr>
              <w:spacing w:line="240" w:lineRule="auto" w:before="20" w:after="20"/>
            </w:pPr>
            <w:r/>
          </w:p>
        </w:tc>
      </w:tr>
      <w:tr>
        <w:tc>
          <w:tcPr>
            <w:tcW w:type="dxa" w:w="1170"/>
          </w:tcPr>
          <w:p>
            <w:pPr>
              <w:spacing w:line="240" w:lineRule="auto" w:before="20" w:after="20"/>
            </w:pPr>
            <w:r/>
            <w:r>
              <w:rPr>
                <w:rFonts w:ascii="Times New Roman" w:hAnsi="Times New Roman"/>
                <w:b w:val="0"/>
                <w:i w:val="0"/>
                <w:sz w:val="18"/>
              </w:rPr>
              <w:t>WBP1L</w:t>
            </w:r>
          </w:p>
        </w:tc>
        <w:tc>
          <w:tcPr>
            <w:tcW w:type="dxa" w:w="1170"/>
          </w:tcPr>
          <w:p>
            <w:pPr>
              <w:spacing w:line="240" w:lineRule="auto" w:before="20" w:after="20"/>
            </w:pPr>
            <w:r/>
            <w:r>
              <w:rPr>
                <w:rFonts w:ascii="Times New Roman" w:hAnsi="Times New Roman"/>
                <w:b w:val="0"/>
                <w:i w:val="0"/>
                <w:sz w:val="18"/>
              </w:rPr>
              <w:t>2</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0.005</w:t>
            </w:r>
          </w:p>
        </w:tc>
        <w:tc>
          <w:tcPr>
            <w:tcW w:type="dxa" w:w="1170"/>
          </w:tcPr>
          <w:p>
            <w:pPr>
              <w:spacing w:line="240" w:lineRule="auto" w:before="20" w:after="20"/>
            </w:pPr>
            <w:r/>
            <w:r>
              <w:rPr>
                <w:rFonts w:ascii="Times New Roman" w:hAnsi="Times New Roman"/>
                <w:b w:val="0"/>
                <w:i w:val="0"/>
                <w:sz w:val="18"/>
              </w:rPr>
              <w:t>0.025</w:t>
            </w:r>
          </w:p>
        </w:tc>
        <w:tc>
          <w:tcPr>
            <w:tcW w:type="dxa" w:w="1170"/>
          </w:tcPr>
          <w:p>
            <w:pPr>
              <w:spacing w:line="240" w:lineRule="auto" w:before="20" w:after="20"/>
            </w:pPr>
            <w:r/>
          </w:p>
        </w:tc>
        <w:tc>
          <w:tcPr>
            <w:tcW w:type="dxa" w:w="1170"/>
          </w:tcPr>
          <w:p>
            <w:pPr>
              <w:spacing w:line="240" w:lineRule="auto" w:before="20" w:after="20"/>
            </w:pPr>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present in the 4,055-gene Stouffer core.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on the dorsal root ganglion–spinal axis: non-predictive incision translation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