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DRG–spinal-axis targets remain undefined. We reanalysed 12 public GEO datasets (four nerve-injury, one incision), framing the axis as a nerve-injury-associated response and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12 GEO datasets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4,055-gene core emerged under fixed effects but only 1,008 persisted under random effects. Gene-set tests confirmed a neuroimmune/DAM-like programme (q = 0.003 each); OXPHOS did not survive random-effects correction (q = 0.31). A non-circular test showed the nerve-injury signature does not predict incision (46.2% vs 47.1%, p = 0.14). Spatial mapping placed 17/33 hubs in the dorsal horn; the human blood miRNA layer was negative (p = 0.51). Full-library docking of 3,085 drugs against the 10 tractable targets found none clearing both the full-library and size-independent enrichment filters (ADRA2A 0.618 → 0.532, p = 0.118); the ion-channel class was undockable, so the null deliberately cannot speak to those targets.</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that is not shown by this meta-analysis to be CPSP-specific on the available evidence (this negative inference rests on a single, heterogeneous incision arm — GSE267799 pools two incision models — and is provisional), because the nerve-injury signature does not predict that arm (46.2% vs 47.1% background, p = 0.14);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DRG–spinal axis.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single peripheral–central axis.</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DRG–spinal axis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DRG–spinal axis computationally across 12 curated GEO datasets spanning incision, nerve-injury and spared-nerve-injury (SNI) models in rat, mouse and human.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6,869 at meta_FDR &lt; 0.05 and a core signature of 4,055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54.3%) and collapse (retention 91.4%)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≈39% across all genes) but substantial within the candidate-hub subset — median I² 72.8% across the 35 hubs, 18/35 retaining FDR_RE &lt; 0.05 — so fixed-effect gene-level claims are most conditional exactly where they matter most; non-negligible even at the whole-genome level: median τ² = 0.232 and median I² = 38.8%, with 41.9% of genes showing I² &gt; 50% and 68.1% showing τ² &gt; 0. Under random effects the core (FDR_RE &lt; 0.05 and consistency ≥ 0.8) shrank to 1,008 genes, 24.9% of the fixed-effect core. The fixed-effect core is therefore reported as the primary result and the random-effects core as its sensitivity bound; gene-level conclusions drawn from the 4,055-gene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72.8% and 18/35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+4.94, 100% up, permutation q = 0.003), DAM-like neuroimmune programme (+3.88, 93.8% up, q = 0.003) and complement (+3.44, 94.4% up, q = 0.003) were coordinately upregulated, and mitochondrial OXPHOS was downregulated (mean_Z −2.37, 73.7% of members down, q = 0.020).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reported q = 0.003 for neuroinflammation, DAM-like and complement is the BH-adjusted value of this 1/2001 permutation floor and is therefore an upper bound on the per-set false-discovery rate rather than a precise calibrated q; because BH correction across dependent sets is itself conservative, 0.003 is best read as 'significant beyond the resolution of 2,000 permutations' rather than as a calibrated q. Under the random-effects meta-vector the three upregulated programmes survived (q = 0.003 each) but OXPHOS did not (q = 0.31), so energy-metabolism suppression is reported as a fixed-effect finding that is not reliable under between-contrast heterogeneity. Because this is a bulk-tissue gene-set signal, it cannot be attributed specifically to resident microglia versus infiltrating macrophages or other neuroimmune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2,202 (54.3%) overlapped the primary 4,055-gene core. The 54.3% figure is the conservative, threshold-strict overlap: it is the primary core ∩ bulk-significant core, where the bulk core applies consistency ≥ 0.8. Within that 2,202 overlap, 1,707 genes are concordant across all four bulk contrasts (pure 4/4) and 495 are concordant in exactly 3 of 4 (K = 3); the overlap is therefore more precisely described as ≥3/4 concordance, not as strict 4/4. When the bulk consistency gate is relaxed from ≥0.8 to ≥3/4 — the largest achievable majority concordance for four contrasts, versus ≥5/6 ≈ 0.83 for six — the overlap rises to 3,587/4,055 = 88.5%, recovering 1,385 of the 1,853 genes that appear lost under the stricter gate. Of the 4,055 primary-core genes, 313 lack any bulk-study support: 211 are present in the four-bulk file but not bulk-significant (bulk meta_FDR ≥ 0.05) and 102 are absent from the four-bulk file entirely (never evaluated by the bulk analysis); the remaining 468 fall outside even the relaxed ≥3/4 overlap.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53.9% (7,751/14,390 shared genes; Wilson 95% CI 53.0–54.7%) overall and 69.5% (2,473/3,556; Wilson 95% CI 68.0–71.0%) when restricted to the 4,055-gene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genes shared across the six contrasts (3,556 of which fall in the 4,055-gene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 / 3,556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(6,779/14,390; 95% CI 46.3–47.9%), and among the 4,899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46.2% (2,266/4,899; 95% CI 44.9–47.7%)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−0.9 pp versus background, permutation p = 0.14. Restricting to nerve-injury-only consistency also collapses the apparent core translation from 69.5% to 53.8% (2,318/4,306; 95% CI 52.3–55.3%). The conclusion is stronger, not weaker, than the original formulation: knowing that a gene is strongly and consistently regulated by nerve injury carries essentially no information about its direction in the incision model, and roughly half of such genes move in the opposite direction. Within the reported 4,055-gene core, 1,083 of 3,556 genes with incision measurements are incision-discordant. A nerve-injury-only core (FDR &lt; 0.05 and nerve-injury consistency ≥ 0.8, incision excluded) comprised 5,412 genes under fixed effects and 3,099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32/35 (91%)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GSE212311 CCI, n = 6; and the two same-animal GSE241361 folds — mouse DRG AUC 1.000, n = 9; spinal cord AUC 1.000, n = 9 — which are excluded from the cross-animal mean); the two genuinely independent cross-animal nerve-injury folds are GSE278227 (n = 28) and GSE212311 (n = 6), both at AUC 1.000, and the candidate nerve-injury-enriched — not universal — conclusion rests on this pattern rather than on a quoted cross-animal mean. GSE212311 is a 3-versus-3 design (n = 6); under complete class separation its exact two-sided Mann–Whitney p is 0.10 (one-sided 0.05), the minimum attainable for that sample size, so its AUC 1.0 is the statistical floor of the design rather than independent evidence, and the cross-animal nerve-injury-enriched conclusion rests principally on GSE278227 (n = 28).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139–164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reproducibly recovered as a structurally-tractable set, not merely asserted by structural tractability.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(n=60), neither LSS+DS vs LSS (min p = 1.3e-4, FDR 0.128) nor association with %nprs20delta (min p = 8.5e-4, FDR 0.556) reached FDR significance; nominal hits clustered in immune miRNAs (miR-99b/let-7e/miR-125a polycistron; miR-146a-3p; miR-155-5p). The indirect hub-mRNA chain was detectable, miRDB v6.0 predicted 3,511 hub→miRNA targeting relationships spanning 33 of 35 hubs, of which 752 were high-confidence (score ≥ 80) and 328 of those pairs involved human-plasma-detectable miRNAs (253 distinct plasma-detectable miRNAs), but the set-level permutation test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DRG–spinal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(six-input Stouffer FDR 7.1×10⁻¹⁴;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and TNIK (p = 7.3e-5; 0.852 → 0.898);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(4.84), yet under the random-effects meta-analysis only 4 of the 10 targets retained FDR &lt; 0.05 (SLC2A1 q = 0.0000, ADRA2A 0.039, GALNS 0.025, TNIK 0.021),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4.84</w:t>
            </w:r>
          </w:p>
        </w:tc>
        <w:tc>
          <w:tcPr>
            <w:tcW w:type="dxa" w:w="1337"/>
          </w:tcPr>
          <w:p>
            <w:pPr>
              <w:spacing w:line="240" w:lineRule="auto" w:before="20" w:after="20"/>
            </w:pPr>
            <w:r/>
            <w:r>
              <w:rPr>
                <w:rFonts w:ascii="Times New Roman" w:hAnsi="Times New Roman"/>
                <w:b w:val="0"/>
                <w:i w:val="0"/>
                <w:sz w:val="18"/>
              </w:rPr>
              <w:t>1.5e-5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0.039</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α2A adrenergic receptor; established descending anti-nociception</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6.09</w:t>
            </w:r>
          </w:p>
        </w:tc>
        <w:tc>
          <w:tcPr>
            <w:tcW w:type="dxa" w:w="1337"/>
          </w:tcPr>
          <w:p>
            <w:pPr>
              <w:spacing w:line="240" w:lineRule="auto" w:before="20" w:after="20"/>
            </w:pPr>
            <w:r/>
            <w:r>
              <w:rPr>
                <w:rFonts w:ascii="Times New Roman" w:hAnsi="Times New Roman"/>
                <w:b w:val="0"/>
                <w:i w:val="0"/>
                <w:sz w:val="18"/>
              </w:rPr>
              <w:t>3.9e-8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0.126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2.9e-8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4.3e-13</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0.021</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3.2e-10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0.188</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3.7e-10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0.060</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6.83</w:t>
            </w:r>
          </w:p>
        </w:tc>
        <w:tc>
          <w:tcPr>
            <w:tcW w:type="dxa" w:w="1337"/>
          </w:tcPr>
          <w:p>
            <w:pPr>
              <w:spacing w:line="240" w:lineRule="auto" w:before="20" w:after="20"/>
            </w:pPr>
            <w:r/>
            <w:r>
              <w:rPr>
                <w:rFonts w:ascii="Times New Roman" w:hAnsi="Times New Roman"/>
                <w:b w:val="0"/>
                <w:i w:val="0"/>
                <w:sz w:val="18"/>
              </w:rPr>
              <w:t>6.3e-10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0.0000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5.79</w:t>
            </w:r>
          </w:p>
        </w:tc>
        <w:tc>
          <w:tcPr>
            <w:tcW w:type="dxa" w:w="1337"/>
          </w:tcPr>
          <w:p>
            <w:pPr>
              <w:spacing w:line="240" w:lineRule="auto" w:before="20" w:after="20"/>
            </w:pPr>
            <w:r/>
            <w:r>
              <w:rPr>
                <w:rFonts w:ascii="Times New Roman" w:hAnsi="Times New Roman"/>
                <w:b w:val="0"/>
                <w:i w:val="0"/>
                <w:sz w:val="18"/>
              </w:rPr>
              <w:t>1.8e-7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0.025</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6.00</w:t>
            </w:r>
          </w:p>
        </w:tc>
        <w:tc>
          <w:tcPr>
            <w:tcW w:type="dxa" w:w="1337"/>
          </w:tcPr>
          <w:p>
            <w:pPr>
              <w:spacing w:line="240" w:lineRule="auto" w:before="20" w:after="20"/>
            </w:pPr>
            <w:r/>
            <w:r>
              <w:rPr>
                <w:rFonts w:ascii="Times New Roman" w:hAnsi="Times New Roman"/>
                <w:b w:val="0"/>
                <w:i w:val="0"/>
                <w:sz w:val="18"/>
              </w:rPr>
              <w:t>6.4e-8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0.186</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7.18</w:t>
            </w:r>
          </w:p>
        </w:tc>
        <w:tc>
          <w:tcPr>
            <w:tcW w:type="dxa" w:w="1337"/>
          </w:tcPr>
          <w:p>
            <w:pPr>
              <w:spacing w:line="240" w:lineRule="auto" w:before="20" w:after="20"/>
            </w:pPr>
            <w:r/>
            <w:r>
              <w:rPr>
                <w:rFonts w:ascii="Times New Roman" w:hAnsi="Times New Roman"/>
                <w:b w:val="0"/>
                <w:i w:val="0"/>
                <w:sz w:val="18"/>
              </w:rPr>
              <w:t>8.1e-11</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0.296</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DRG–spinal axis is recurrently characterized by a neuroimmune–metabolic programme that is best described as a nerve-injury-associated transcriptional response rather than a CPSP-specific pathway on the available evidence (this inference rests on a single, heterogeneous incision arm and is provisional): coordinated DAM-like neuroimmune and complement activation²¹,²⁴,²⁵ (the DAM programme was first defined in neurodegeneration by Keren-Shaul et al.²⁶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al.²⁷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did not survive random-effects correction, q = 0.31), consistent with the growing literature on microglial–complement and energy-metabolism dysfunction in chronic and neuropathic pain²⁴,²⁵,²⁸,²⁹,³⁰,³¹, and with prior multi-tissue CPSP resources including a DRG-containing dataset⁶ and a spinal-cord neuropathic-pain atlas⁷. Chemokine signalling at the spinal dorsal horn, in particular the CXCL12/SDF-1 axis, has also been implicated in nerve-injury and postsurgical pain models³²,³³, reinforcing the neuroimmune component of the axis. The nerve-injury signature does not predict incision direction (46.2% versus a 47.1% background; difference −0.9 pp, p = 0.14),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91% overlapping the meta core) is not a list of "new" genes, ATF3, SPRR1A, NPY, VIP and others are well-established DRG injury markers⁴,⁵,³⁴.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narrative³⁵,³⁶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MAPK14, AXL and TFE3 have the strongest prior biological rationale among the tractable targets, but on our own pre-specified criteria none of them can be advanced: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4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AXL, TNIK and ACVR1,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DRG–spinal axis is a nerve-injury-associated, heterogeneity-sensitive transcriptional response rather than a CPSP-specific pathway on the available evidence (this conclusion rests on a single, heterogeneous incision arm and is provisional): its gene-set membership is highly sensitive to how the individual studies are combined (an honest random-effects sensitivity analysis shrinks the core from 4,055 to 1,008 genes, median I² = 38.8%), and the nerve-injury signature does not predict the single surgical-incision arm (46.2% vs 47.1% background, p = 0.14). A prospectively specified, full-library docking screen of the FDA-approved catalogue found no target that cleared both the full-library and size-independent enrichment filters (ADRA2A Tier-1 AUC 0.618 collapses to 0.532, p = 0.118; events-per-parameter ≤ 2 for all ChEMBL-annotated positive controls), so the honest docking null is a methodological boundary, not a false lead.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IL/CL;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2,202/4,055 = 54.3%, the primary core ∩ bulk-significant core under the bulk core's own consistency ≥ 0.8 gate (of which 1,707 are pure 4/4 and 495 are K = 3 only); applying the relaxed ≥3/4 concordance gate to the four-contrast set gives 3,587/4,055 = 88.5%, recovering 1,385 of the 1,853 genes outside the stricter overlap, with 313 primary-core genes lacking any bulk-study support (211 present-but-non-significant plus 102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The GEO accession pools two incision-type postoperative pain models — skin/muscle incision and retraction (SMIR; n = 60 across DRG/muscle/skin) and lateral paw incision (LPI; n = 48) — and the 'chronic' contrast merges day-10 and day-32 samples (36 chronic vs 24 baseline at 0d). Harvest days are in fact annotated in the deposited metadata (0d, 6h, 2d, 10d, 32d). Because SMIR mechanical hypersensitivity has been reported to dissipate by postoperative day 32 (Flatters et al., 2008³⁷), the day-32 SMIR samples represent a resolving rather than established-chronic phenotype; their inclusion dilutes the injury signal and makes the incision contrast conservative.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al.²⁶.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139–164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DeLong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26.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27.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28.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29.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30.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31.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32.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33.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34.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35.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36.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37.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v1.2.0 (README + CITATION.cff + MIT LICENSE + reproduction scripts), and the derived tables enumerated below and in MANIFEST.sha256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(v1.2.0; integrity verifiable via MANIFEST.sha256 and the accompanying CITATION.cff);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+4.94, 100% of members up, q = 0.003), DAM microglia (+3.88, 93.8% up, q = 0.003) and complement (+3.44, 94.4% up, q = 0.003). Mitochondrial OXPHOS is downregulated (mean_Z −2.37, 73.7% of members down; q = 0.020, blue) under fixed effects but does not survive set-level BH when the same sets are recomputed on the random-effects meta-vector (q = 0.31). Bars are coloured by permutation significance (red = perm p ≤ 0.005, blue = perm p ≤ 0.05, grey = not significant). Ion-channel families (Nav_SCN q = 0.44; TRP q = 0.89; CACNA q = 0.85; Kv/KCNQ q = 0.85) show no coordinate change (grey), the key negative finding indicating a neuroimmune/metabolic, not ion-channel, axis.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Cross-animal held-out datasets (three folds) reach leakage-controlled AUC 1.000 for GSE278227 (CCI rat DRG, n = 28) and GSE212311 (CCI, n = 6); the incision fold (GSE267799, n = 20) falls to leakage-controlled 0.677 [0.374, 0.940], the cross-animal LODO floor that includes chance. The two GSE241361 folds (mouse DRG AUC 1.000 [1.000, 1.000], n = 9; spinal cord AUC 1.000 [1.000, 1.000], n = 9, leakage-controlled) come from the same animals and are plotted separately, excluded from the cross-animal mean. Three folds show degenerate DeLong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6,869 at meta_FDR &lt; 0.05; core = 4,055 (meta_FDR &lt; 0.05 and consistency ≥ 0.8). Random-effects sensitivity (DerSimonian–Laird; median τ² = 0.232, median I² = 38.8%): core = 1,008 (24.9% of the fixed-effect core). Collapse-sensitivity (5 inputs): core 4,294, retained 3,707/4,055 = 91.4%. Bulk-only sensitivity (4 bulk studies, translatome excluded; same union-K≥3 definition as primary): core 2,512; overlap with primary core 2,202/4,055 = 54.3% under the bulk core's consistency ≥ 0.8 gate (1,707 pure 4/4, 495 K = 3 only), rising to 3,587/4,055 = 88.5% under the threshold-relaxed ≥3/4 gate; of the 4,055 primary-core genes, 313 lack any bulk-study support (211 present-but-non-significant in the four-bulk file plus 102 absent from it), and 468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4,055-gene Stouffer meta signature (the in_meta_core boolean in P3_hub_genes.csv, rendered here as Yes/No). Source: P3_hub_genes.csv. Bootstrap stability caveat: a 200-resample bootstrap of the 72 pooled samples (P3_hub_bootstrap.csv) showed low per-gene recovery (max 15.5%, 0/35 at a &gt;=0.9 threshold; LASSO contributed no selections under resampling),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No</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No</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c>
          <w:tcPr>
            <w:tcW w:type="dxa" w:w="1560"/>
          </w:tcPr>
          <w:p>
            <w:pPr>
              <w:spacing w:line="240" w:lineRule="auto" w:before="20" w:after="20"/>
            </w:pPr>
            <w:r/>
            <w:r>
              <w:rPr>
                <w:rFonts w:ascii="Times New Roman" w:hAnsi="Times New Roman"/>
                <w:b w:val="0"/>
                <w:i w:val="0"/>
                <w:sz w:val="17"/>
              </w:rPr>
              <w:t>Yes</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No</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