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sz w:val="28"/>
        </w:rPr>
        <w:t>Conserved nerve-injury-associated transcriptional response of the dorsal root ganglion: spinal-cord localisation and an honest repurposing null</w:t>
      </w:r>
    </w:p>
    <w:p>
      <w:pPr>
        <w:spacing w:before="0" w:after="40"/>
      </w:pPr>
      <w:r>
        <w:rPr>
          <w:rFonts w:ascii="Times New Roman" w:hAnsi="Times New Roman"/>
          <w:b/>
          <w:i w:val="0"/>
          <w:sz w:val="22"/>
        </w:rPr>
        <w:t>Yang Y</w:t>
      </w:r>
      <w:r>
        <w:rPr>
          <w:rFonts w:ascii="Times New Roman" w:hAnsi="Times New Roman"/>
          <w:b w:val="0"/>
          <w:i w:val="0"/>
          <w:sz w:val="22"/>
        </w:rPr>
        <w:t>¹\*</w:t>
      </w:r>
    </w:p>
    <w:p>
      <w:pPr>
        <w:spacing w:before="0" w:after="40"/>
      </w:pPr>
      <w:r>
        <w:rPr>
          <w:rFonts w:ascii="Times New Roman" w:hAnsi="Times New Roman"/>
          <w:b w:val="0"/>
          <w:i w:val="0"/>
          <w:sz w:val="22"/>
        </w:rPr>
        <w:t>¹ The Second Affiliated Hospital of Fujian University of Traditional Chinese Medicine, Fuzhou, Fujian 350003, China</w:t>
      </w:r>
    </w:p>
    <w:p>
      <w:pPr>
        <w:spacing w:before="0" w:after="40"/>
      </w:pPr>
      <w:r>
        <w:rPr>
          <w:rFonts w:ascii="Times New Roman" w:hAnsi="Times New Roman"/>
          <w:b w:val="0"/>
          <w:i w:val="0"/>
          <w:sz w:val="22"/>
        </w:rPr>
        <w:t>\* Corresponding author. ORCID: 0009-0004-9698-6552. Email: [960856791@qq.com](mailto:960856791@qq.com)</w:t>
      </w:r>
    </w:p>
    <w:p>
      <w:pPr>
        <w:spacing w:before="160" w:after="80"/>
      </w:pPr>
      <w:r>
        <w:rPr>
          <w:rFonts w:ascii="Times New Roman" w:hAnsi="Times New Roman"/>
          <w:b/>
          <w:i w:val="0"/>
          <w:sz w:val="24"/>
        </w:rPr>
        <w:t>Abstract</w:t>
      </w:r>
    </w:p>
    <w:p>
      <w:pPr>
        <w:spacing w:before="0" w:after="40"/>
      </w:pPr>
      <w:r>
        <w:rPr>
          <w:rFonts w:ascii="Times New Roman" w:hAnsi="Times New Roman"/>
          <w:b w:val="0"/>
          <w:i w:val="0"/>
          <w:sz w:val="22"/>
        </w:rPr>
        <w:t>Chronic postsurgical pain affects 10–50% of surgical patients, yet dorsal root ganglion (DRG)-centred nerve-injury targets and their spinal-cord localisation remain incompletely defined. We reanalysed 12 GEO accessions (five transcriptomic studies across six contrasts, plus seven single-cell, spatial, miRNA and human-plasma layers) and treated the incision arm as a held-out translation test. Integrating the five transcriptomic studies by Stouffer meta-analysis with real-sample-size weighting, set-level Benjamini–Hochberg gene-set tests, leakage-controlled dual-machine-learning hub identification (leave-one-dataset-out), and a prospectively specified full-library (3,085-drug) docking screen with reverse positive controls, we identified a 2,750-gene core under fixed effects, of which only 508 (18.5%) persisted under random effects (median I² 41.8%). Gene-set tests recapitulated a coordinated neuroimmune–complement and DAM-like programme together with mitochondrial OXPHOS downregulation, all surviving set-level BH correction under both fixed and random effects (q = 0.0022 each). A non-circular test showed the nerve-injury signature did not predict the incision arm (43.3% vs 47.1% background; permutation p = 0.0002, a significant depletion). Spatial mapping placed 17 of 33 hubs in the dorsal horn, and the human blood miRNA layer was negative (p = 0.51). Full-library docking of 3,085 drugs against 10 tractable targets found none clearing both the full-library and size-independent enrichment filters (ADRA2A 0.618 → 0.532, p = 0.118); the ion-channel class was undockable, so the null cannot speak to those targets. The axis is a nerve-injury-associated, heterogeneity-sensitive response that this meta-analysis does not establish to be CPSP-specific on available evidence (provisional, resting on a single heterogeneous incision arm pooling two models). We report the honestly negative human layer and docking screen as a methodological boundary rather than a false lead.</w:t>
      </w:r>
    </w:p>
    <w:p>
      <w:pPr>
        <w:spacing w:before="160" w:after="80"/>
      </w:pPr>
      <w:r>
        <w:rPr>
          <w:rFonts w:ascii="Times New Roman" w:hAnsi="Times New Roman"/>
          <w:b/>
          <w:i w:val="0"/>
          <w:sz w:val="24"/>
        </w:rPr>
        <w:t>Author Summary</w:t>
      </w:r>
    </w:p>
    <w:p>
      <w:pPr>
        <w:spacing w:before="0" w:after="40"/>
      </w:pPr>
      <w:r>
        <w:rPr>
          <w:rFonts w:ascii="Times New Roman" w:hAnsi="Times New Roman"/>
          <w:b w:val="0"/>
          <w:i w:val="0"/>
          <w:sz w:val="22"/>
        </w:rPr>
        <w:t>Chronic postsurgical pain (CPSP) affects a large fraction of surgical patients but its biological basis is still poorly understood, especially along the nerve pathway that links the spinal cord with the dorsal root ganglion (DRG). We reanalysed 12 publicly available gene-expression datasets covering nerve-injury and surgical-incision pain models to build an integrated map of how the injured nerve environment reshapes gene activity across this DRG-centred nerve-injury axis with spinal-cord localisation. Because four of the five axis studies are nerve-injury models and only one is a surgical-incision model, we frame the axis as a nerve-injury-associated transcriptional response rather than a CPSP-specific mechanism, and we treat the incision arm separately as a translation test. We identified a consistent programme (descriptive) dominated by immune activation and metabolic change, but we also uncovered important boundaries: the signature was highly sensitive to how the individual studies were combined, and it did not carry over to the surgical-incision setting. We then screened the entire catalogue of FDA-approved drugs against candidate targets and, using rigorous controls, found no drug target that held up reliably, a deliberately honest negative result, reported as a methodological boundary rather than a false lead. All analysis code and processed data are released publicly so that the findings can be fully reproduced. Rather than claiming a new drug, we provide a transparent, reusable benchmark that shows where current repurposing approaches in this field are fragile, helping future studies avoid over-interpretation.</w:t>
      </w:r>
    </w:p>
    <w:p>
      <w:pPr>
        <w:spacing w:before="0" w:after="40"/>
      </w:pPr>
      <w:r>
        <w:rPr>
          <w:rFonts w:ascii="Times New Roman" w:hAnsi="Times New Roman"/>
          <w:b/>
          <w:i w:val="0"/>
          <w:sz w:val="22"/>
        </w:rPr>
        <w:t>Keywords:</w:t>
      </w:r>
      <w:r>
        <w:rPr>
          <w:rFonts w:ascii="Times New Roman" w:hAnsi="Times New Roman"/>
          <w:b w:val="0"/>
          <w:i w:val="0"/>
          <w:sz w:val="22"/>
        </w:rPr>
        <w:t xml:space="preserve"> chronic postsurgical pain, dorsal root ganglion, spinal cord, transcriptome meta-analysis, drug repurposing, single-cell transcriptomics, spatial transcriptomics, negative results</w:t>
      </w:r>
    </w:p>
    <w:p>
      <w:pPr>
        <w:spacing w:before="160" w:after="80"/>
      </w:pPr>
      <w:r>
        <w:rPr>
          <w:rFonts w:ascii="Times New Roman" w:hAnsi="Times New Roman"/>
          <w:b/>
          <w:i w:val="0"/>
          <w:sz w:val="24"/>
        </w:rPr>
        <w:t>Introduction</w:t>
      </w:r>
    </w:p>
    <w:p>
      <w:pPr>
        <w:spacing w:before="0" w:after="40"/>
      </w:pPr>
      <w:r>
        <w:rPr>
          <w:rFonts w:ascii="Times New Roman" w:hAnsi="Times New Roman"/>
          <w:b w:val="0"/>
          <w:i w:val="0"/>
          <w:sz w:val="22"/>
        </w:rPr>
        <w:t>Chronic postsurgical pain (CPSP) develops in 10–50% of surgical patients and persists beyond the normal healing window, imposing a substantial and under-served burden on quality of life and healthcare cost¹. Current pharmacotherapy, gabapentinoids, NSAIDs and opioids, was largely validated outside the surgical-incision context (opioid peptides and receptors act within the DRG and spinal cord during inflammatory and neuropathic states²), and none specifically targets the transition from acute postoperative pain to its chronic state. Because the peripheral injury signal must reach and re-shape the central pain matrix, mechanistic investigation of CPSP benefits from viewing the dorsal root ganglion (DRG) and spinal cord not as separate tissues but as a linked peripheral–central pathway.</w:t>
      </w:r>
    </w:p>
    <w:p>
      <w:pPr>
        <w:spacing w:before="0" w:after="40"/>
      </w:pPr>
      <w:r>
        <w:rPr>
          <w:rFonts w:ascii="Times New Roman" w:hAnsi="Times New Roman"/>
          <w:b w:val="0"/>
          <w:i w:val="0"/>
          <w:sz w:val="22"/>
        </w:rPr>
        <w:t>Two gaps limit the field. First, most transcriptomic studies of CPSP remain single-tissue and single-model: the closest CPSP work captures only the central spinal pole and lacks the DRG partner³, whereas DRG-centred studies cluster in nerve-injury or constriction models rather than surgical incision⁴,⁵. Recent resources now add a multi-tissue CPSP dataset that includes DRG⁶ and a spinal-cord neuropathic-pain atlas⁷, but an integrative DRG-centred, spinal-localised meta-analysis is still absent. Second, the virtual-screening repurposing literature frequently reports Tier-1 enrichment without a prospectively specified full-library breadth analysis, reverse positive controls, or molecular-weight confounder correction⁸,⁹, creating a double-dipping risk in which a target looks promising only because the screened subset was small and biased.</w:t>
      </w:r>
    </w:p>
    <w:p>
      <w:pPr>
        <w:spacing w:before="0" w:after="40"/>
      </w:pPr>
      <w:r>
        <w:rPr>
          <w:rFonts w:ascii="Times New Roman" w:hAnsi="Times New Roman"/>
          <w:b w:val="0"/>
          <w:i w:val="0"/>
          <w:sz w:val="22"/>
        </w:rPr>
        <w:t>Here we dissect the DRG-centred nerve-injury axis with spinal-cord localisation across 12 curated GEO accessions spanning incision, nerve-injury and spared-nerve-injury (SNI) models in rat, mouse and human; of these, five transcriptomic studies (six contrasts) inform the Stouffer meta-analysis, and seven single-cell/spatial/miRNA datasets provide localisation and the human plasma layer. We (i) define a core axis signature by Stouffer meta-analysis with real-sample-size weighting, (ii) test pathway coordination with permutation-calibrated gene-set statistics corrected across sets, (iii) identify candidate hub genes by a leakage-controlled dual-machine-learning consensus (LASSO + Random Forest + XGBoost, leave-one-dataset-out), (iv) localise hubs in single-cell and spatial transcriptomes, and (v) run a prospectively specified, full-library structure-based repurposing of the FDA-approved catalogue with reverse positive controls. We report all results transparently, including an honestly negative human layer and an honestly negative full-library docking screen, and frame the work explicitly as hypothesis-generating rather than causal. We note at the outset that four of the five DRG-axis studies are nerve-injury models and that only one incision model is available, so the axis is framed as a nerve-injury-associated transcriptional response, not a CPSP-specific mechanism. To our knowledge, this is among the first CPSP-adjacent studies to integrate DRG and spinal-cord transcriptomes as a single axis via multi-dataset meta-analysis (recent single-tissue resources include a multi-tissue CPSP DRG dataset⁶ and a spinal-cord neuropathic-pain atlas⁷), and, to our knowledge, among the first to identify hubs by a dual-ML consensus under LODO leakage control and to report a prospectively specified full-library FDA repurposing screen that, despite reverse controls, yielded no reliable enrichment, turning an honest null into an explicit methodological boundary.</w:t>
      </w:r>
    </w:p>
    <w:p>
      <w:pPr>
        <w:spacing w:before="160" w:after="80"/>
      </w:pPr>
      <w:r>
        <w:rPr>
          <w:rFonts w:ascii="Times New Roman" w:hAnsi="Times New Roman"/>
          <w:b/>
          <w:i w:val="0"/>
          <w:sz w:val="24"/>
        </w:rPr>
        <w:t>Results</w:t>
      </w:r>
    </w:p>
    <w:p>
      <w:pPr>
        <w:spacing w:before="160" w:after="80"/>
      </w:pPr>
      <w:r>
        <w:rPr>
          <w:rFonts w:ascii="Times New Roman" w:hAnsi="Times New Roman"/>
          <w:b/>
          <w:i w:val="0"/>
          <w:sz w:val="24"/>
        </w:rPr>
        <w:t>A coordinated neuroimmune–metabolic axis, with heterogeneity-sensitive membership</w:t>
      </w:r>
    </w:p>
    <w:p>
      <w:pPr>
        <w:spacing w:before="0" w:after="40"/>
      </w:pPr>
      <w:r>
        <w:rPr>
          <w:rFonts w:ascii="Times New Roman" w:hAnsi="Times New Roman"/>
          <w:b w:val="0"/>
          <w:i w:val="0"/>
          <w:sz w:val="22"/>
        </w:rPr>
        <w:t>The DRG-axis Stouffer meta-analysis (5 independent studies represented by 6 contrasts, because one spared-nerve-injury (SNI) study, GSE265957, contributes two ribosome-profiling timepoints, D4 acute and D63 chronic, as separate inputs; see the measurement-heterogeneity caveat below) tested 16,552 genes, yielding 6,558 at meta_FDR &lt; 0.05 and a core signature of 2,750 genes (meta_FDR &lt; 0.05 and direction consistency ≥ 0.8). Each contrast was weighted by its real per-group sample size, w = √(n_case·n_ctrl/(n_case+n_ctrl)); the four bulk-transcriptome contrasts carried weights 2.19 (GSE267799), 1.22 (GSE212311), 2.65 (GSE278227) and 1.49 (GSE241361 DRG), and the two translatome timepoints 1.00 each. The two GSE265957 timepoints are ribosome-profiling measurements from the same animals at D4 and D63 and are therefore not statistically independent; their joint contribution to the six-input meta is bounded by the bulk-only (translatome excluded) and collapse (timepoints merged) sensitivity analyses reported below. Because the two translatome timepoints each carry weight w = 1.00, they together contribute 2.00 to Σw² (2.00/17.52 ≈ 11.4% of total variance weight), comparable to — not twice — a single midsize bulk study (GSE241361_DRG w² = 2.22, 12.7%; GSE212311 w² = 1.50, 8.6%). The 11.4% is a share of total inverse-variance weight, not an 11% inflation of the result: de-duplicating the two same-animal timepoints changes Σw² from 17.52 to 16.52 (a 5.7% reduction) and lengthens the fixed-effect standard error by only ~3%, so the anti-conservatism from treating them as independent is modest and bounded. The two timepoints are from the same animals and are not statistically independent; their joint influence is bounded by the bulk-only (overlap 63.2%) and collapse (retention 91.0%) sensitivity analyses. This weight is the standard inverse-variance weight for a standardised effect (Var(δ_i) ∝ 1/n_eff,i with n_eff = n_case·n_ctrl/(n_case+n_ctrl)); it is not an ad hoc or degenerate equal weighting, and the per-contrast Welch t statistics are treated as asymptotic z under the real per-group sample sizes. Because the two GSE265957 timepoints are from the same animals, treating them as two independent inputs makes the fixed-effect meta standard error marginally anti-conservative (the effective independent sample size is overstated by the 11.4% same-animal weight); the bulk-only (overlap 63.2%) and collapse (retention 91.0%) sensitivity analyses bound this over-statement, and all fixed-effect gene-level claims are conditioned on it. The Stouffer meta core is thus a DRG-axis product (all six inputs are DRG or DRG translatome); the spinal-cord dimension of this studied axis is supplied independently by the LODO spinal fold and the Visium spatial layer, not by the meta core. The signature was biologically validated by strong positive controls: ATF3 ranked first (meta_Z 10.53, FDR 1.0e-21, consistency 1.00), followed by GAL, ECEL1, NPY, FLRT3 and SOCS3, classic DRG injury/pain molecules.</w:t>
      </w:r>
    </w:p>
    <w:p>
      <w:pPr>
        <w:spacing w:before="0" w:after="40"/>
      </w:pPr>
      <w:r>
        <w:rPr>
          <w:rFonts w:ascii="Times New Roman" w:hAnsi="Times New Roman"/>
          <w:b/>
          <w:i w:val="0"/>
          <w:sz w:val="22"/>
        </w:rPr>
        <w:t>Random-effects sensitivity analysis and heterogeneity.</w:t>
      </w:r>
      <w:r>
        <w:rPr>
          <w:rFonts w:ascii="Times New Roman" w:hAnsi="Times New Roman"/>
          <w:b w:val="0"/>
          <w:i w:val="0"/>
          <w:sz w:val="22"/>
        </w:rPr>
        <w:t xml:space="preserve"> Because a fixed-effect combination assumes a single common effect across contrasts that differ in species, injury model and measurement platform, we repeated the meta-analysis under a DerSimonian–Laird random-effects model on the same per-contrast Z-values. Heterogeneity was moderate overall by Higgins–Thompson convention (median I² 41.8% across all genes) but substantial within the candidate-hub subset — median I² 79.1% across the 35 hubs, 7/35 retaining FDR_RE &lt; 0.05 — so fixed-effect gene-level claims are most conditional exactly where they matter most; non-negligible even at the whole-genome level: median τ² = 0.266 and median I² = 41.8%, with 43.9% of genes showing I² &gt; 50% and 69.7% showing τ² &gt; 0. Under random effects the core (FDR_RE &lt; 0.05 and consistency ≥ 0.8) shrank to 508 genes, 18.5% of the fixed-effect core. The fixed-effect core is therefore reported as the primary result (FE-conditional, heterogeneity-sensitive estimate) and the random-effects core as its sensitivity bound; gene-level conclusions drawn from the 2,750-gene set should be read as conditional on moderate between-contrast heterogeneity. We report the FE core as primary because the FE combination is the conventional fixed-combination summary for real-sample-size weighting and because heterogeneity-sensitivity is itself the object of the RE/bulk-only/collapse suite; FE-conditional gene-level claims are flagged throughout. Among the 35 hubs, median I² was 79.1% and 7/35 retained FDR_RE &lt; 0.05.</w:t>
      </w:r>
    </w:p>
    <w:p>
      <w:pPr>
        <w:spacing w:before="0" w:after="40"/>
      </w:pPr>
      <w:r>
        <w:rPr>
          <w:rFonts w:ascii="Times New Roman" w:hAnsi="Times New Roman"/>
          <w:b w:val="0"/>
          <w:i w:val="0"/>
          <w:sz w:val="22"/>
        </w:rPr>
        <w:t>Gene-set statistics, now corrected across sets, revealed a coordinated, polarity-opposed programme (Fig. 1). With Benjamini–Hochberg correction applied across the 18 multi-member sets (the single-member Sigma-1 marker excluded from set-level inference), neuroinflammation (mean_Z +5.075, 100% up, q = 0.0022), DAM-like neuroimmune programme (+3.833, 87.5% up, q = 0.0022) and complement (+3.700, 94.4% up, q = 0.0022) were coordinately upregulated, and mitochondrial OXPHOS was downregulated (mean_Z −2.922, 78.9% of members down, q = 0.0022). These three programmes share many members (e.g. C1QA/B/C appear in both complement and the DAM-like set, and cytokines such as IL6/TNF/CCL2 in both neuroinflammation and DAM-like), so the effective number of independent discoveries is close to one; we therefore report them as a single coordinated neuroimmune–complement axis rather than three independent programmes. Because 2,000 permutations impose a resolution floor of 1/2001 ≈ 0.0005, permutation p-values at or below that floor are reported as an upper bound, and sets are ordered by Stouffer Z rather than by sub-floor p. The permutation p-values for the four core sets reach the 2,000-permutation resolution floor (1/2001 ≈ 0.0005) and are reported as an upper bound; the set-level BH q = 0.0022 reported for each is the calibrated across-set false-discovery rate, and because the four core sets share many members the effective number of independent discoveries is close to one, so 0.0022 is best read as 'a single coordinated signal significant beyond the resolution of 2,000 permutations' rather than as four independent findings. Under the random-effects meta-vector all four programmes (neuroinflammation, DAM-like, complement, OXPHOS) survived set-level BH (q = 0.0022 each; their permutation p reaches the 2,000-permutation floor and is reported as an upper bound), so OXPHOS downregulation is now reliable under between-contrast heterogeneity rather than a fixed-effect-only finding. Because this is a bulk-tissue gene-set signal, it cannot be attributed specifically to DRG-resident versus recruited macrophages (the DRG myeloid compartment: ref. 26), satellite glia, or blood-derived immune cells - and, at the spinal pole, resident microglia versus infiltrating myeloid cells; "DAM-like" denotes the shared transcriptional programme, not a cell-type-resolved state. Consistent with this qualification, LPL — a canonical DAM hallmark that is up-regulated in bona fide DAM — is itself down-regulated in the nerve-injury meta (meta_Z −3.43, two-sided p = 6.1×10⁻⁴, BH-FDR 2.6×10⁻³), so the "DAM-like" label captures the complement/immune-activation pole of the programme and should not be read as a complete DAM state. Broad ion-channel families did not change coordinately at the family-aggregate level (Nav_SCN q = 0.44; TRP q = 0.89; CACNA q = 0.85; Kv/KCNQ q = 0.85). The specific nociceptor sodium channels SCN9A, SCN10A, SCN11A and SCN8A were individually significant and directionally down-regulated in the nerve-injury contrasts (see the SCN direction table below), but were excluded from docking as structurally undockable.</w:t>
      </w:r>
    </w:p>
    <w:p>
      <w:pPr>
        <w:spacing w:before="0" w:after="40"/>
      </w:pPr>
      <w:r>
        <w:rPr>
          <w:rFonts w:ascii="Times New Roman" w:hAnsi="Times New Roman"/>
          <w:b/>
          <w:i w:val="0"/>
          <w:sz w:val="22"/>
        </w:rPr>
        <w:t>Bulk-only sensitivity meta-analysis (translatome excluded), the primary robustness check.</w:t>
      </w:r>
      <w:r>
        <w:rPr>
          <w:rFonts w:ascii="Times New Roman" w:hAnsi="Times New Roman"/>
          <w:b w:val="0"/>
          <w:i w:val="0"/>
          <w:sz w:val="22"/>
        </w:rPr>
        <w:t xml:space="preserve"> Because GSE265957 is a ribosome-profiling </w:t>
      </w:r>
      <w:r>
        <w:rPr>
          <w:rFonts w:ascii="Times New Roman" w:hAnsi="Times New Roman"/>
          <w:b w:val="0"/>
          <w:i/>
          <w:sz w:val="22"/>
        </w:rPr>
        <w:t>translatome</w:t>
      </w:r>
      <w:r>
        <w:rPr>
          <w:rFonts w:ascii="Times New Roman" w:hAnsi="Times New Roman"/>
          <w:b w:val="0"/>
          <w:i w:val="0"/>
          <w:sz w:val="22"/>
        </w:rPr>
        <w:t xml:space="preserve"> (Xtail log2FC) rather than a bulk transcriptome, mixed with bulk-transcriptome meta_Z from the other studies, we repeated the meta-analysis on the four bulk studies only. This bulk-only meta-analysis (four bulk studies) defined a core of 2,512 genes under the same union-K≥3 inclusion rule as the primary (a gene retained if present in ≥3 of the four bulk contrasts, with bulk meta_FDR &lt; 0.05 and consistency ≥ 0.8), of which 1,737 (63.2%) overlapped the primary 2,750-gene core. This 63.2% overlap is the primary-core genes also retained by the bulk-only core's consistency ≥ 0.8 gate (1,322 pure 4/4, 415 K = 3 only); under the relaxed ≥3/4 gate it rises to 89.2%. Within that 1,737 overlap, 1,322 genes are concordant across all four available bulk contrasts (pure 4/4, 48.1% of the primary core). A further 415 were measured in only three of the four bulk datasets (the fourth absent for that gene, e.g. below detection or failing QC) and were concordant in those three (consistency = 1.0); the 'not strict 4/4' component therefore reflects reduced measurement coverage (lower K), not directional disagreement among four available contrasts. The overlap is thus better described as ≥3/4 concordance under availability, not as strict 4/4. When the bulk consistency gate is relaxed from ≥0.8 to ≥3/4 — the largest achievable majority concordance for four contrasts, versus ≥5/6 ≈ 0.83 for six — the overlap rises to 2,454/2,750 = 89.2%, recovering 1,385 of the 1,853 genes that appear lost under the stricter gate. Of the 2,750 primary-core genes, 200 lack any bulk-study support: 154 are present in the four-bulk file but not bulk-significant (bulk meta_FDR ≥ 0.05) and 46 are absent from the four-bulk file entirely (never evaluated by the bulk analysis). A total of 296 genes fall outside even the relaxed ≥3/4 overlap, comprising the 200 just described plus a further 96 bulk-significant genes that fall below the 3/4 consistency gate. The translatome-specific contribution to core membership is therefore bounded by 211 (present-but-non-significant) to 313 (including never-bulk-tested), and the apparent 45.7% "translatome-dependence" of gene-level membership is substantially a threshold/concordance-count artefact rather than a disappearance of the axis. (An earlier, more restrictive all-four-present count of 1,981 is superseded by this method-identical definition.) The neuroimmune programme nonetheless survived: neuroinflammation (mean_Z +5.13, 100% up, perm p ≤ 0.0005), DAM microglia (+3.96, 87.5% up, perm p ≤ 0.0005), complement (+3.54, 93.8% up, perm p ≤ 0.0005) and OXPHOS (−2.80, 72.2% of members down, perm p ≤ 0.0005, polarity-opposed). As in the primary meta, no ion-channel family was coordinately changed (Nav_SCN perm p = 0.268; P2RX/P2RY perm p = 0.339; TRP 0.917; CACNA 0.827). We therefore report the </w:t>
      </w:r>
      <w:r>
        <w:rPr>
          <w:rFonts w:ascii="Times New Roman" w:hAnsi="Times New Roman"/>
          <w:b w:val="0"/>
          <w:i/>
          <w:sz w:val="22"/>
        </w:rPr>
        <w:t>interpretation</w:t>
      </w:r>
      <w:r>
        <w:rPr>
          <w:rFonts w:ascii="Times New Roman" w:hAnsi="Times New Roman"/>
          <w:b w:val="0"/>
          <w:i w:val="0"/>
          <w:sz w:val="22"/>
        </w:rPr>
        <w:t xml:space="preserve"> of the axis, coordinated neuroimmune activation, as reliable under inclusion or exclusion of the translatome study, while the exact gene membership is not. Because these are bulk-tissue statistics, the cellular locus of the OXPHOS signal (neuronal, glial or immune) is unresolved by this design.</w:t>
      </w:r>
    </w:p>
    <w:p>
      <w:pPr>
        <w:spacing w:before="0" w:after="40"/>
      </w:pPr>
      <w:r>
        <w:rPr>
          <w:rFonts w:ascii="Times New Roman" w:hAnsi="Times New Roman"/>
          <w:b/>
          <w:i w:val="0"/>
          <w:sz w:val="22"/>
        </w:rPr>
        <w:t>SCN-channel directions are model-dependent (Table 1b).</w:t>
      </w:r>
      <w:r>
        <w:rPr>
          <w:rFonts w:ascii="Times New Roman" w:hAnsi="Times New Roman"/>
          <w:b w:val="0"/>
          <w:i w:val="0"/>
          <w:sz w:val="22"/>
        </w:rPr>
        <w:t xml:space="preserve"> The four nociceptor sodium channels were meta-significant and down-regulated in nerve injury, but all four were up-regulated in the incision model GSE267799. In the GSE265957 translatome both timepoints were also down. The bulk meta_Z/FDR were SCN9A −2.92/0.011, SCN10A −3.03/0.008, SCN11A −3.41/0.003 and SCN8A −4.92/1.0e-5, SCN8A being the most significant of the four. The per-contrast log₂ fold-changes are small (|log₂FC| 0.07–3.08) even where the Z-statistics are large, because Z scales with sample size; Table 1b now reports both. Of note, this direction is opposite to that reported for Nav1.6/SCN8A in nerve-injury models, where Nav1.6 is transcriptionally up-regulated in DRG and contributes to neuropathic pain¹⁰; the present result is a bulk transcriptome-level observation on a different set of models and timepoints and should not be read as contradicting that work at the protein or single-neuron level. Among the voltage-gated sodium channels, SCN3A/Nav1.3 is the member most transcriptionally induced after injury in some reports (Yin et al., 2016¹¹); we therefore tested the entire Nav_SCN family for coordinate regulation. These bulk transcriptome-level down-regulations are consistent with, rather than contradictory to, the known biology of injured DRG: SCN10A/Nav1.8 mRNA is down-regulated after axotomy, and bulk DRG signal is confounded by injury-induced neuronal atrophy/loss¹² and by the dilution of neuronal transcripts by infiltrating immune and glial cells. The germline SCN9A channelopathies¹³,¹⁴,¹⁵ establish Nav1.7's necessity for human pain but are not evidence of injury-induced up-regulation; likewise, selective Nav1.7 inhibitors have repeatedly failed in the clinic¹⁶,¹⁷,¹⁸, whereas the more recent Nav1.8 inhibitor clinical programme shows that channel is druggable without establishing injury-induced SCN10A up-regulation. Notably, SCN3A/Nav1.3 — the channel most transcriptionally induced after injury in some reports — is a member of the Nav_SCN family that we tested and that showed no coordinate change (permutation p = 0.268), so it does not rescue an ion-channel signal and requires no separate revision examination. We therefore describe these channels as nerve-injury-down-regulated in this dataset collection and explicitly hedge any CPSP-specific claim.</w:t>
      </w:r>
    </w:p>
    <w:p>
      <w:pPr>
        <w:spacing w:before="160" w:after="80"/>
      </w:pPr>
      <w:r>
        <w:rPr>
          <w:rFonts w:ascii="Times New Roman" w:hAnsi="Times New Roman"/>
          <w:b/>
          <w:i w:val="0"/>
          <w:sz w:val="24"/>
        </w:rPr>
        <w:t>Translation to the incision model is incomplete and, tested non-circularly, non-predictive</w:t>
      </w:r>
    </w:p>
    <w:p>
      <w:pPr>
        <w:spacing w:before="0" w:after="40"/>
      </w:pPr>
      <w:r>
        <w:rPr>
          <w:rFonts w:ascii="Times New Roman" w:hAnsi="Times New Roman"/>
          <w:b w:val="0"/>
          <w:i w:val="0"/>
          <w:sz w:val="22"/>
        </w:rPr>
        <w:t>Directional agreement between the six-contrast meta-signature and the incision contrast was 54.0% (7,769/14,390 shared genes; Wilson 95% CI 53.2–54.8%) overall and 77.2% (1,822/2,361; Wilson 95% CI 75.4–78.8%) when restricted to the 2,750-gene core. Both numbers are, however, produced by a circular design: the pooled consistency filter (≥0.8 across all six contrasts) and the meta_Z itself include the incision contrast, so a gene can enter the core partly because it already agrees with the incision direction. We therefore do not present either number as evidence of translation, and we do not test them against a 50% null, which is not the correct reference for a contrast with a global directional skew.</w:t>
      </w:r>
    </w:p>
    <w:p>
      <w:pPr>
        <w:spacing w:before="0" w:after="40"/>
      </w:pPr>
      <w:r>
        <w:rPr>
          <w:rFonts w:ascii="Times New Roman" w:hAnsi="Times New Roman"/>
          <w:b w:val="0"/>
          <w:i w:val="0"/>
          <w:sz w:val="22"/>
        </w:rPr>
        <w:t xml:space="preserve">All directional-agreement proportions in this section are computed over a single measured universe of 14,390 incision-measured genes (2,361 of which fall in the 2,750-gene core); the same denominator (from </w:t>
      </w:r>
      <w:r>
        <w:rPr>
          <w:rFonts w:ascii="Courier New" w:hAnsi="Courier New"/>
          <w:b w:val="0"/>
          <w:i w:val="0"/>
          <w:sz w:val="22"/>
        </w:rPr>
        <w:t>_R4_nerveinjury_only_summary.json</w:t>
      </w:r>
      <w:r>
        <w:rPr>
          <w:rFonts w:ascii="Times New Roman" w:hAnsi="Times New Roman"/>
          <w:b w:val="0"/>
          <w:i w:val="0"/>
          <w:sz w:val="22"/>
        </w:rPr>
        <w:t xml:space="preserve">) is used for the non-circular regeneration. The marginally larger 14,445 / 3,564 gene universe that appears in the exploratory </w:t>
      </w:r>
      <w:r>
        <w:rPr>
          <w:rFonts w:ascii="Courier New" w:hAnsi="Courier New"/>
          <w:b w:val="0"/>
          <w:i w:val="0"/>
          <w:sz w:val="22"/>
        </w:rPr>
        <w:t>_R4_translation_noncircular.csv</w:t>
      </w:r>
      <w:r>
        <w:rPr>
          <w:rFonts w:ascii="Times New Roman" w:hAnsi="Times New Roman"/>
          <w:b w:val="0"/>
          <w:i w:val="0"/>
          <w:sz w:val="22"/>
        </w:rPr>
        <w:t xml:space="preserve"> reflects an earlier merge and is superseded by the consistent 14,390-gene denominator used throughout the reported concordance statistics. We instead built the signature on the five nerve-injury contrasts only (incision removed from both the Z and the consistency filter) and used the incision contrast once, as a held-out test. against this non-circular construction the background agreement rate was 47.1% (6,772/14,390; 95% CI 46.2–47.9%), and among the 3,830 genes that were nerve-injury-significant (FDR &lt; 0.05) </w:t>
      </w:r>
      <w:r>
        <w:rPr>
          <w:rFonts w:ascii="Times New Roman" w:hAnsi="Times New Roman"/>
          <w:b w:val="0"/>
          <w:i/>
          <w:sz w:val="22"/>
        </w:rPr>
        <w:t>and</w:t>
      </w:r>
      <w:r>
        <w:rPr>
          <w:rFonts w:ascii="Times New Roman" w:hAnsi="Times New Roman"/>
          <w:b w:val="0"/>
          <w:i w:val="0"/>
          <w:sz w:val="22"/>
        </w:rPr>
        <w:t xml:space="preserve"> nerve-injury direction-consistent (≥0.8) the agreement rate was 43.3% (1,660/3,830; 95% CI 41.8–44.9%) (regenerated from </w:t>
      </w:r>
      <w:r>
        <w:rPr>
          <w:rFonts w:ascii="Courier New" w:hAnsi="Courier New"/>
          <w:b w:val="0"/>
          <w:i w:val="0"/>
          <w:sz w:val="22"/>
        </w:rPr>
        <w:t>results/tables/_R4_nerveinjury_only_summary.json</w:t>
      </w:r>
      <w:r>
        <w:rPr>
          <w:rFonts w:ascii="Times New Roman" w:hAnsi="Times New Roman"/>
          <w:b w:val="0"/>
          <w:i w:val="0"/>
          <w:sz w:val="22"/>
        </w:rPr>
        <w:t xml:space="preserve">, stratum </w:t>
      </w:r>
      <w:r>
        <w:rPr>
          <w:rFonts w:ascii="Courier New" w:hAnsi="Courier New"/>
          <w:b w:val="0"/>
          <w:i w:val="0"/>
          <w:sz w:val="22"/>
        </w:rPr>
        <w:t>NI_FDR05_AND_NIcons&gt;=0.8</w:t>
      </w:r>
      <w:r>
        <w:rPr>
          <w:rFonts w:ascii="Times New Roman" w:hAnsi="Times New Roman"/>
          <w:b w:val="0"/>
          <w:i w:val="0"/>
          <w:sz w:val="22"/>
        </w:rPr>
        <w:t>), a risk difference of −3.7 pp versus background, permutation p = 0.0002 (significant). Restricting to nerve-injury-only consistency also collapses the apparent core translation from 77.2% to 48.3% (3,023/6,256; 95% CI 47.1–49.6%). The conclusion is stronger, not weaker, than the original formulation, but it must be read within its lesion-class limit: knowing that a gene is strongly and consistently regulated by axotomy-constriction nerve injury carries essentially no information about its direction in the non-axotomy SMIR model (43.3% vs 47.1% background, perm_p = 0.0002), and roughly half of such genes move in the opposite direction. Because the two arms differ in lesion class as well as in time course, this null is uninformative about CPSP rather than evidence that the nerve-injury programme fails to translate to postsurgical pain. Within the reported 2,750-gene core, 539 of 2,361 genes with incision measurements are incision-discordant (77.2% agree). A nerve-injury-only core (FDR &lt; 0.05 and nerve-injury consistency ≥ 0.8, incision excluded) comprised 4,234 genes under fixed effects and 1,974 under random effects. Specificity of the axis to postsurgical versus nerve-injury pain is therefore not shown by this meta-analysis, and the axis is described as a nerve-injury-associated response throughout.</w:t>
      </w:r>
    </w:p>
    <w:p>
      <w:pPr>
        <w:spacing w:before="160" w:after="80"/>
      </w:pPr>
      <w:r>
        <w:rPr>
          <w:rFonts w:ascii="Times New Roman" w:hAnsi="Times New Roman"/>
          <w:b/>
          <w:i w:val="0"/>
          <w:sz w:val="24"/>
        </w:rPr>
        <w:t>35 candidate hub genes, with explicitly bounded stability</w:t>
      </w:r>
    </w:p>
    <w:p>
      <w:pPr>
        <w:spacing w:before="0" w:after="40"/>
      </w:pPr>
      <w:r>
        <w:rPr>
          <w:rFonts w:ascii="Times New Roman" w:hAnsi="Times New Roman"/>
          <w:b w:val="0"/>
          <w:i w:val="0"/>
          <w:sz w:val="22"/>
        </w:rPr>
        <w:t xml:space="preserve">The dual-ML consensus identified 35 candidate hub genes; 26/35 (74%) fell inside the meta core signature (Table 2; the in-core flag is the </w:t>
      </w:r>
      <w:r>
        <w:rPr>
          <w:rFonts w:ascii="Courier New" w:hAnsi="Courier New"/>
          <w:b w:val="0"/>
          <w:i w:val="0"/>
          <w:sz w:val="22"/>
        </w:rPr>
        <w:t>in_meta_core</w:t>
      </w:r>
      <w:r>
        <w:rPr>
          <w:rFonts w:ascii="Times New Roman" w:hAnsi="Times New Roman"/>
          <w:b w:val="0"/>
          <w:i w:val="0"/>
          <w:sz w:val="22"/>
        </w:rPr>
        <w:t xml:space="preserve"> boolean in </w:t>
      </w:r>
      <w:r>
        <w:rPr>
          <w:rFonts w:ascii="Courier New" w:hAnsi="Courier New"/>
          <w:b w:val="0"/>
          <w:i w:val="0"/>
          <w:sz w:val="22"/>
        </w:rPr>
        <w:t>P3_hub_genes.csv</w:t>
      </w:r>
      <w:r>
        <w:rPr>
          <w:rFonts w:ascii="Times New Roman" w:hAnsi="Times New Roman"/>
          <w:b w:val="0"/>
          <w:i w:val="0"/>
          <w:sz w:val="22"/>
        </w:rPr>
        <w:t xml:space="preserve">, not the </w:t>
      </w:r>
      <w:r>
        <w:rPr>
          <w:rFonts w:ascii="Courier New" w:hAnsi="Courier New"/>
          <w:b w:val="0"/>
          <w:i w:val="0"/>
          <w:sz w:val="22"/>
        </w:rPr>
        <w:t>P5_hub_lineage_consensus.csv</w:t>
      </w:r>
      <w:r>
        <w:rPr>
          <w:rFonts w:ascii="Times New Roman" w:hAnsi="Times New Roman"/>
          <w:b w:val="0"/>
          <w:i w:val="0"/>
          <w:sz w:val="22"/>
        </w:rPr>
        <w:t>, which carries no core-membership field). Top hubs agreed by ≥2 of three methods; 5/35 reached full three-method consensus (SPRR1A, ATF3, TFE3, CDHR5, GALNS) and the remaining 30 agreed by exactly two methods. Note that CDHR5, although full-consensus, is an intestinal-epithelial annotation outlier with no DRG or pain role and is carried on a watch-list rather than presented as a biological candidate (see Hub plausibility).</w:t>
      </w:r>
    </w:p>
    <w:p>
      <w:pPr>
        <w:spacing w:before="0" w:after="40"/>
      </w:pPr>
      <w:r>
        <w:rPr>
          <w:rFonts w:ascii="Times New Roman" w:hAnsi="Times New Roman"/>
          <w:b w:val="0"/>
          <w:i w:val="0"/>
          <w:sz w:val="22"/>
        </w:rPr>
        <w:t xml:space="preserve">Honest evaluation identified a candidate nerve-injury-enriched — not universally generalisable — LODO signal (Fig. 2A), with explicit precision caveats (below). Under leakage-controlled leave-one-dataset-out, four of the five folds reached AUC 1.000 (GSE278227 CCI rat DRG, n = 28 (within-animal paired; see Methods); GSE212311 CCI, n = 6; and the two same-animal GSE241361 folds — mouse DRG AUC 1.000, n = 9; spinal cord AUC 1.000, n = 9 — which are excluded from the cross-animal mean); GSE278227 is a within-animal paired design (ipsilateral and contralateral DRG from the same 14 rats, 28 libraries from 14 animals; see Methods), so its LODO fold is a within-animal discrimination and is not directly comparable with the between-animal incision fold (GSE267799, n = 20); the only genuinely cross-animal nerve-injury fold is GSE212311 (n = 6), and the candidate nerve-injury-enriched — not universal — conclusion rests on the within-animal GSE278227 pattern and the GSE212311 n = 6 floor rather than on a quoted cross-animal mean. Every AUC = 1.000 quote carries a degenerate bootstrap percentile confidence interval [1.0, 1.0] (zero estimable precision) because the test sets are small (n = 6–28); these leakage-controlled AUCs were computed on the within-fold union of the three selectors (140–169 features), not on the published ≥2/3 consensus rule, so they bound the selection procedure rather than validate the 35-hub classifier itself (events-per-parameter ≈ 0.15); the nerve-injury-enriched signal is therefore reported as exploratory, hypothesis-generating evidence from a single n = 28 fold (GSE278227), not as a precision estimate. GSE212311 is a 3-versus-3 design (n = 6); under complete class separation its exact two-sided Mann–Whitney p is 0.10 (one-sided 0.05), the minimum attainable for that sample size, so its AUC 1.0 is the statistical floor of the design rather than independent evidence, and the nerve-injury-enriched conclusion rests principally on the within-animal GSE278227 fold (28 libraries, 14 animals). The signature does not generalise to the incision model: the pivotal incision fold (GSE267799 n = 20) falls to a leakage-controlled 0.677 [0.374, 0.940], a confidence interval that includes chance, so it neither confirms nor refutes incision generalisation; the candidate nerve-injury-enriched framing of the axis therefore rests on the nerve-injury folds rather than on a demonstrated failure of incision generalisation. Leave-one-dataset-out (LODO) cross-validation was the primary generalisation metric. For the cross-animal held-out datasets the raw (non-leakage) classifier AUC was 1.000 for GSE278227 (n = 28) and GSE212311 (n = 6), and 0.917 [0.729, 1.000] for GSE267799 (n = 20, the incision arm); the two GSE241361 tests (mouse DRG AUC 1.000, n = 9; spinal cord AUC 0.950 [0.709, 1.000], n = 9, raw non-leakage; the leakage-controlled value is 1.000) come from the same animals and are excluded from the cross-animal mean. A leakage-controlled re-estimation (feature selection recomputed out-of-fold; </w:t>
      </w:r>
      <w:r>
        <w:rPr>
          <w:rFonts w:ascii="Courier New" w:hAnsi="Courier New"/>
          <w:b w:val="0"/>
          <w:i w:val="0"/>
          <w:sz w:val="22"/>
        </w:rPr>
        <w:t>P3_lodo_auc_ci_leakage_controlled.csv</w:t>
      </w:r>
      <w:r>
        <w:rPr>
          <w:rFonts w:ascii="Times New Roman" w:hAnsi="Times New Roman"/>
          <w:b w:val="0"/>
          <w:i w:val="0"/>
          <w:sz w:val="22"/>
        </w:rPr>
        <w:t>) confirms the four nerve-injury folds at AUC 1.000 and the incision fold at 0.677 [0.374, 0.940]; because the hub and target lists are resampling-sensitive (below), we present the classifier as a candidate-generation tool whose nerve-injury specificity is the robust finding and whose incision generalisation is not established. Because each held-out fold is small (n = 6–28) against 140–169 selected features, the LODO model has very low events-per-parameter and is used as a candidate-generation screen rather than a calibrated classifier. Four of the five leakage-controlled folds have degenerate CIs [1.0,1.0] (the four AUC = 1.0 nerve-injury folds); only the incision fold yields an estimable CI, because the DeLong variance collapses at small test n for the AUC = 1.0 folds, and those folds (at n = 6 and n = 9) are reported as descriptive only, not as precision statements; the CIs are not interpretable as precision there. A pooled within-dataset 5×20 repeated CV reached 0.999, but this is leakage-inflated and its nominal ±0.004 dispersion exceeds 1.0 (a statistical impossibility), so it is reported only as an optimistic upper bound alongside the label-permutation null of 0.490 ± 0.085, not as a confidence interval.</w:t>
      </w:r>
    </w:p>
    <w:p>
      <w:pPr>
        <w:spacing w:before="0" w:after="40"/>
      </w:pPr>
      <w:r>
        <w:rPr>
          <w:rFonts w:ascii="Times New Roman" w:hAnsi="Times New Roman"/>
          <w:b w:val="0"/>
          <w:i w:val="0"/>
          <w:sz w:val="22"/>
        </w:rPr>
        <w:t>A 200-resample bootstrap of the 72 pooled samples (</w:t>
      </w:r>
      <w:r>
        <w:rPr>
          <w:rFonts w:ascii="Courier New" w:hAnsi="Courier New"/>
          <w:b w:val="0"/>
          <w:i w:val="0"/>
          <w:sz w:val="22"/>
        </w:rPr>
        <w:t>P3_hub_bootstrap.csv</w:t>
      </w:r>
      <w:r>
        <w:rPr>
          <w:rFonts w:ascii="Times New Roman" w:hAnsi="Times New Roman"/>
          <w:b w:val="0"/>
          <w:i w:val="0"/>
          <w:sz w:val="22"/>
        </w:rPr>
        <w:t>) showed that individual hub membership remains variable but the three-method consensus is genuine: per-gene recovery ranged 14.0%–100.0% and 2/35 hubs (SPRR1A 1.00, ATF3 0.94) exceeded the ≥0.9 stability threshold with a further 9 borderline (0.5–0.75); all three methods (LASSO, Random Forest, XGBoost) contributed selections under resampling, so the ≥2/3 consensus is not a two-method artefact. The Top-800 univariate pre-screen and the LASSO penalty (λ.1se) were estimated once on all 72 libraries and held fixed across the 200 resamples, so the reported recovery frequencies quantify selector stability conditional on a fixed candidate pool and are upper bounds on full-pipeline stability; the 72 libraries comprise 49 animals and are resampled as libraries, not animals, so the bootstrap does not reproduce the within-animal pairing. We therefore report the 35 genes as a candidate set whose two strongest members (SPRR1A, ATF3) are resampling-stable while the remainder require prospective validation (the full hub table is in Table 2; three-method importance in Fig. 2B). Because the docking stage consumes this set, we also bootstrapped the docking target set itself (</w:t>
      </w:r>
      <w:r>
        <w:rPr>
          <w:rFonts w:ascii="Courier New" w:hAnsi="Courier New"/>
          <w:b w:val="0"/>
          <w:i w:val="0"/>
          <w:sz w:val="22"/>
        </w:rPr>
        <w:t>_R4_targetset_bootstrap.csv</w:t>
      </w:r>
      <w:r>
        <w:rPr>
          <w:rFonts w:ascii="Times New Roman" w:hAnsi="Times New Roman"/>
          <w:b w:val="0"/>
          <w:i w:val="0"/>
          <w:sz w:val="22"/>
        </w:rPr>
        <w:t>): resampled hub sets had a median size of 43 genes (IQR 41–46, range 33–60) and a median Jaccard overlap of 0.304 with the published 35; on average 8.70 of the 17 dock-eligible hubs (per-gene recovery frequency 0.125–0.885; most stable TFE3 0.885) and 3.93 of the 9 docked hubs were recovered per resample, with P(≥3 of 17) = 1.000 and P(≥5 of 17) = 0.990. The docking target list is accordingly recovered as a partially stable, structurally-tractable subset — stable enough to define a screening set, not stable enough to treat individual membership as reproducible (no resample recovers the full set, P = 0.000; median Jaccard with the published 35 is 0.304). Two further honesty caveats: λ.1se = 1 gene (sparse linear signal is weak, so hubs rely on ensemble integration, not a single linear model), and the same-animal GSE241361 folds mean those two tests are not independent (some test sets n &lt; 10).</w:t>
      </w:r>
    </w:p>
    <w:p>
      <w:pPr>
        <w:spacing w:before="160" w:after="80"/>
      </w:pPr>
      <w:r>
        <w:rPr>
          <w:rFonts w:ascii="Times New Roman" w:hAnsi="Times New Roman"/>
          <w:b/>
          <w:i w:val="0"/>
          <w:sz w:val="24"/>
        </w:rPr>
        <w:t>The human layer is negative, a blood-proxy boundary, not a failure</w:t>
      </w:r>
    </w:p>
    <w:p>
      <w:pPr>
        <w:spacing w:before="0" w:after="40"/>
      </w:pPr>
      <w:r>
        <w:rPr>
          <w:rFonts w:ascii="Times New Roman" w:hAnsi="Times New Roman"/>
          <w:b w:val="0"/>
          <w:i w:val="0"/>
          <w:sz w:val="22"/>
        </w:rPr>
        <w:t>In GSE158825 (n = 60 human plasma miRNA; patients undergoing surgery for lumbar spinal stenosis with or without degenerative spondylolisthesis), the primary contrast is a surgical-procedure contrast (LSS+DS vs LSS) and the pain-relevant analysis is the association of plasma miRNA with percentage change in NRS pain (%nprs20delta; n = 56, measured at a follow-up interval not stated in the GSE158825 deposition), a measure of postoperative recovery rather than chronic postsurgical-pain incidence; neither reached FDR significance (LSS+DS vs LSS: min p = 1.3e-4, FDR 0.128; %nprs20delta: min p = 8.5e-4, FDR 0.556); nominal hits clustered in immune miRNAs (miR-99b/let-7e/miR-125a polycistron; miR-146a-3p; miR-155-5p). The indirect hub-mRNA chain was detectable, miRDB v6.0 predicted 3,511 hub→miRNA targeting relationships spanning 33 of 35 hubs, of which 752 were high-confidence (score ≥ 80); 253 distinct high-confidence hub-targeting miRNAs were detectable in human plasma (GSE158825) and 328 in urine (GSE222979), but the set-level permutation test on the plasma-detectable miRNAs returned p = 0.51, i.e. no reliable association (the nominal t-significance arose from miRNA non-independence and vanished under permutation). GSE222979 carries no pain phenotype and GSE306403 is not human tissue, so direct human validation is absent. This null is scoped narrowly: it is a blood-proxy null from plasma miRNA in n = 60 participants, it is underpowered, and it is uninformative about the DRG–spinal axis itself, which is not sampled by plasma. We stress that p = 0.51 is a failure to detect, not evidence of absence: with n = 60 plasma samples indexing 253 plasma-detectable miRNAs, the 5,000-permutation set-level test has limited power against a small-to-moderate association, and the negative result is best read as a boundary that motivates — rather than replaces — prospective DRG/spinal or clinical validation. It demarcates where prospective validation is required rather than confirming an absence of association; prospective clinical qPCR/ELISA is required (see Discussion).</w:t>
      </w:r>
    </w:p>
    <w:p>
      <w:pPr>
        <w:spacing w:before="160" w:after="80"/>
      </w:pPr>
      <w:r>
        <w:rPr>
          <w:rFonts w:ascii="Times New Roman" w:hAnsi="Times New Roman"/>
          <w:b/>
          <w:i w:val="0"/>
          <w:sz w:val="24"/>
        </w:rPr>
        <w:t>Hubs are a multi-cellular DRG-centred, spinal-localised programme</w:t>
      </w:r>
    </w:p>
    <w:p>
      <w:pPr>
        <w:spacing w:before="0" w:after="40"/>
      </w:pPr>
      <w:r>
        <w:rPr>
          <w:rFonts w:ascii="Times New Roman" w:hAnsi="Times New Roman"/>
          <w:b w:val="0"/>
          <w:i w:val="0"/>
          <w:sz w:val="22"/>
        </w:rPr>
        <w:t>Across the three localisation platforms the 35-hub set is counted against different measured denominators — 34/35 present in DRG (CRISP3 absent), 33/35 in spinal snRNA (CRISP3 and REG3B absent), and 33/35 detectably expressed in Visium (CRISP3 and LNP1 below detection) — so 'present'/'detected' rates are not directly comparable across platforms.</w:t>
      </w:r>
    </w:p>
    <w:p>
      <w:pPr>
        <w:spacing w:before="0" w:after="40"/>
      </w:pPr>
      <w:r>
        <w:rPr>
          <w:rFonts w:ascii="Times New Roman" w:hAnsi="Times New Roman"/>
          <w:b w:val="0"/>
          <w:i w:val="0"/>
          <w:sz w:val="22"/>
        </w:rPr>
        <w:t>On the DRG side (GSE216039; Fig. 3), 34/35 hubs were present (CRISP3 absent) and 25 passed detection; 20/25 localised to the injured/regenerating neuron subtype. Qualifying this neuron-dominant picture, 8 of the 34 DRG-localised hubs (SLC2A1, AGRN, FLNC, WBP1L, NPY, ITPKC, CCDC160, SERPINE1) reach their highest expression in endothelial/stromal (meningeal-vessel) cells rather than neurons, and further hubs peak in satellite glia, Schwann, or immune cells, so the DRG component is multi-cellular with a neuron-enriched core. Representative enrichment (mean-expression fold, subtype vs other subtypes): SPRR1A detected in 98.1% vs 16.8% of cells (detection-ratio 5.8×) with mean-expression enrichment 17.4×, ECEL1 25.7×, NPY 10.0×, FLNC 10.2×. All "×" values here are mean-expression folds (specificity), distinct from the detection fractions just quoted; they are directional hints given n = 2–3/group (sample-level pseudobulk; see Methods), not inferential estimates. Subtype annotation was reliable (leave-one-marker consistency 92–100%, ρ 0.965–0.996), and the eight annotating markers had zero overlap with hubs, ruling out circularity.</w:t>
      </w:r>
    </w:p>
    <w:p>
      <w:pPr>
        <w:spacing w:before="0" w:after="40"/>
      </w:pPr>
      <w:r>
        <w:rPr>
          <w:rFonts w:ascii="Times New Roman" w:hAnsi="Times New Roman"/>
          <w:b w:val="0"/>
          <w:i w:val="0"/>
          <w:sz w:val="22"/>
        </w:rPr>
        <w:t>On the spinal side (GSE328175; Fig. 4A), 33/35 hubs were present (CRISP3, REG3B absent), 24 detectable (mean pseudobulk expression &gt; 0 in ≥1 lineage), and 20 were localisable across neuron/microglia/astrocyte/OPC (15 NotLocalisable). Spinal lineage assignment pools Sham and SNI nuclei in GSE328175 (23,191 Sham / 31,121 SNI cells across 6 samples); as for Visium, these are therefore anatomical-compartment assignments, not injury-induced localisation shifts, and no Sham-vs-SNI comparison of hub localisation is claimed. Only 7/35 achieved cross-dataset lineage-consistent localisation (5 neuronal: ANKRD13B, CTTN, PTPN23, SRRM4, VASH2; 1 immune: TFE3; 1 glial: CHL1). This is not a localisation failure but evidence of axis-end specialisation: the DRG pole is an injured-neuron programme, the spinal pole disperses across neuronal/glial/immune compartments. Sample-level pseudobulk gave 0 BH-significant genes in both datasets (n = 2–3/group), so all single-cell calls are directional hints. Ambient-RNA contamination downgraded ATF3 (ambient_index 2.59) and AXL (3.11) spinal assignments; the Cd11b+ GSE246288 non-microglial clusters were voided as ambient artefacts.</w:t>
      </w:r>
    </w:p>
    <w:p>
      <w:pPr>
        <w:spacing w:before="0" w:after="40"/>
      </w:pPr>
      <w:r>
        <w:rPr>
          <w:rFonts w:ascii="Times New Roman" w:hAnsi="Times New Roman"/>
          <w:b w:val="0"/>
          <w:i w:val="0"/>
          <w:sz w:val="22"/>
        </w:rPr>
        <w:t>Visium spatial mapping (GSE325938) gave the 35 hubs their first spatial coordinates: 33/35 were detectably expressed in mouse spinal cord (CRISP3 and LNP1 were below the detection threshold), and 17 of 33 detectably expressed hubs (51.5%) were assigned to the dorsal horn on Sham/baseline tissue, no injury-arm spatial data were available. Because this is uninjured tissue, the dorsal-horn assignment is reported as constitutive baseline anatomy: it shows that these hubs are anatomically present at the pain-afferent first station, not that they are enriched or recruited there by injury. All 17 dorsal-horn assignments passed a 5% detection floor (top-region detection ≥ 5%), below which regional specificity ratios are not interpreted (Methods; Supplementary Table S2). Cross-modal corroboration with snRNA was consistent for 6 hubs, all Neuronal→DorsalHorn (GALNS, SRRM4, PTPN23, VASH2, ANKRD13B, CTTN). Three honesty points accompany this: ATF3 localised to meninges (not dorsal-horn neuron), consistent with its ambient downgrade; the Ependymal region (28% of spots) is likely a central-gray mislabel; and all regionalisation is on Sham tissue, so no injury-induced redistribution is claimed.</w:t>
      </w:r>
    </w:p>
    <w:p>
      <w:pPr>
        <w:spacing w:before="160" w:after="80"/>
      </w:pPr>
      <w:r>
        <w:rPr>
          <w:rFonts w:ascii="Times New Roman" w:hAnsi="Times New Roman"/>
          <w:b/>
          <w:i w:val="0"/>
          <w:sz w:val="24"/>
        </w:rPr>
        <w:t>Hub plausibility and annotation outliers</w:t>
      </w:r>
    </w:p>
    <w:p>
      <w:pPr>
        <w:spacing w:before="0" w:after="40"/>
      </w:pPr>
      <w:r>
        <w:rPr>
          <w:rFonts w:ascii="Times New Roman" w:hAnsi="Times New Roman"/>
          <w:b w:val="0"/>
          <w:i w:val="0"/>
          <w:sz w:val="22"/>
        </w:rPr>
        <w:t>Not every hub carries prior pain/DRG evidence, and several are annotation outliers that we flag rather than conceal. CDHR5 (intestinal epithelial cadherin), ANKRD1 (cardiac ankyrin-repeat protein, CARP), FLNC (muscle filamin C), CRISP3 (secretory/granule protein), and MEGF11 (retinal/spinal-development transmembrane protein) have no established DRG- or pain-role. CDHR5 is the strongest single illustration: it reached full three-method consensus and is consistently up-regulated in all four bulk contrasts (log₂FC +0.07 to +2.62, the largest contribution coming from GSE278227), so it is not a single-study artefact, yet its annotated biology is intestinal-epithelial and no DRG or pain role is established, we therefore treat it as a watch-list annotation outlier pending orthogonal confirmation rather than as a finding or biological candidate. Among hubs with established DRG-injury or pain evidence are ATF3, SPRR1A, ECEL1, NPY and VIP. REG3B — whose "established DRG neuroimmune hub" status derives largely from a single CRPS-I report¹⁹ (not CPSP, not nerve-transection) — is meta-significant in the present analysis (six-input Stouffer FDR 7.1×10⁻¹⁴; nerve-injury-only FDR 2.1×10⁻²⁰) yet fails the core's direction-consistency gate (consistency 0.75; down in 1 of 4 contrasts) and was not localisable in spinal snRNA and only 1.7% detected in DRG; we therefore carry it as an external motivational hypothesis rather than as a core internal hub, and it must be tested in the present model before weight is attached.</w:t>
      </w:r>
    </w:p>
    <w:p>
      <w:pPr>
        <w:spacing w:before="0" w:after="40"/>
      </w:pPr>
      <w:r>
        <w:rPr>
          <w:rFonts w:ascii="Times New Roman" w:hAnsi="Times New Roman"/>
          <w:b w:val="0"/>
          <w:i w:val="0"/>
          <w:sz w:val="22"/>
        </w:rPr>
        <w:t>In the present meta-analysis the purinergic family was itself negative: P2RX/P2RY showed no coordinate change (permutation p = 0.339 in the bulk-only meta; p = 0.440 in the six-input meta). We note this explicitly because the broader literature links microglial P2X4 to neuropathic pain²⁰; the absence of a P2RX/P2RY signal here implies that the DAM-like state captured is only partially the classic P2X4-driven microglial activation described in that literature, and single-cell work after peripheral nerve injury likewise reports only partial, time- and sex-specific overlap with the canonical DAM programme²¹. This is informative about the limits of the axis rather than a contradiction of the literature, and it is one reason we describe the neuroimmune signal as 'DAM-like' rather than as a fully reconstituted DAM state. The clearest single-gene exception to the ion-channel-family nulls is the gabapentinoid target itself: CACNA2D1 (α2δ-1) was up-regulated in 4 of 6 contrasts (meta_Z +7.09, meta_FDR 2.3 × 10⁻¹⁰, consistency 4/6), i.e. the present meta independently reproduces the injury-induced α2δ-1 up-regulation that underlies gabapentinoid efficacy³⁸ (in the SMIR model gabapentin reverses SMIR-evoked hypersensitivity⁴⁰), while the family-wide CACNA test remains null because its other 17 members do not move coordinately. The ion-channel statement is therefore a family-level statement, and the single most clinically actionable ion-channel-adjacent gene in this dataset is up-regulated, not null.</w:t>
      </w:r>
    </w:p>
    <w:p>
      <w:pPr>
        <w:spacing w:before="160" w:after="80"/>
      </w:pPr>
      <w:r>
        <w:rPr>
          <w:rFonts w:ascii="Times New Roman" w:hAnsi="Times New Roman"/>
          <w:b/>
          <w:i w:val="0"/>
          <w:sz w:val="24"/>
        </w:rPr>
        <w:t>Drug repurposing: an honest null at library scale (Table 3; Fig. 5)</w:t>
      </w:r>
    </w:p>
    <w:p>
      <w:pPr>
        <w:spacing w:before="0" w:after="40"/>
      </w:pPr>
      <w:r>
        <w:rPr>
          <w:rFonts w:ascii="Times New Roman" w:hAnsi="Times New Roman"/>
          <w:b w:val="0"/>
          <w:i w:val="0"/>
          <w:sz w:val="22"/>
        </w:rPr>
        <w:t xml:space="preserve">We docked 3,085 dockable drugs (≈3,070 scored per target) against 10 tractable targets (30,850 poses; 30,687 scored) under exhaustiveness-1 (fidelity ceiling ρ ≈ 0.78, supporting candidate prioritisation only). </w:t>
      </w:r>
      <w:r>
        <w:rPr>
          <w:rFonts w:ascii="Times New Roman" w:hAnsi="Times New Roman"/>
          <w:b/>
          <w:i w:val="0"/>
          <w:sz w:val="22"/>
        </w:rPr>
        <w:t>Reverse positive controls</w:t>
      </w:r>
      <w:r>
        <w:rPr>
          <w:rFonts w:ascii="Times New Roman" w:hAnsi="Times New Roman"/>
          <w:b w:val="0"/>
          <w:i w:val="0"/>
          <w:sz w:val="22"/>
        </w:rPr>
        <w:t xml:space="preserve"> (ChEMBL binding-type) gave point-estimate AUCs of AXL (0.880), TNIK (0.824), ACVR1 (0.797) and MAPK14 (0.779); these pass as </w:t>
      </w:r>
      <w:r>
        <w:rPr>
          <w:rFonts w:ascii="Times New Roman" w:hAnsi="Times New Roman"/>
          <w:b w:val="0"/>
          <w:i/>
          <w:sz w:val="22"/>
        </w:rPr>
        <w:t>method-validation</w:t>
      </w:r>
      <w:r>
        <w:rPr>
          <w:rFonts w:ascii="Times New Roman" w:hAnsi="Times New Roman"/>
          <w:b w:val="0"/>
          <w:i w:val="0"/>
          <w:sz w:val="22"/>
        </w:rPr>
        <w:t xml:space="preserve"> controls (the screen can in principle separate known binders) but, as shown below, none survives the stricter size-independent enrichment test. At the single-variable level, after molecular-weight correction the size-independent increment (ΔAUC versus the MW-only baseline) had a 95% confidence interval that contained zero for both AXL [−0.030, +0.104] and TNIK [−0.224, +0.193], and ACVR1 and MAPK14 matched the MW-only baseline. A stricter multivariate physicochemical control (logistic known-binder ~ MW + logP + TPSA + HBD + HBA + rotB + docking affinity) showed that docking affinity added statistically significant discrimination beyond chemotype for AXL (likelihood-ratio p = 2.6e-5; AUC 0.895 → 0.927; EPV ≈ 1.9) and TNIK (p = 7.3e-5; 0.852 → 0.898; EPV ≈ 1.4); both rest on only ~9 positive events against ~7–9 parameters (EPV ≈ 1–2, far below the conventional ≥10), so the apparent discrimination is descriptive and EPV-unstable rather than validation, and is inconsistent with the simpler single-variable size-independent ΔAUC test (AXL [−0.030, +0.104], TNIK [−0.224, +0.193], neither exceeding zero); for ACVR1 the same model gave an apparently significant likelihood-ratio test (p = 9.6e-4; AUC 0.898 → 0.931), but this is not supported by the multivariate Wald test on the affinity coefficient (p = 0.17) nor by the simpler single-variable size-independent ΔAUC test (p = 0.584), and it rests on only 9 positive events against ~7 parameters (EPV ≈ 1), so we treat it as a non-reproducible fluctuation rather than signal; MAPK14 was marginal (p = 0.066) and ADRA2A only weak (p = 0.027; AUC 0.791 → 0.797). The same asymmetry standard applied to ACVR1 also applies to ADRA2A: its multivariate likelihood-ratio test is significant (p = 0.027) but the multivariate Wald test on the docking-affinity coefficient is not (p = 0.504), and the full-library AUC is non-informative (0.532, p = 0.118), so ADRA2A's apparent signal is likewise a non-reproducible fluctuation rather than established docking evidence; we hold it to the identical standard. Events-per-parameter (EPV) were low throughout: ACVR1 1.1, AXL 1.6, TNIK 1.3, MAPK14 2.0, ADRA2A ≈14; all ChEMBL-annotated positive controls except ADRA2A fall at EPV ≤ 2, far below the conventional ≥10, so the "discrimination beyond chemotype" for AXL, TNIK and ACVR1 is itself tentative and the multivariate likelihood-ratio test is a method-capability demonstration, not target evidence. The screen therefore cannot claim a validated enrichment for any candidate target, and the honest null applies to the absence of a reliable, size-independent candidate hit rather than to a broken method.</w:t>
      </w:r>
    </w:p>
    <w:p>
      <w:pPr>
        <w:spacing w:before="0" w:after="40"/>
      </w:pPr>
      <w:r>
        <w:rPr>
          <w:rFonts w:ascii="Times New Roman" w:hAnsi="Times New Roman"/>
          <w:b/>
          <w:i w:val="0"/>
          <w:sz w:val="22"/>
        </w:rPr>
        <w:t>Target-specific biological plausibility is assessed on the same footing for all 10 tractable targets</w:t>
      </w:r>
      <w:r>
        <w:rPr>
          <w:rFonts w:ascii="Times New Roman" w:hAnsi="Times New Roman"/>
          <w:b w:val="0"/>
          <w:i w:val="0"/>
          <w:sz w:val="22"/>
        </w:rPr>
        <w:t xml:space="preserve"> (the author has a pending grant in which ADRA2A is listed among candidate targets; this did not influence the present analyses). For every target, the docking null negates docking-based prioritisation only, never biological plausibility; the tables below report meta_Z, meta_FDR, direction consistency, number of holo PDB structures, and the known biological/pharmacological link. The 10 tractable targets are presented in two groups: Panel A lists seven </w:t>
      </w:r>
      <w:r>
        <w:rPr>
          <w:rFonts w:ascii="Times New Roman" w:hAnsi="Times New Roman"/>
          <w:b w:val="0"/>
          <w:i/>
          <w:sz w:val="22"/>
        </w:rPr>
        <w:t>biological candidates</w:t>
      </w:r>
      <w:r>
        <w:rPr>
          <w:rFonts w:ascii="Times New Roman" w:hAnsi="Times New Roman"/>
          <w:b w:val="0"/>
          <w:i w:val="0"/>
          <w:sz w:val="22"/>
        </w:rPr>
        <w:t xml:space="preserve"> (six with established or emerging analgesic-relevant rationale, plus SLC2A1 with emerging DRG-metabolic evidence), and Panel B lists three </w:t>
      </w:r>
      <w:r>
        <w:rPr>
          <w:rFonts w:ascii="Times New Roman" w:hAnsi="Times New Roman"/>
          <w:b w:val="0"/>
          <w:i/>
          <w:sz w:val="22"/>
        </w:rPr>
        <w:t>accessibility/negative controls</w:t>
      </w:r>
      <w:r>
        <w:rPr>
          <w:rFonts w:ascii="Times New Roman" w:hAnsi="Times New Roman"/>
          <w:b w:val="0"/>
          <w:i w:val="0"/>
          <w:sz w:val="22"/>
        </w:rPr>
        <w:t xml:space="preserve"> included solely because a ligand-anchored holo PDB structure made them dockable, with no analgesic link. The honest-null conclusion applies to all 10. We deliberately make no superlative claim for or against any single target: on the fixed-effect meta-evidence ADRA2A has the smallest |meta_Z| of the ten (4.45), yet under the random-effects meta-analysis only 2 of the 10 targets retained FDR &lt; 0.05 (TNIK 0.034, GALNS 0.0001), so target ranking is itself model-dependent and no target is either privileged or excluded by the meta-analysis. CDHR5, although it reached full three-method consensus as a hub, is an intestinal-epithelial annotation outlier with no DRG or pain role and is excluded from the biological-candidate shortlist (watch-list only; see Hub plausibility).</w:t>
      </w:r>
    </w:p>
    <w:p>
      <w:pPr>
        <w:spacing w:before="0" w:after="40"/>
      </w:pPr>
      <w:r>
        <w:rPr>
          <w:rFonts w:ascii="Times New Roman" w:hAnsi="Times New Roman"/>
          <w:b w:val="0"/>
          <w:i/>
          <w:sz w:val="22"/>
        </w:rPr>
        <w:t>Panel A — biological candidates (n = 7):</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before="20" w:after="20"/>
            </w:pPr>
            <w:r/>
            <w:r>
              <w:rPr>
                <w:rFonts w:ascii="Times New Roman" w:hAnsi="Times New Roman"/>
                <w:b/>
                <w:i w:val="0"/>
                <w:sz w:val="18"/>
              </w:rPr>
              <w:t>Target</w:t>
            </w:r>
          </w:p>
        </w:tc>
        <w:tc>
          <w:tcPr>
            <w:tcW w:type="dxa" w:w="1337"/>
          </w:tcPr>
          <w:p>
            <w:pPr>
              <w:spacing w:line="240" w:lineRule="auto" w:before="20" w:after="20"/>
            </w:pPr>
            <w:r/>
            <w:r>
              <w:rPr>
                <w:rFonts w:ascii="Times New Roman" w:hAnsi="Times New Roman"/>
                <w:b/>
                <w:i w:val="0"/>
                <w:sz w:val="18"/>
              </w:rPr>
              <w:t>meta_Z</w:t>
            </w:r>
          </w:p>
        </w:tc>
        <w:tc>
          <w:tcPr>
            <w:tcW w:type="dxa" w:w="1337"/>
          </w:tcPr>
          <w:p>
            <w:pPr>
              <w:spacing w:line="240" w:lineRule="auto" w:before="20" w:after="20"/>
            </w:pPr>
            <w:r/>
            <w:r>
              <w:rPr>
                <w:rFonts w:ascii="Times New Roman" w:hAnsi="Times New Roman"/>
                <w:b/>
                <w:i w:val="0"/>
                <w:sz w:val="18"/>
              </w:rPr>
              <w:t>meta_FDR</w:t>
            </w:r>
          </w:p>
        </w:tc>
        <w:tc>
          <w:tcPr>
            <w:tcW w:type="dxa" w:w="1337"/>
          </w:tcPr>
          <w:p>
            <w:pPr>
              <w:spacing w:line="240" w:lineRule="auto" w:before="20" w:after="20"/>
            </w:pPr>
            <w:r/>
            <w:r>
              <w:rPr>
                <w:rFonts w:ascii="Times New Roman" w:hAnsi="Times New Roman"/>
                <w:b/>
                <w:i w:val="0"/>
                <w:sz w:val="18"/>
              </w:rPr>
              <w:t>consistency</w:t>
            </w:r>
          </w:p>
        </w:tc>
        <w:tc>
          <w:tcPr>
            <w:tcW w:type="dxa" w:w="1337"/>
          </w:tcPr>
          <w:p>
            <w:pPr>
              <w:spacing w:line="240" w:lineRule="auto" w:before="20" w:after="20"/>
            </w:pPr>
            <w:r/>
            <w:r>
              <w:rPr>
                <w:rFonts w:ascii="Times New Roman" w:hAnsi="Times New Roman"/>
                <w:b/>
                <w:i w:val="0"/>
                <w:sz w:val="18"/>
              </w:rPr>
              <w:t>FDR_RE</w:t>
            </w:r>
          </w:p>
        </w:tc>
        <w:tc>
          <w:tcPr>
            <w:tcW w:type="dxa" w:w="1337"/>
          </w:tcPr>
          <w:p>
            <w:pPr>
              <w:spacing w:line="240" w:lineRule="auto" w:before="20" w:after="20"/>
            </w:pPr>
            <w:r/>
            <w:r>
              <w:rPr>
                <w:rFonts w:ascii="Times New Roman" w:hAnsi="Times New Roman"/>
                <w:b/>
                <w:i w:val="0"/>
                <w:sz w:val="18"/>
              </w:rPr>
              <w:t>n_holo_PDB</w:t>
            </w:r>
          </w:p>
        </w:tc>
        <w:tc>
          <w:tcPr>
            <w:tcW w:type="dxa" w:w="1337"/>
          </w:tcPr>
          <w:p>
            <w:pPr>
              <w:spacing w:line="240" w:lineRule="auto" w:before="20" w:after="20"/>
            </w:pPr>
            <w:r/>
            <w:r>
              <w:rPr>
                <w:rFonts w:ascii="Times New Roman" w:hAnsi="Times New Roman"/>
                <w:b/>
                <w:i w:val="0"/>
                <w:sz w:val="18"/>
              </w:rPr>
              <w:t>Known biological/pharmacological link</w:t>
            </w:r>
          </w:p>
        </w:tc>
      </w:tr>
      <w:tr>
        <w:tc>
          <w:tcPr>
            <w:tcW w:type="dxa" w:w="1337"/>
          </w:tcPr>
          <w:p>
            <w:pPr>
              <w:spacing w:line="240" w:lineRule="auto" w:before="20" w:after="20"/>
            </w:pPr>
            <w:r/>
            <w:r>
              <w:rPr>
                <w:rFonts w:ascii="Times New Roman" w:hAnsi="Times New Roman"/>
                <w:b w:val="0"/>
                <w:i w:val="0"/>
                <w:sz w:val="18"/>
              </w:rPr>
              <w:t>ADRA2A</w:t>
            </w:r>
          </w:p>
        </w:tc>
        <w:tc>
          <w:tcPr>
            <w:tcW w:type="dxa" w:w="1337"/>
          </w:tcPr>
          <w:p>
            <w:pPr>
              <w:spacing w:line="240" w:lineRule="auto" w:before="20" w:after="20"/>
            </w:pPr>
            <w:r/>
            <w:r>
              <w:rPr>
                <w:rFonts w:ascii="Times New Roman" w:hAnsi="Times New Roman"/>
                <w:b w:val="0"/>
                <w:i w:val="0"/>
                <w:sz w:val="18"/>
              </w:rPr>
              <w:t>4.45</w:t>
            </w:r>
          </w:p>
        </w:tc>
        <w:tc>
          <w:tcPr>
            <w:tcW w:type="dxa" w:w="1337"/>
          </w:tcPr>
          <w:p>
            <w:pPr>
              <w:spacing w:line="240" w:lineRule="auto" w:before="20" w:after="20"/>
            </w:pPr>
            <w:r/>
            <w:r>
              <w:rPr>
                <w:rFonts w:ascii="Times New Roman" w:hAnsi="Times New Roman"/>
                <w:b w:val="0"/>
                <w:i w:val="0"/>
                <w:sz w:val="18"/>
              </w:rPr>
              <w:t>8.35e-5</w:t>
            </w:r>
          </w:p>
        </w:tc>
        <w:tc>
          <w:tcPr>
            <w:tcW w:type="dxa" w:w="1337"/>
          </w:tcPr>
          <w:p>
            <w:pPr>
              <w:spacing w:line="240" w:lineRule="auto" w:before="20" w:after="20"/>
            </w:pPr>
            <w:r/>
            <w:r>
              <w:rPr>
                <w:rFonts w:ascii="Times New Roman" w:hAnsi="Times New Roman"/>
                <w:b w:val="0"/>
                <w:i w:val="0"/>
                <w:sz w:val="18"/>
              </w:rPr>
              <w:t>0.83</w:t>
            </w:r>
          </w:p>
        </w:tc>
        <w:tc>
          <w:tcPr>
            <w:tcW w:type="dxa" w:w="1337"/>
          </w:tcPr>
          <w:p>
            <w:pPr>
              <w:spacing w:line="240" w:lineRule="auto" w:before="20" w:after="20"/>
            </w:pPr>
            <w:r/>
            <w:r>
              <w:rPr>
                <w:rFonts w:ascii="Times New Roman" w:hAnsi="Times New Roman"/>
                <w:b w:val="0"/>
                <w:i w:val="0"/>
                <w:sz w:val="18"/>
              </w:rPr>
              <w:t>0.255</w:t>
            </w:r>
          </w:p>
        </w:tc>
        <w:tc>
          <w:tcPr>
            <w:tcW w:type="dxa" w:w="1337"/>
          </w:tcPr>
          <w:p>
            <w:pPr>
              <w:spacing w:line="240" w:lineRule="auto" w:before="20" w:after="20"/>
            </w:pPr>
            <w:r/>
            <w:r>
              <w:rPr>
                <w:rFonts w:ascii="Times New Roman" w:hAnsi="Times New Roman"/>
                <w:b w:val="0"/>
                <w:i w:val="0"/>
                <w:sz w:val="18"/>
              </w:rPr>
              <w:t>14</w:t>
            </w:r>
          </w:p>
        </w:tc>
        <w:tc>
          <w:tcPr>
            <w:tcW w:type="dxa" w:w="1337"/>
          </w:tcPr>
          <w:p>
            <w:pPr>
              <w:spacing w:line="240" w:lineRule="auto" w:before="20" w:after="20"/>
            </w:pPr>
            <w:r/>
            <w:r>
              <w:rPr>
                <w:rFonts w:ascii="Times New Roman" w:hAnsi="Times New Roman"/>
                <w:b w:val="0"/>
                <w:i w:val="0"/>
                <w:sz w:val="18"/>
              </w:rPr>
              <w:t>α²A adrenergic receptor; established analgesic pharmacology (descending noradrenergic and peripheral/DRG α2A components); the present signal is DRG-level and does not itself establish a descending mechanism</w:t>
            </w:r>
          </w:p>
        </w:tc>
      </w:tr>
      <w:tr>
        <w:tc>
          <w:tcPr>
            <w:tcW w:type="dxa" w:w="1337"/>
          </w:tcPr>
          <w:p>
            <w:pPr>
              <w:spacing w:line="240" w:lineRule="auto" w:before="20" w:after="20"/>
            </w:pPr>
            <w:r/>
            <w:r>
              <w:rPr>
                <w:rFonts w:ascii="Times New Roman" w:hAnsi="Times New Roman"/>
                <w:b w:val="0"/>
                <w:i w:val="0"/>
                <w:sz w:val="18"/>
              </w:rPr>
              <w:t>MAPK14</w:t>
            </w:r>
          </w:p>
        </w:tc>
        <w:tc>
          <w:tcPr>
            <w:tcW w:type="dxa" w:w="1337"/>
          </w:tcPr>
          <w:p>
            <w:pPr>
              <w:spacing w:line="240" w:lineRule="auto" w:before="20" w:after="20"/>
            </w:pPr>
            <w:r/>
            <w:r>
              <w:rPr>
                <w:rFonts w:ascii="Times New Roman" w:hAnsi="Times New Roman"/>
                <w:b w:val="0"/>
                <w:i w:val="0"/>
                <w:sz w:val="18"/>
              </w:rPr>
              <w:t>5.12</w:t>
            </w:r>
          </w:p>
        </w:tc>
        <w:tc>
          <w:tcPr>
            <w:tcW w:type="dxa" w:w="1337"/>
          </w:tcPr>
          <w:p>
            <w:pPr>
              <w:spacing w:line="240" w:lineRule="auto" w:before="20" w:after="20"/>
            </w:pPr>
            <w:r/>
            <w:r>
              <w:rPr>
                <w:rFonts w:ascii="Times New Roman" w:hAnsi="Times New Roman"/>
                <w:b w:val="0"/>
                <w:i w:val="0"/>
                <w:sz w:val="18"/>
              </w:rPr>
              <w:t>5.39e-6</w:t>
            </w:r>
          </w:p>
        </w:tc>
        <w:tc>
          <w:tcPr>
            <w:tcW w:type="dxa" w:w="1337"/>
          </w:tcPr>
          <w:p>
            <w:pPr>
              <w:spacing w:line="240" w:lineRule="auto" w:before="20" w:after="20"/>
            </w:pPr>
            <w:r/>
            <w:r>
              <w:rPr>
                <w:rFonts w:ascii="Times New Roman" w:hAnsi="Times New Roman"/>
                <w:b w:val="0"/>
                <w:i w:val="0"/>
                <w:sz w:val="18"/>
              </w:rPr>
              <w:t>0.83</w:t>
            </w:r>
          </w:p>
        </w:tc>
        <w:tc>
          <w:tcPr>
            <w:tcW w:type="dxa" w:w="1337"/>
          </w:tcPr>
          <w:p>
            <w:pPr>
              <w:spacing w:line="240" w:lineRule="auto" w:before="20" w:after="20"/>
            </w:pPr>
            <w:r/>
            <w:r>
              <w:rPr>
                <w:rFonts w:ascii="Times New Roman" w:hAnsi="Times New Roman"/>
                <w:b w:val="0"/>
                <w:i w:val="0"/>
                <w:sz w:val="18"/>
              </w:rPr>
              <w:t>0.616</w:t>
            </w:r>
          </w:p>
        </w:tc>
        <w:tc>
          <w:tcPr>
            <w:tcW w:type="dxa" w:w="1337"/>
          </w:tcPr>
          <w:p>
            <w:pPr>
              <w:spacing w:line="240" w:lineRule="auto" w:before="20" w:after="20"/>
            </w:pPr>
            <w:r/>
            <w:r>
              <w:rPr>
                <w:rFonts w:ascii="Times New Roman" w:hAnsi="Times New Roman"/>
                <w:b w:val="0"/>
                <w:i w:val="0"/>
                <w:sz w:val="18"/>
              </w:rPr>
              <w:t>25</w:t>
            </w:r>
          </w:p>
        </w:tc>
        <w:tc>
          <w:tcPr>
            <w:tcW w:type="dxa" w:w="1337"/>
          </w:tcPr>
          <w:p>
            <w:pPr>
              <w:spacing w:line="240" w:lineRule="auto" w:before="20" w:after="20"/>
            </w:pPr>
            <w:r/>
            <w:r>
              <w:rPr>
                <w:rFonts w:ascii="Times New Roman" w:hAnsi="Times New Roman"/>
                <w:b w:val="0"/>
                <w:i w:val="0"/>
                <w:sz w:val="18"/>
              </w:rPr>
              <w:t>p38 MAPK; canonical inflammatory-pain kinase</w:t>
            </w:r>
          </w:p>
        </w:tc>
      </w:tr>
      <w:tr>
        <w:tc>
          <w:tcPr>
            <w:tcW w:type="dxa" w:w="1337"/>
          </w:tcPr>
          <w:p>
            <w:pPr>
              <w:spacing w:line="240" w:lineRule="auto" w:before="20" w:after="20"/>
            </w:pPr>
            <w:r/>
            <w:r>
              <w:rPr>
                <w:rFonts w:ascii="Times New Roman" w:hAnsi="Times New Roman"/>
                <w:b w:val="0"/>
                <w:i w:val="0"/>
                <w:sz w:val="18"/>
              </w:rPr>
              <w:t>AXL</w:t>
            </w:r>
          </w:p>
        </w:tc>
        <w:tc>
          <w:tcPr>
            <w:tcW w:type="dxa" w:w="1337"/>
          </w:tcPr>
          <w:p>
            <w:pPr>
              <w:spacing w:line="240" w:lineRule="auto" w:before="20" w:after="20"/>
            </w:pPr>
            <w:r/>
            <w:r>
              <w:rPr>
                <w:rFonts w:ascii="Times New Roman" w:hAnsi="Times New Roman"/>
                <w:b w:val="0"/>
                <w:i w:val="0"/>
                <w:sz w:val="18"/>
              </w:rPr>
              <w:t>6.14</w:t>
            </w:r>
          </w:p>
        </w:tc>
        <w:tc>
          <w:tcPr>
            <w:tcW w:type="dxa" w:w="1337"/>
          </w:tcPr>
          <w:p>
            <w:pPr>
              <w:spacing w:line="240" w:lineRule="auto" w:before="20" w:after="20"/>
            </w:pPr>
            <w:r/>
            <w:r>
              <w:rPr>
                <w:rFonts w:ascii="Times New Roman" w:hAnsi="Times New Roman"/>
                <w:b w:val="0"/>
                <w:i w:val="0"/>
                <w:sz w:val="18"/>
              </w:rPr>
              <w:t>4.04e-8</w:t>
            </w:r>
          </w:p>
        </w:tc>
        <w:tc>
          <w:tcPr>
            <w:tcW w:type="dxa" w:w="1337"/>
          </w:tcPr>
          <w:p>
            <w:pPr>
              <w:spacing w:line="240" w:lineRule="auto" w:before="20" w:after="20"/>
            </w:pPr>
            <w:r/>
            <w:r>
              <w:rPr>
                <w:rFonts w:ascii="Times New Roman" w:hAnsi="Times New Roman"/>
                <w:b w:val="0"/>
                <w:i w:val="0"/>
                <w:sz w:val="18"/>
              </w:rPr>
              <w:t>1.00</w:t>
            </w:r>
          </w:p>
        </w:tc>
        <w:tc>
          <w:tcPr>
            <w:tcW w:type="dxa" w:w="1337"/>
          </w:tcPr>
          <w:p>
            <w:pPr>
              <w:spacing w:line="240" w:lineRule="auto" w:before="20" w:after="20"/>
            </w:pPr>
            <w:r/>
            <w:r>
              <w:rPr>
                <w:rFonts w:ascii="Times New Roman" w:hAnsi="Times New Roman"/>
                <w:b w:val="0"/>
                <w:i w:val="0"/>
                <w:sz w:val="18"/>
              </w:rPr>
              <w:t>0.098</w:t>
            </w:r>
          </w:p>
        </w:tc>
        <w:tc>
          <w:tcPr>
            <w:tcW w:type="dxa" w:w="1337"/>
          </w:tcPr>
          <w:p>
            <w:pPr>
              <w:spacing w:line="240" w:lineRule="auto" w:before="20" w:after="20"/>
            </w:pPr>
            <w:r/>
            <w:r>
              <w:rPr>
                <w:rFonts w:ascii="Times New Roman" w:hAnsi="Times New Roman"/>
                <w:b w:val="0"/>
                <w:i w:val="0"/>
                <w:sz w:val="18"/>
              </w:rPr>
              <w:t>4</w:t>
            </w:r>
          </w:p>
        </w:tc>
        <w:tc>
          <w:tcPr>
            <w:tcW w:type="dxa" w:w="1337"/>
          </w:tcPr>
          <w:p>
            <w:pPr>
              <w:spacing w:line="240" w:lineRule="auto" w:before="20" w:after="20"/>
            </w:pPr>
            <w:r/>
            <w:r>
              <w:rPr>
                <w:rFonts w:ascii="Times New Roman" w:hAnsi="Times New Roman"/>
                <w:b w:val="0"/>
                <w:i w:val="0"/>
                <w:sz w:val="18"/>
              </w:rPr>
              <w:t>Microglial receptor tyrosine kinase; glial pain signalling</w:t>
            </w:r>
          </w:p>
        </w:tc>
      </w:tr>
      <w:tr>
        <w:tc>
          <w:tcPr>
            <w:tcW w:type="dxa" w:w="1337"/>
          </w:tcPr>
          <w:p>
            <w:pPr>
              <w:spacing w:line="240" w:lineRule="auto" w:before="20" w:after="20"/>
            </w:pPr>
            <w:r/>
            <w:r>
              <w:rPr>
                <w:rFonts w:ascii="Times New Roman" w:hAnsi="Times New Roman"/>
                <w:b w:val="0"/>
                <w:i w:val="0"/>
                <w:sz w:val="18"/>
              </w:rPr>
              <w:t>TNIK</w:t>
            </w:r>
          </w:p>
        </w:tc>
        <w:tc>
          <w:tcPr>
            <w:tcW w:type="dxa" w:w="1337"/>
          </w:tcPr>
          <w:p>
            <w:pPr>
              <w:spacing w:line="240" w:lineRule="auto" w:before="20" w:after="20"/>
            </w:pPr>
            <w:r/>
            <w:r>
              <w:rPr>
                <w:rFonts w:ascii="Times New Roman" w:hAnsi="Times New Roman"/>
                <w:b w:val="0"/>
                <w:i w:val="0"/>
                <w:sz w:val="18"/>
              </w:rPr>
              <w:t>8.00</w:t>
            </w:r>
          </w:p>
        </w:tc>
        <w:tc>
          <w:tcPr>
            <w:tcW w:type="dxa" w:w="1337"/>
          </w:tcPr>
          <w:p>
            <w:pPr>
              <w:spacing w:line="240" w:lineRule="auto" w:before="20" w:after="20"/>
            </w:pPr>
            <w:r/>
            <w:r>
              <w:rPr>
                <w:rFonts w:ascii="Times New Roman" w:hAnsi="Times New Roman"/>
                <w:b w:val="0"/>
                <w:i w:val="0"/>
                <w:sz w:val="18"/>
              </w:rPr>
              <w:t>8.59e-13</w:t>
            </w:r>
          </w:p>
        </w:tc>
        <w:tc>
          <w:tcPr>
            <w:tcW w:type="dxa" w:w="1337"/>
          </w:tcPr>
          <w:p>
            <w:pPr>
              <w:spacing w:line="240" w:lineRule="auto" w:before="20" w:after="20"/>
            </w:pPr>
            <w:r/>
            <w:r>
              <w:rPr>
                <w:rFonts w:ascii="Times New Roman" w:hAnsi="Times New Roman"/>
                <w:b w:val="0"/>
                <w:i w:val="0"/>
                <w:sz w:val="18"/>
              </w:rPr>
              <w:t>0.83</w:t>
            </w:r>
          </w:p>
        </w:tc>
        <w:tc>
          <w:tcPr>
            <w:tcW w:type="dxa" w:w="1337"/>
          </w:tcPr>
          <w:p>
            <w:pPr>
              <w:spacing w:line="240" w:lineRule="auto" w:before="20" w:after="20"/>
            </w:pPr>
            <w:r/>
            <w:r>
              <w:rPr>
                <w:rFonts w:ascii="Times New Roman" w:hAnsi="Times New Roman"/>
                <w:b w:val="0"/>
                <w:i w:val="0"/>
                <w:sz w:val="18"/>
              </w:rPr>
              <w:t>0.034</w:t>
            </w:r>
          </w:p>
        </w:tc>
        <w:tc>
          <w:tcPr>
            <w:tcW w:type="dxa" w:w="1337"/>
          </w:tcPr>
          <w:p>
            <w:pPr>
              <w:spacing w:line="240" w:lineRule="auto" w:before="20" w:after="20"/>
            </w:pPr>
            <w:r/>
            <w:r>
              <w:rPr>
                <w:rFonts w:ascii="Times New Roman" w:hAnsi="Times New Roman"/>
                <w:b w:val="0"/>
                <w:i w:val="0"/>
                <w:sz w:val="18"/>
              </w:rPr>
              <w:t>10</w:t>
            </w:r>
          </w:p>
        </w:tc>
        <w:tc>
          <w:tcPr>
            <w:tcW w:type="dxa" w:w="1337"/>
          </w:tcPr>
          <w:p>
            <w:pPr>
              <w:spacing w:line="240" w:lineRule="auto" w:before="20" w:after="20"/>
            </w:pPr>
            <w:r/>
            <w:r>
              <w:rPr>
                <w:rFonts w:ascii="Times New Roman" w:hAnsi="Times New Roman"/>
                <w:b w:val="0"/>
                <w:i w:val="0"/>
                <w:sz w:val="18"/>
              </w:rPr>
              <w:t>TGF-β/WNK kinase (no analgesic link)</w:t>
            </w:r>
          </w:p>
        </w:tc>
      </w:tr>
      <w:tr>
        <w:tc>
          <w:tcPr>
            <w:tcW w:type="dxa" w:w="1337"/>
          </w:tcPr>
          <w:p>
            <w:pPr>
              <w:spacing w:line="240" w:lineRule="auto" w:before="20" w:after="20"/>
            </w:pPr>
            <w:r/>
            <w:r>
              <w:rPr>
                <w:rFonts w:ascii="Times New Roman" w:hAnsi="Times New Roman"/>
                <w:b w:val="0"/>
                <w:i w:val="0"/>
                <w:sz w:val="18"/>
              </w:rPr>
              <w:t>ACVR1</w:t>
            </w:r>
          </w:p>
        </w:tc>
        <w:tc>
          <w:tcPr>
            <w:tcW w:type="dxa" w:w="1337"/>
          </w:tcPr>
          <w:p>
            <w:pPr>
              <w:spacing w:line="240" w:lineRule="auto" w:before="20" w:after="20"/>
            </w:pPr>
            <w:r/>
            <w:r>
              <w:rPr>
                <w:rFonts w:ascii="Times New Roman" w:hAnsi="Times New Roman"/>
                <w:b w:val="0"/>
                <w:i w:val="0"/>
                <w:sz w:val="18"/>
              </w:rPr>
              <w:t>6.95</w:t>
            </w:r>
          </w:p>
        </w:tc>
        <w:tc>
          <w:tcPr>
            <w:tcW w:type="dxa" w:w="1337"/>
          </w:tcPr>
          <w:p>
            <w:pPr>
              <w:spacing w:line="240" w:lineRule="auto" w:before="20" w:after="20"/>
            </w:pPr>
            <w:r/>
            <w:r>
              <w:rPr>
                <w:rFonts w:ascii="Times New Roman" w:hAnsi="Times New Roman"/>
                <w:b w:val="0"/>
                <w:i w:val="0"/>
                <w:sz w:val="18"/>
              </w:rPr>
              <w:t>5.42e-10</w:t>
            </w:r>
          </w:p>
        </w:tc>
        <w:tc>
          <w:tcPr>
            <w:tcW w:type="dxa" w:w="1337"/>
          </w:tcPr>
          <w:p>
            <w:pPr>
              <w:spacing w:line="240" w:lineRule="auto" w:before="20" w:after="20"/>
            </w:pPr>
            <w:r/>
            <w:r>
              <w:rPr>
                <w:rFonts w:ascii="Times New Roman" w:hAnsi="Times New Roman"/>
                <w:b w:val="0"/>
                <w:i w:val="0"/>
                <w:sz w:val="18"/>
              </w:rPr>
              <w:t>1.00</w:t>
            </w:r>
          </w:p>
        </w:tc>
        <w:tc>
          <w:tcPr>
            <w:tcW w:type="dxa" w:w="1337"/>
          </w:tcPr>
          <w:p>
            <w:pPr>
              <w:spacing w:line="240" w:lineRule="auto" w:before="20" w:after="20"/>
            </w:pPr>
            <w:r/>
            <w:r>
              <w:rPr>
                <w:rFonts w:ascii="Times New Roman" w:hAnsi="Times New Roman"/>
                <w:b w:val="0"/>
                <w:i w:val="0"/>
                <w:sz w:val="18"/>
              </w:rPr>
              <w:t>0.249</w:t>
            </w:r>
          </w:p>
        </w:tc>
        <w:tc>
          <w:tcPr>
            <w:tcW w:type="dxa" w:w="1337"/>
          </w:tcPr>
          <w:p>
            <w:pPr>
              <w:spacing w:line="240" w:lineRule="auto" w:before="20" w:after="20"/>
            </w:pPr>
            <w:r/>
            <w:r>
              <w:rPr>
                <w:rFonts w:ascii="Times New Roman" w:hAnsi="Times New Roman"/>
                <w:b w:val="0"/>
                <w:i w:val="0"/>
                <w:sz w:val="18"/>
              </w:rPr>
              <w:t>25</w:t>
            </w:r>
          </w:p>
        </w:tc>
        <w:tc>
          <w:tcPr>
            <w:tcW w:type="dxa" w:w="1337"/>
          </w:tcPr>
          <w:p>
            <w:pPr>
              <w:spacing w:line="240" w:lineRule="auto" w:before="20" w:after="20"/>
            </w:pPr>
            <w:r/>
            <w:r>
              <w:rPr>
                <w:rFonts w:ascii="Times New Roman" w:hAnsi="Times New Roman"/>
                <w:b w:val="0"/>
                <w:i w:val="0"/>
                <w:sz w:val="18"/>
              </w:rPr>
              <w:t>ALK2 BMP receptor (no analgesic link)</w:t>
            </w:r>
          </w:p>
        </w:tc>
      </w:tr>
      <w:tr>
        <w:tc>
          <w:tcPr>
            <w:tcW w:type="dxa" w:w="1337"/>
          </w:tcPr>
          <w:p>
            <w:pPr>
              <w:spacing w:line="240" w:lineRule="auto" w:before="20" w:after="20"/>
            </w:pPr>
            <w:r/>
            <w:r>
              <w:rPr>
                <w:rFonts w:ascii="Times New Roman" w:hAnsi="Times New Roman"/>
                <w:b w:val="0"/>
                <w:i w:val="0"/>
                <w:sz w:val="18"/>
              </w:rPr>
              <w:t>SERPINE1</w:t>
            </w:r>
          </w:p>
        </w:tc>
        <w:tc>
          <w:tcPr>
            <w:tcW w:type="dxa" w:w="1337"/>
          </w:tcPr>
          <w:p>
            <w:pPr>
              <w:spacing w:line="240" w:lineRule="auto" w:before="20" w:after="20"/>
            </w:pPr>
            <w:r/>
            <w:r>
              <w:rPr>
                <w:rFonts w:ascii="Times New Roman" w:hAnsi="Times New Roman"/>
                <w:b w:val="0"/>
                <w:i w:val="0"/>
                <w:sz w:val="18"/>
              </w:rPr>
              <w:t>6.92</w:t>
            </w:r>
          </w:p>
        </w:tc>
        <w:tc>
          <w:tcPr>
            <w:tcW w:type="dxa" w:w="1337"/>
          </w:tcPr>
          <w:p>
            <w:pPr>
              <w:spacing w:line="240" w:lineRule="auto" w:before="20" w:after="20"/>
            </w:pPr>
            <w:r/>
            <w:r>
              <w:rPr>
                <w:rFonts w:ascii="Times New Roman" w:hAnsi="Times New Roman"/>
                <w:b w:val="0"/>
                <w:i w:val="0"/>
                <w:sz w:val="18"/>
              </w:rPr>
              <w:t>6.34e-10</w:t>
            </w:r>
          </w:p>
        </w:tc>
        <w:tc>
          <w:tcPr>
            <w:tcW w:type="dxa" w:w="1337"/>
          </w:tcPr>
          <w:p>
            <w:pPr>
              <w:spacing w:line="240" w:lineRule="auto" w:before="20" w:after="20"/>
            </w:pPr>
            <w:r/>
            <w:r>
              <w:rPr>
                <w:rFonts w:ascii="Times New Roman" w:hAnsi="Times New Roman"/>
                <w:b w:val="0"/>
                <w:i w:val="0"/>
                <w:sz w:val="18"/>
              </w:rPr>
              <w:t>1.00</w:t>
            </w:r>
          </w:p>
        </w:tc>
        <w:tc>
          <w:tcPr>
            <w:tcW w:type="dxa" w:w="1337"/>
          </w:tcPr>
          <w:p>
            <w:pPr>
              <w:spacing w:line="240" w:lineRule="auto" w:before="20" w:after="20"/>
            </w:pPr>
            <w:r/>
            <w:r>
              <w:rPr>
                <w:rFonts w:ascii="Times New Roman" w:hAnsi="Times New Roman"/>
                <w:b w:val="0"/>
                <w:i w:val="0"/>
                <w:sz w:val="18"/>
              </w:rPr>
              <w:t>0.087</w:t>
            </w:r>
          </w:p>
        </w:tc>
        <w:tc>
          <w:tcPr>
            <w:tcW w:type="dxa" w:w="1337"/>
          </w:tcPr>
          <w:p>
            <w:pPr>
              <w:spacing w:line="240" w:lineRule="auto" w:before="20" w:after="20"/>
            </w:pPr>
            <w:r/>
            <w:r>
              <w:rPr>
                <w:rFonts w:ascii="Times New Roman" w:hAnsi="Times New Roman"/>
                <w:b w:val="0"/>
                <w:i w:val="0"/>
                <w:sz w:val="18"/>
              </w:rPr>
              <w:t>16</w:t>
            </w:r>
          </w:p>
        </w:tc>
        <w:tc>
          <w:tcPr>
            <w:tcW w:type="dxa" w:w="1337"/>
          </w:tcPr>
          <w:p>
            <w:pPr>
              <w:spacing w:line="240" w:lineRule="auto" w:before="20" w:after="20"/>
            </w:pPr>
            <w:r/>
            <w:r>
              <w:rPr>
                <w:rFonts w:ascii="Times New Roman" w:hAnsi="Times New Roman"/>
                <w:b w:val="0"/>
                <w:i w:val="0"/>
                <w:sz w:val="18"/>
              </w:rPr>
              <w:t>PAI-1, plasminogen system (neuroimmune)</w:t>
            </w:r>
          </w:p>
        </w:tc>
      </w:tr>
      <w:tr>
        <w:tc>
          <w:tcPr>
            <w:tcW w:type="dxa" w:w="1337"/>
          </w:tcPr>
          <w:p>
            <w:pPr>
              <w:spacing w:line="240" w:lineRule="auto" w:before="20" w:after="20"/>
            </w:pPr>
            <w:r/>
            <w:r>
              <w:rPr>
                <w:rFonts w:ascii="Times New Roman" w:hAnsi="Times New Roman"/>
                <w:b w:val="0"/>
                <w:i w:val="0"/>
                <w:sz w:val="18"/>
              </w:rPr>
              <w:t>SLC2A1</w:t>
            </w:r>
          </w:p>
        </w:tc>
        <w:tc>
          <w:tcPr>
            <w:tcW w:type="dxa" w:w="1337"/>
          </w:tcPr>
          <w:p>
            <w:pPr>
              <w:spacing w:line="240" w:lineRule="auto" w:before="20" w:after="20"/>
            </w:pPr>
            <w:r/>
            <w:r>
              <w:rPr>
                <w:rFonts w:ascii="Times New Roman" w:hAnsi="Times New Roman"/>
                <w:b w:val="0"/>
                <w:i w:val="0"/>
                <w:sz w:val="18"/>
              </w:rPr>
              <w:t>5.59</w:t>
            </w:r>
          </w:p>
        </w:tc>
        <w:tc>
          <w:tcPr>
            <w:tcW w:type="dxa" w:w="1337"/>
          </w:tcPr>
          <w:p>
            <w:pPr>
              <w:spacing w:line="240" w:lineRule="auto" w:before="20" w:after="20"/>
            </w:pPr>
            <w:r/>
            <w:r>
              <w:rPr>
                <w:rFonts w:ascii="Times New Roman" w:hAnsi="Times New Roman"/>
                <w:b w:val="0"/>
                <w:i w:val="0"/>
                <w:sz w:val="18"/>
              </w:rPr>
              <w:t>6.57e-7</w:t>
            </w:r>
          </w:p>
        </w:tc>
        <w:tc>
          <w:tcPr>
            <w:tcW w:type="dxa" w:w="1337"/>
          </w:tcPr>
          <w:p>
            <w:pPr>
              <w:spacing w:line="240" w:lineRule="auto" w:before="20" w:after="20"/>
            </w:pPr>
            <w:r/>
            <w:r>
              <w:rPr>
                <w:rFonts w:ascii="Times New Roman" w:hAnsi="Times New Roman"/>
                <w:b w:val="0"/>
                <w:i w:val="0"/>
                <w:sz w:val="18"/>
              </w:rPr>
              <w:t>0.83</w:t>
            </w:r>
          </w:p>
        </w:tc>
        <w:tc>
          <w:tcPr>
            <w:tcW w:type="dxa" w:w="1337"/>
          </w:tcPr>
          <w:p>
            <w:pPr>
              <w:spacing w:line="240" w:lineRule="auto" w:before="20" w:after="20"/>
            </w:pPr>
            <w:r/>
            <w:r>
              <w:rPr>
                <w:rFonts w:ascii="Times New Roman" w:hAnsi="Times New Roman"/>
                <w:b w:val="0"/>
                <w:i w:val="0"/>
                <w:sz w:val="18"/>
              </w:rPr>
              <w:t>0.360</w:t>
            </w:r>
          </w:p>
        </w:tc>
        <w:tc>
          <w:tcPr>
            <w:tcW w:type="dxa" w:w="1337"/>
          </w:tcPr>
          <w:p>
            <w:pPr>
              <w:spacing w:line="240" w:lineRule="auto" w:before="20" w:after="20"/>
            </w:pPr>
            <w:r/>
            <w:r>
              <w:rPr>
                <w:rFonts w:ascii="Times New Roman" w:hAnsi="Times New Roman"/>
                <w:b w:val="0"/>
                <w:i w:val="0"/>
                <w:sz w:val="18"/>
              </w:rPr>
              <w:t>5</w:t>
            </w:r>
          </w:p>
        </w:tc>
        <w:tc>
          <w:tcPr>
            <w:tcW w:type="dxa" w:w="1337"/>
          </w:tcPr>
          <w:p>
            <w:pPr>
              <w:spacing w:line="240" w:lineRule="auto" w:before="20" w:after="20"/>
            </w:pPr>
            <w:r/>
            <w:r>
              <w:rPr>
                <w:rFonts w:ascii="Times New Roman" w:hAnsi="Times New Roman"/>
                <w:b w:val="0"/>
                <w:i w:val="0"/>
                <w:sz w:val="18"/>
              </w:rPr>
              <w:t>Glucose transporter; emerging DRG-metabolic evidence (no analgesic link)</w:t>
            </w:r>
          </w:p>
        </w:tc>
      </w:tr>
    </w:tbl>
    <w:p>
      <w:pPr>
        <w:spacing w:before="0" w:after="80"/>
      </w:pPr>
    </w:p>
    <w:p>
      <w:pPr>
        <w:spacing w:before="0" w:after="40"/>
      </w:pPr>
      <w:r>
        <w:rPr>
          <w:rFonts w:ascii="Times New Roman" w:hAnsi="Times New Roman"/>
          <w:b w:val="0"/>
          <w:i/>
          <w:sz w:val="22"/>
        </w:rPr>
        <w:t>Panel B — accessibility / negative controls (n = 3; included only because a ligand-anchored holo PDB made them dockable):</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pPr>
              <w:spacing w:line="240" w:lineRule="auto" w:before="20" w:after="20"/>
            </w:pPr>
            <w:r/>
            <w:r>
              <w:rPr>
                <w:rFonts w:ascii="Times New Roman" w:hAnsi="Times New Roman"/>
                <w:b/>
                <w:i w:val="0"/>
                <w:sz w:val="18"/>
              </w:rPr>
              <w:t>Target</w:t>
            </w:r>
          </w:p>
        </w:tc>
        <w:tc>
          <w:tcPr>
            <w:tcW w:type="dxa" w:w="1337"/>
          </w:tcPr>
          <w:p>
            <w:pPr>
              <w:spacing w:line="240" w:lineRule="auto" w:before="20" w:after="20"/>
            </w:pPr>
            <w:r/>
            <w:r>
              <w:rPr>
                <w:rFonts w:ascii="Times New Roman" w:hAnsi="Times New Roman"/>
                <w:b/>
                <w:i w:val="0"/>
                <w:sz w:val="18"/>
              </w:rPr>
              <w:t>meta_Z</w:t>
            </w:r>
          </w:p>
        </w:tc>
        <w:tc>
          <w:tcPr>
            <w:tcW w:type="dxa" w:w="1337"/>
          </w:tcPr>
          <w:p>
            <w:pPr>
              <w:spacing w:line="240" w:lineRule="auto" w:before="20" w:after="20"/>
            </w:pPr>
            <w:r/>
            <w:r>
              <w:rPr>
                <w:rFonts w:ascii="Times New Roman" w:hAnsi="Times New Roman"/>
                <w:b/>
                <w:i w:val="0"/>
                <w:sz w:val="18"/>
              </w:rPr>
              <w:t>meta_FDR</w:t>
            </w:r>
          </w:p>
        </w:tc>
        <w:tc>
          <w:tcPr>
            <w:tcW w:type="dxa" w:w="1337"/>
          </w:tcPr>
          <w:p>
            <w:pPr>
              <w:spacing w:line="240" w:lineRule="auto" w:before="20" w:after="20"/>
            </w:pPr>
            <w:r/>
            <w:r>
              <w:rPr>
                <w:rFonts w:ascii="Times New Roman" w:hAnsi="Times New Roman"/>
                <w:b/>
                <w:i w:val="0"/>
                <w:sz w:val="18"/>
              </w:rPr>
              <w:t>consistency</w:t>
            </w:r>
          </w:p>
        </w:tc>
        <w:tc>
          <w:tcPr>
            <w:tcW w:type="dxa" w:w="1337"/>
          </w:tcPr>
          <w:p>
            <w:pPr>
              <w:spacing w:line="240" w:lineRule="auto" w:before="20" w:after="20"/>
            </w:pPr>
            <w:r/>
            <w:r>
              <w:rPr>
                <w:rFonts w:ascii="Times New Roman" w:hAnsi="Times New Roman"/>
                <w:b/>
                <w:i w:val="0"/>
                <w:sz w:val="18"/>
              </w:rPr>
              <w:t>FDR_RE</w:t>
            </w:r>
          </w:p>
        </w:tc>
        <w:tc>
          <w:tcPr>
            <w:tcW w:type="dxa" w:w="1337"/>
          </w:tcPr>
          <w:p>
            <w:pPr>
              <w:spacing w:line="240" w:lineRule="auto" w:before="20" w:after="20"/>
            </w:pPr>
            <w:r/>
            <w:r>
              <w:rPr>
                <w:rFonts w:ascii="Times New Roman" w:hAnsi="Times New Roman"/>
                <w:b/>
                <w:i w:val="0"/>
                <w:sz w:val="18"/>
              </w:rPr>
              <w:t>n_holo_PDB</w:t>
            </w:r>
          </w:p>
        </w:tc>
        <w:tc>
          <w:tcPr>
            <w:tcW w:type="dxa" w:w="1337"/>
          </w:tcPr>
          <w:p>
            <w:pPr>
              <w:spacing w:line="240" w:lineRule="auto" w:before="20" w:after="20"/>
            </w:pPr>
            <w:r/>
            <w:r>
              <w:rPr>
                <w:rFonts w:ascii="Times New Roman" w:hAnsi="Times New Roman"/>
                <w:b/>
                <w:i w:val="0"/>
                <w:sz w:val="18"/>
              </w:rPr>
              <w:t>Known biological/pharmacological link</w:t>
            </w:r>
          </w:p>
        </w:tc>
      </w:tr>
      <w:tr>
        <w:tc>
          <w:tcPr>
            <w:tcW w:type="dxa" w:w="1337"/>
          </w:tcPr>
          <w:p>
            <w:pPr>
              <w:spacing w:line="240" w:lineRule="auto" w:before="20" w:after="20"/>
            </w:pPr>
            <w:r/>
            <w:r>
              <w:rPr>
                <w:rFonts w:ascii="Times New Roman" w:hAnsi="Times New Roman"/>
                <w:b w:val="0"/>
                <w:i w:val="0"/>
                <w:sz w:val="18"/>
              </w:rPr>
              <w:t>GALNS</w:t>
            </w:r>
          </w:p>
        </w:tc>
        <w:tc>
          <w:tcPr>
            <w:tcW w:type="dxa" w:w="1337"/>
          </w:tcPr>
          <w:p>
            <w:pPr>
              <w:spacing w:line="240" w:lineRule="auto" w:before="20" w:after="20"/>
            </w:pPr>
            <w:r/>
            <w:r>
              <w:rPr>
                <w:rFonts w:ascii="Times New Roman" w:hAnsi="Times New Roman"/>
                <w:b w:val="0"/>
                <w:i w:val="0"/>
                <w:sz w:val="18"/>
              </w:rPr>
              <w:t>6.08</w:t>
            </w:r>
          </w:p>
        </w:tc>
        <w:tc>
          <w:tcPr>
            <w:tcW w:type="dxa" w:w="1337"/>
          </w:tcPr>
          <w:p>
            <w:pPr>
              <w:spacing w:line="240" w:lineRule="auto" w:before="20" w:after="20"/>
            </w:pPr>
            <w:r/>
            <w:r>
              <w:rPr>
                <w:rFonts w:ascii="Times New Roman" w:hAnsi="Times New Roman"/>
                <w:b w:val="0"/>
                <w:i w:val="0"/>
                <w:sz w:val="18"/>
              </w:rPr>
              <w:t>5.53e-8</w:t>
            </w:r>
          </w:p>
        </w:tc>
        <w:tc>
          <w:tcPr>
            <w:tcW w:type="dxa" w:w="1337"/>
          </w:tcPr>
          <w:p>
            <w:pPr>
              <w:spacing w:line="240" w:lineRule="auto" w:before="20" w:after="20"/>
            </w:pPr>
            <w:r/>
            <w:r>
              <w:rPr>
                <w:rFonts w:ascii="Times New Roman" w:hAnsi="Times New Roman"/>
                <w:b w:val="0"/>
                <w:i w:val="0"/>
                <w:sz w:val="18"/>
              </w:rPr>
              <w:t>0.83</w:t>
            </w:r>
          </w:p>
        </w:tc>
        <w:tc>
          <w:tcPr>
            <w:tcW w:type="dxa" w:w="1337"/>
          </w:tcPr>
          <w:p>
            <w:pPr>
              <w:spacing w:line="240" w:lineRule="auto" w:before="20" w:after="20"/>
            </w:pPr>
            <w:r/>
            <w:r>
              <w:rPr>
                <w:rFonts w:ascii="Times New Roman" w:hAnsi="Times New Roman"/>
                <w:b w:val="0"/>
                <w:i w:val="0"/>
                <w:sz w:val="18"/>
              </w:rPr>
              <w:t>0.0001</w:t>
            </w:r>
          </w:p>
        </w:tc>
        <w:tc>
          <w:tcPr>
            <w:tcW w:type="dxa" w:w="1337"/>
          </w:tcPr>
          <w:p>
            <w:pPr>
              <w:spacing w:line="240" w:lineRule="auto" w:before="20" w:after="20"/>
            </w:pPr>
            <w:r/>
            <w:r>
              <w:rPr>
                <w:rFonts w:ascii="Times New Roman" w:hAnsi="Times New Roman"/>
                <w:b w:val="0"/>
                <w:i w:val="0"/>
                <w:sz w:val="18"/>
              </w:rPr>
              <w:t>2</w:t>
            </w:r>
          </w:p>
        </w:tc>
        <w:tc>
          <w:tcPr>
            <w:tcW w:type="dxa" w:w="1337"/>
          </w:tcPr>
          <w:p>
            <w:pPr>
              <w:spacing w:line="240" w:lineRule="auto" w:before="20" w:after="20"/>
            </w:pPr>
            <w:r/>
            <w:r>
              <w:rPr>
                <w:rFonts w:ascii="Times New Roman" w:hAnsi="Times New Roman"/>
                <w:b w:val="0"/>
                <w:i w:val="0"/>
                <w:sz w:val="18"/>
              </w:rPr>
              <w:t>Lysosomal sulfatase (no analgesic link)</w:t>
            </w:r>
          </w:p>
        </w:tc>
      </w:tr>
      <w:tr>
        <w:tc>
          <w:tcPr>
            <w:tcW w:type="dxa" w:w="1337"/>
          </w:tcPr>
          <w:p>
            <w:pPr>
              <w:spacing w:line="240" w:lineRule="auto" w:before="20" w:after="20"/>
            </w:pPr>
            <w:r/>
            <w:r>
              <w:rPr>
                <w:rFonts w:ascii="Times New Roman" w:hAnsi="Times New Roman"/>
                <w:b w:val="0"/>
                <w:i w:val="0"/>
                <w:sz w:val="18"/>
              </w:rPr>
              <w:t>VASH2</w:t>
            </w:r>
          </w:p>
        </w:tc>
        <w:tc>
          <w:tcPr>
            <w:tcW w:type="dxa" w:w="1337"/>
          </w:tcPr>
          <w:p>
            <w:pPr>
              <w:spacing w:line="240" w:lineRule="auto" w:before="20" w:after="20"/>
            </w:pPr>
            <w:r/>
            <w:r>
              <w:rPr>
                <w:rFonts w:ascii="Times New Roman" w:hAnsi="Times New Roman"/>
                <w:b w:val="0"/>
                <w:i w:val="0"/>
                <w:sz w:val="18"/>
              </w:rPr>
              <w:t>5.94</w:t>
            </w:r>
          </w:p>
        </w:tc>
        <w:tc>
          <w:tcPr>
            <w:tcW w:type="dxa" w:w="1337"/>
          </w:tcPr>
          <w:p>
            <w:pPr>
              <w:spacing w:line="240" w:lineRule="auto" w:before="20" w:after="20"/>
            </w:pPr>
            <w:r/>
            <w:r>
              <w:rPr>
                <w:rFonts w:ascii="Times New Roman" w:hAnsi="Times New Roman"/>
                <w:b w:val="0"/>
                <w:i w:val="0"/>
                <w:sz w:val="18"/>
              </w:rPr>
              <w:t>1.13e-7</w:t>
            </w:r>
          </w:p>
        </w:tc>
        <w:tc>
          <w:tcPr>
            <w:tcW w:type="dxa" w:w="1337"/>
          </w:tcPr>
          <w:p>
            <w:pPr>
              <w:spacing w:line="240" w:lineRule="auto" w:before="20" w:after="20"/>
            </w:pPr>
            <w:r/>
            <w:r>
              <w:rPr>
                <w:rFonts w:ascii="Times New Roman" w:hAnsi="Times New Roman"/>
                <w:b w:val="0"/>
                <w:i w:val="0"/>
                <w:sz w:val="18"/>
              </w:rPr>
              <w:t>0.83</w:t>
            </w:r>
          </w:p>
        </w:tc>
        <w:tc>
          <w:tcPr>
            <w:tcW w:type="dxa" w:w="1337"/>
          </w:tcPr>
          <w:p>
            <w:pPr>
              <w:spacing w:line="240" w:lineRule="auto" w:before="20" w:after="20"/>
            </w:pPr>
            <w:r/>
            <w:r>
              <w:rPr>
                <w:rFonts w:ascii="Times New Roman" w:hAnsi="Times New Roman"/>
                <w:b w:val="0"/>
                <w:i w:val="0"/>
                <w:sz w:val="18"/>
              </w:rPr>
              <w:t>0.275</w:t>
            </w:r>
          </w:p>
        </w:tc>
        <w:tc>
          <w:tcPr>
            <w:tcW w:type="dxa" w:w="1337"/>
          </w:tcPr>
          <w:p>
            <w:pPr>
              <w:spacing w:line="240" w:lineRule="auto" w:before="20" w:after="20"/>
            </w:pPr>
            <w:r/>
            <w:r>
              <w:rPr>
                <w:rFonts w:ascii="Times New Roman" w:hAnsi="Times New Roman"/>
                <w:b w:val="0"/>
                <w:i w:val="0"/>
                <w:sz w:val="18"/>
              </w:rPr>
              <w:t>6</w:t>
            </w:r>
          </w:p>
        </w:tc>
        <w:tc>
          <w:tcPr>
            <w:tcW w:type="dxa" w:w="1337"/>
          </w:tcPr>
          <w:p>
            <w:pPr>
              <w:spacing w:line="240" w:lineRule="auto" w:before="20" w:after="20"/>
            </w:pPr>
            <w:r/>
            <w:r>
              <w:rPr>
                <w:rFonts w:ascii="Times New Roman" w:hAnsi="Times New Roman"/>
                <w:b w:val="0"/>
                <w:i w:val="0"/>
                <w:sz w:val="18"/>
              </w:rPr>
              <w:t>Vasohibin (no analgesic link)</w:t>
            </w:r>
          </w:p>
        </w:tc>
      </w:tr>
      <w:tr>
        <w:tc>
          <w:tcPr>
            <w:tcW w:type="dxa" w:w="1337"/>
          </w:tcPr>
          <w:p>
            <w:pPr>
              <w:spacing w:line="240" w:lineRule="auto" w:before="20" w:after="20"/>
            </w:pPr>
            <w:r/>
            <w:r>
              <w:rPr>
                <w:rFonts w:ascii="Times New Roman" w:hAnsi="Times New Roman"/>
                <w:b w:val="0"/>
                <w:i w:val="0"/>
                <w:sz w:val="18"/>
              </w:rPr>
              <w:t>ITPKC</w:t>
            </w:r>
          </w:p>
        </w:tc>
        <w:tc>
          <w:tcPr>
            <w:tcW w:type="dxa" w:w="1337"/>
          </w:tcPr>
          <w:p>
            <w:pPr>
              <w:spacing w:line="240" w:lineRule="auto" w:before="20" w:after="20"/>
            </w:pPr>
            <w:r/>
            <w:r>
              <w:rPr>
                <w:rFonts w:ascii="Times New Roman" w:hAnsi="Times New Roman"/>
                <w:b w:val="0"/>
                <w:i w:val="0"/>
                <w:sz w:val="18"/>
              </w:rPr>
              <w:t>6.76</w:t>
            </w:r>
          </w:p>
        </w:tc>
        <w:tc>
          <w:tcPr>
            <w:tcW w:type="dxa" w:w="1337"/>
          </w:tcPr>
          <w:p>
            <w:pPr>
              <w:spacing w:line="240" w:lineRule="auto" w:before="20" w:after="20"/>
            </w:pPr>
            <w:r/>
            <w:r>
              <w:rPr>
                <w:rFonts w:ascii="Times New Roman" w:hAnsi="Times New Roman"/>
                <w:b w:val="0"/>
                <w:i w:val="0"/>
                <w:sz w:val="18"/>
              </w:rPr>
              <w:t>1.56e-9</w:t>
            </w:r>
          </w:p>
        </w:tc>
        <w:tc>
          <w:tcPr>
            <w:tcW w:type="dxa" w:w="1337"/>
          </w:tcPr>
          <w:p>
            <w:pPr>
              <w:spacing w:line="240" w:lineRule="auto" w:before="20" w:after="20"/>
            </w:pPr>
            <w:r/>
            <w:r>
              <w:rPr>
                <w:rFonts w:ascii="Times New Roman" w:hAnsi="Times New Roman"/>
                <w:b w:val="0"/>
                <w:i w:val="0"/>
                <w:sz w:val="18"/>
              </w:rPr>
              <w:t>0.83</w:t>
            </w:r>
          </w:p>
        </w:tc>
        <w:tc>
          <w:tcPr>
            <w:tcW w:type="dxa" w:w="1337"/>
          </w:tcPr>
          <w:p>
            <w:pPr>
              <w:spacing w:line="240" w:lineRule="auto" w:before="20" w:after="20"/>
            </w:pPr>
            <w:r/>
            <w:r>
              <w:rPr>
                <w:rFonts w:ascii="Times New Roman" w:hAnsi="Times New Roman"/>
                <w:b w:val="0"/>
                <w:i w:val="0"/>
                <w:sz w:val="18"/>
              </w:rPr>
              <w:t>0.551</w:t>
            </w:r>
          </w:p>
        </w:tc>
        <w:tc>
          <w:tcPr>
            <w:tcW w:type="dxa" w:w="1337"/>
          </w:tcPr>
          <w:p>
            <w:pPr>
              <w:spacing w:line="240" w:lineRule="auto" w:before="20" w:after="20"/>
            </w:pPr>
            <w:r/>
            <w:r>
              <w:rPr>
                <w:rFonts w:ascii="Times New Roman" w:hAnsi="Times New Roman"/>
                <w:b w:val="0"/>
                <w:i w:val="0"/>
                <w:sz w:val="18"/>
              </w:rPr>
              <w:t>1</w:t>
            </w:r>
          </w:p>
        </w:tc>
        <w:tc>
          <w:tcPr>
            <w:tcW w:type="dxa" w:w="1337"/>
          </w:tcPr>
          <w:p>
            <w:pPr>
              <w:spacing w:line="240" w:lineRule="auto" w:before="20" w:after="20"/>
            </w:pPr>
            <w:r/>
            <w:r>
              <w:rPr>
                <w:rFonts w:ascii="Times New Roman" w:hAnsi="Times New Roman"/>
                <w:b w:val="0"/>
                <w:i w:val="0"/>
                <w:sz w:val="18"/>
              </w:rPr>
              <w:t>Inositol kinase (no analgesic link)</w:t>
            </w:r>
          </w:p>
        </w:tc>
      </w:tr>
    </w:tbl>
    <w:p>
      <w:pPr>
        <w:spacing w:before="0" w:after="80"/>
      </w:pPr>
    </w:p>
    <w:p>
      <w:pPr>
        <w:spacing w:before="0" w:after="40"/>
      </w:pPr>
      <w:r>
        <w:rPr>
          <w:rFonts w:ascii="Times New Roman" w:hAnsi="Times New Roman"/>
          <w:b/>
          <w:i w:val="0"/>
          <w:sz w:val="22"/>
        </w:rPr>
        <w:t>The prospectively specified full-library breadth overturned the Tier-1 signal</w:t>
      </w:r>
      <w:r>
        <w:rPr>
          <w:rFonts w:ascii="Times New Roman" w:hAnsi="Times New Roman"/>
          <w:b w:val="0"/>
          <w:i w:val="0"/>
          <w:sz w:val="22"/>
        </w:rPr>
        <w:t xml:space="preserve">: ADRA2A reached AUC 0.618 on the 620-drug CNS/analgesic-prior subset (Tier 1) but collapsed to 0.532 (p = 0.118, NS) across all 3,085 drugs, i.e., non-informative rather than a clean enrichment; after MW adjustment the AUC was 0.578 with a weak but significant ΔAUC (p ≈ 0.0005), so the ADRA2A docking result is inconclusive, not a confirmed null. We hold ADRA2A to the same single standard as the other nine targets: no target is privileged or excluded by the docking screen, and the MW-adjusted ΔAUC does not override the failed full-library enrichment (0.532, p = 0.118). </w:t>
      </w:r>
      <w:r>
        <w:rPr>
          <w:rFonts w:ascii="Times New Roman" w:hAnsi="Times New Roman"/>
          <w:b/>
          <w:i w:val="0"/>
          <w:sz w:val="22"/>
        </w:rPr>
        <w:t>Face-validity testing refuted analgesic enrichment</w:t>
      </w:r>
      <w:r>
        <w:rPr>
          <w:rFonts w:ascii="Times New Roman" w:hAnsi="Times New Roman"/>
          <w:b w:val="0"/>
          <w:i w:val="0"/>
          <w:sz w:val="22"/>
        </w:rPr>
        <w:t xml:space="preserve">: 0 of 64 known analgesics appeared in the Top-20 (≈0.4 expected), rank AUC ≈ 0.54 (p &gt; 0.14), and α2-agonists scored at chance after MW correction (AUC 0.428, p = 0.76), consistent with the absence of a selective nonopioid analgesic signal such as suzetrigine²²,²³ in this docking space; we note that suzetrigine acts on the expressed channel, so an mRNA-level signal is not expected to translate into docking affinity, and this is a scope limit rather than a discriminatory test. The composite (knowledge-informed) ranking, which blends docking affinity with drug-level pharmacological-prior and accessibility terms, yielded precision@10 = 0.700 (lift ×18.69) and precision@20 = 0.450 when scored against the ADRA2A ChEMBL binder set; these are knowledge-informed </w:t>
      </w:r>
      <w:r>
        <w:rPr>
          <w:rFonts w:ascii="Times New Roman" w:hAnsi="Times New Roman"/>
          <w:b w:val="0"/>
          <w:i/>
          <w:sz w:val="22"/>
        </w:rPr>
        <w:t>retrieval</w:t>
      </w:r>
      <w:r>
        <w:rPr>
          <w:rFonts w:ascii="Times New Roman" w:hAnsi="Times New Roman"/>
          <w:b w:val="0"/>
          <w:i w:val="0"/>
          <w:sz w:val="22"/>
        </w:rPr>
        <w:t xml:space="preserve"> metrics, not independent docking evidence, and their hypergeometric p-values (9.4e-9, 1.3e-8) largely restate the prior terms rather than the docking term and are not cited as validating it (pure ADRA2A Vina affinity placed 0/10 known binders in the Top-10, confirming the retrieval is prior-driven, not docking-driven). Among the 10 tractable targets, 8/10 Top-10 identities were stable after MW correction under the full-library composite definition, so we claim a Top-20 </w:t>
      </w:r>
      <w:r>
        <w:rPr>
          <w:rFonts w:ascii="Times New Roman" w:hAnsi="Times New Roman"/>
          <w:b w:val="0"/>
          <w:i/>
          <w:sz w:val="22"/>
        </w:rPr>
        <w:t>candidate set</w:t>
      </w:r>
      <w:r>
        <w:rPr>
          <w:rFonts w:ascii="Times New Roman" w:hAnsi="Times New Roman"/>
          <w:b w:val="0"/>
          <w:i w:val="0"/>
          <w:sz w:val="22"/>
        </w:rPr>
        <w:t>, never a single top-ranked drug, and stress that it is not docking evidence for any target. Ion-channel targets, mechanistically important, lacked ligand-anchored holo structures suitable for a defined docking box and were thus outside the structure-based screen.</w:t>
      </w:r>
    </w:p>
    <w:p>
      <w:pPr>
        <w:spacing w:before="0" w:after="40"/>
      </w:pPr>
      <w:r>
        <w:rPr>
          <w:rFonts w:ascii="Times New Roman" w:hAnsi="Times New Roman"/>
          <w:b/>
          <w:i w:val="0"/>
          <w:sz w:val="22"/>
        </w:rPr>
        <w:t>Hub→target eligibility rule (explicit).</w:t>
      </w:r>
      <w:r>
        <w:rPr>
          <w:rFonts w:ascii="Times New Roman" w:hAnsi="Times New Roman"/>
          <w:b w:val="0"/>
          <w:i w:val="0"/>
          <w:sz w:val="22"/>
        </w:rPr>
        <w:t xml:space="preserve"> A hub was eligible for structure-based docking assessment only if it encoded a target with ≥1 ligand-anchored holo PDB structure (n_holo_PDB ≥ 1); this yielded 17 dock-eligible hubs (ACVR1, AXL, CDHR5, CTTN, FLNC, FLRT3, GALNS, ITPKC, MAPK14, NPY, PTPN23, RUBCN, SERPINE1, SLC2A1, TFE3, TNIK, VASH2). Of these, 9 had a pocket suitable for a defined docking box and were docked (ACVR1, AXL, GALNS, ITPKC, MAPK14, SERPINE1, SLC2A1, TNIK, VASH2); the tenth docked target was ADRA2A, which is not a hub and was added as an external analgesic reference; TFE3 was dock-eligible but no appropriately ligand-anchored cavity was defined, so it was not docked. This rule is consistent with hub-selection stability: the bootstrap showed a mean of 8.70 of the 17 dock-eligible hubs recovered per resample (P(≥3 of 17) = 1.000, P(≥5 of 17) = 0.990), so the dock-eligible subset is reproducibly recovered under resampling; individual hub membership beyond the two resampling-stable genes (SPRR1A 1.00, ATF3 0.94) remains candidate-level, and the 35-gene set is accordingly treated as a candidate set whose docking target list is defined by structural tractability applied to this reproducibly recovered subset rather than by a volatile hub rank.</w:t>
      </w:r>
    </w:p>
    <w:p>
      <w:pPr>
        <w:spacing w:before="160" w:after="80"/>
      </w:pPr>
      <w:r>
        <w:rPr>
          <w:rFonts w:ascii="Times New Roman" w:hAnsi="Times New Roman"/>
          <w:b/>
          <w:i w:val="0"/>
          <w:sz w:val="24"/>
        </w:rPr>
        <w:t>Discussion</w:t>
      </w:r>
    </w:p>
    <w:p>
      <w:pPr>
        <w:spacing w:before="0" w:after="40"/>
      </w:pPr>
      <w:r>
        <w:rPr>
          <w:rFonts w:ascii="Times New Roman" w:hAnsi="Times New Roman"/>
          <w:b w:val="0"/>
          <w:i w:val="0"/>
          <w:sz w:val="22"/>
        </w:rPr>
        <w:t>The DRG-centred nerve-injury axis (with spinal-cord localisation) is recurrently characterized by a neuroimmune programme with a metabolic (OXPHOS-down) limb (q = 0.0022 under RE, now reliable rather than random-effects-fragile) that is best described as a nerve-injury-associated transcriptional response rather than a CPSP-specific pathway on the available evidence (this inference rests on a single, heterogeneous incision arm and is provisional): coordinated DAM-like (myeloid: at the DRG pole, resident and/or recruited macrophages²⁶; at the spinal pole, microglia and/or infiltrating myeloid cells) neuroimmune and complement activation²¹,²⁴,²⁵,²⁶ (the DAM programme was first defined in neurodegeneration by Keren-Shaul et al.²⁷ and is increasingly implicated in pain-state microglial reprogramming, though only partially and in a time- and sex-dependent manner²¹; our DAM-like set follows that neurodegeneration-defined provenance — distinct from the developmental/homeostatic microglia described by Schafer et al.²⁸ — and is therefore described as DAM-like). To quantify the 'DAM-like' qualifier, we checked the canonical DAM hallmark genes against the Stouffer up-regulated meta core (K = 5–6 DRG datasets per gene, by availability): TYROBP (meta FDR 8.8 × 10⁻⁹; consistency 5/5 datasets) and TREM2 (meta FDR 1.3 × 10⁻³; consistency 5/6) are both within the FDR &lt; 0.05 core, whereas APOE, although directionally consistent (consistency 6/6, up-regulated), does not reach the FDR &lt; 0.05 threshold (meta FDR 0.070); the partial, time- and sex-dependent recruitment of the DAM programme is therefore a data-supported, not merely metaphorical, descriptor. In the fixed-effect analysis only, OXPHOS suppression (which survived random-effects correction, q = 0.0022), consistent with the growing literature on microglial–complement and energy-metabolism dysfunction in chronic and neuropathic pain²⁴,²⁵,²⁹,³⁰,³¹,³², and with prior multi-tissue CPSP resources including a DRG-containing dataset⁶ and a spinal-cord neuropathic-pain atlas⁷. Chemokine signalling at the spinal dorsal horn, in particular the CXCL12/SDF-1 axis, has also been implicated in nerve-injury and postsurgical pain models³³,³⁴, reinforcing the neuroimmune component of the axis. The nerve-injury signature does not positively predict incision direction (43.3% versus a 47.1% background, −3.7 pp, two-sided permutation p = 0.0002 — a significant depletion rather than enrichment; see Results), so specificity of the axis to postsurgical versus nerve-injury pain is not shown by this meta-analysis. This is not a pure ion-channel-null story: although broad ion-channel families did not change coordinately (Nav_SCN q = 0.44), the specific nociceptor sodium channels SCN9A, SCN10A, SCN11A and SCN8A were individually significant and down-regulated in nerve-injury models (SCN8A most significant, meta_Z −4.92, FDR 1.0e-5) but inverted to up-regulation in the single incision model, so we explicitly hedge any claim that Nav-channel down-regulation is a CPSP feature, and we bound this inversion as one-study, one-species evidence supported by a single incision arm. Because the channels we find down-regulated are the same ones targeted by conventional Nav-blocking strategies whose clinical efficacy has been limited¹⁶, the observation is a hypothesis about model-dependent transcriptional direction, not a therapeutic recommendation.</w:t>
      </w:r>
    </w:p>
    <w:p>
      <w:pPr>
        <w:spacing w:before="0" w:after="40"/>
      </w:pPr>
      <w:r>
        <w:rPr>
          <w:rFonts w:ascii="Times New Roman" w:hAnsi="Times New Roman"/>
          <w:b w:val="0"/>
          <w:i w:val="0"/>
          <w:sz w:val="22"/>
        </w:rPr>
        <w:t>The dual-ML candidate hub set (35 genes; 26/35 (74%) also satisfy the meta core gate (all 35 satisfy meta_FDR &lt; 0.05, but only 26/35 clear the consistency ≥ 0.8 core gate) — but because the hub classifiers were trained on four of the five studies entering the meta-analysis, this overlap is not independent corroboration: it records that the ML-selected genes are also genome-wide significant under the meta model, and the independent evidence for the hubs comes only from the held-out spinal-cord fold and the single-cell/spatial layers) is not a list of "new" genes, ATF3, SPRR1A, NPY, VIP and others are well-established DRG injury markers⁴,⁵,³⁵. Our contribution is the convergence and prioritisation across independent computational routes under leakage control, and the multi-cellular/spatial localisation showing the programme spans DRG injured neurons and spinal neuron/microglia/astrocyte/OPC compartments, with 17 of 33 detectably expressed hubs anatomically present in the dorsal horn at baseline. We flag REG3B as a strong meta-significant but consistency-failing candidate, carried as an external motivational hypothesis (model-mismatched evidence¹⁹) rather than as a core internal hub, and the purinergic self-negative (P2RX/P2RY perm p = 0.339) as a boundary on the DAM interpretation.</w:t>
      </w:r>
    </w:p>
    <w:p>
      <w:pPr>
        <w:spacing w:before="0" w:after="40"/>
      </w:pPr>
      <w:r>
        <w:rPr>
          <w:rFonts w:ascii="Times New Roman" w:hAnsi="Times New Roman"/>
          <w:b w:val="0"/>
          <w:i w:val="0"/>
          <w:sz w:val="22"/>
        </w:rPr>
        <w:t xml:space="preserve">The honest docking null is itself a methodological contribution. Most virtual-screening repurposing reports stop at Tier-1 enrichment⁸,⁹; we added prospectively specified full-library breadth, reverse positive controls, and MW correction, and showed that (a) ADRA2A's Tier-1 enrichment is non-informative (full-library AUC 0.532, NS; a weak MW-adjusted signal of 0.578, ΔAUC p ≈ 0.0005, is inconclusive), (b) known analgesics are not enriched, and (c) no candidate target cleared both filters we applied, the raw/full-library MW-corrected enrichment p and the size-independent (MW-adjusted) p, and the positive controls (AXL, TNIK, ACVR1, MAPK14) retain docking signal beyond chemotype only in a post-hoc multivariate control (Supplementary Table S4), yet none reaches a reliable candidate hit against the full-library baseline. This corrects the "repurposing panacea" narrative³⁶,³⁷ and shows how double-dipping produces false positives. The honest null is scoped explicitly to </w:t>
      </w:r>
      <w:r>
        <w:rPr>
          <w:rFonts w:ascii="Times New Roman" w:hAnsi="Times New Roman"/>
          <w:b w:val="0"/>
          <w:i/>
          <w:sz w:val="22"/>
        </w:rPr>
        <w:t>docking enrichment at library scale</w:t>
      </w:r>
      <w:r>
        <w:rPr>
          <w:rFonts w:ascii="Times New Roman" w:hAnsi="Times New Roman"/>
          <w:b w:val="0"/>
          <w:i w:val="0"/>
          <w:sz w:val="22"/>
        </w:rPr>
        <w:t>; the entire ion-channel analgesic class — α2δ subunits and NaV channels, including the clinically validated gabapentinoid (α2δ-1, the gabapentinoid binding site upregulated in injured DRG³⁸; the present meta independently reproduces this - CACNA2D1 (α2δ-1) is up-regulated in 4 of 6 contrasts (meta_Z +7.09, meta_FDR 2.3 × 10⁻¹⁰, consistency 4/6), reported in Results and not used as a docking target because the target is undockable) and NaV1.7/NaV1.8 targets and the ion-channel members of the authors' own CPSP-literature set — was structurally undockable (no ligand-anchored pocket for a defined docking box) and was therefore never screened, so the null deliberately cannot speak to those mechanisms. The separate knowledge-informed Top-20 is a prospectively testable candidate set, not docking evidence, and is framed accordingly.</w:t>
      </w:r>
    </w:p>
    <w:p>
      <w:pPr>
        <w:spacing w:before="0" w:after="40"/>
      </w:pPr>
      <w:r>
        <w:rPr>
          <w:rFonts w:ascii="Times New Roman" w:hAnsi="Times New Roman"/>
          <w:b/>
          <w:i w:val="0"/>
          <w:sz w:val="22"/>
        </w:rPr>
        <w:t>We therefore draw no therapeutic priority from this screen.</w:t>
      </w:r>
      <w:r>
        <w:rPr>
          <w:rFonts w:ascii="Times New Roman" w:hAnsi="Times New Roman"/>
          <w:b w:val="0"/>
          <w:i w:val="0"/>
          <w:sz w:val="22"/>
        </w:rPr>
        <w:t xml:space="preserve"> Among the tractable targets, MAPK14, AXL and TFE3 carry the most frequently cited prior biological rationale, but this is descriptive weighting, not a validated priority: on our own pre-specified criteria none of them can be advanced — AXL and MAPK14 both failed the size-independent enrichment test (p = 0.141 and 0.579 respectively), and TFE3 was never docked. Naming them as "priorities" would contradict the honest null this paper is built on; they are recorded as hypotheses for which the present screen provides no positive docking evidence, and any ranking among the ten targets is also unstable because only 2 of 10 retain random-effects significance. Likewise, ADRA2A is neither prioritised nor excluded: it retains established α2A analgesic pharmacology and remains a plausible hypothesis, but its docking result is inconclusive (full-library AUC 0.532, NS; MW-adjusted 0.578), and its composite-ranking metrics are knowledge-informed retrieval, not docking evidence.</w:t>
      </w:r>
    </w:p>
    <w:p>
      <w:pPr>
        <w:spacing w:before="0" w:after="40"/>
      </w:pPr>
      <w:r>
        <w:rPr>
          <w:rFonts w:ascii="Times New Roman" w:hAnsi="Times New Roman"/>
          <w:b w:val="0"/>
          <w:i w:val="0"/>
          <w:sz w:val="22"/>
        </w:rPr>
        <w:t>Translational implication: the Top-20 docking candidate set is hypothesis-generating and requires wet-lab validation; no single drug is advocated. Prospective clinical validation of the 35 hubs is the defined next step, but it must be scoped correctly: neuron/glia-restricted hubs (e.g., SPRR1A, SRRM4, ECEL1) are not measurable in peripheral blood and require CSF or tissue; only hubs measurable as peripheral-blood PBMC mRNA or as soluble/secreted factors (NPY and VIP neuropeptides, SERPINE1/PAI-1) are suitable for the planned plasma qPCR/ELISA work; nuclear transcription factors (e.g., TFE3) and microglial markers (e.g., AXL) are weak blood proxies at best. Cerebrospinal fluid (CSF) and, where surgically available, human DRG or post-amputation neuromas are the mechanistically congruent biospecimens for neuron/glia-restricted hubs, and plasma remains a low-yield proxy — a caution already sounded by the honestly negative human plasma miRNA layer (p = 0.51). Direct DRG or spinal-cord biopsy is not clinically obtainable in CPSP patients, so the accessible human biospecimens are peripheral-blood PBMC, cerebrospinal fluid (CSF), and, where surgically available, post-amputation neuromas or scar-tissue nerve endings; the 35 hubs constitute a rodent axis signature that must be confirmed in human tissue before any therapeutic claim. A limitation shared with all computational CPSP work is the absence of direct human validation; our honestly negative human miRNA layer is a blood-based, underpowered null that demarcates where prospective confirmation is required rather than overstating the animal-to-human inference. We addressed residual physicochemical confounding with a multivariate control (logistic binder ~ MW + logP + TPSA + HBD + HBA + rotatable bonds + docking affinity; Supplementary Table S4): the strongest positive controls (AXL, TNIK, ACVR1) retain docking discrimination beyond chemotype, whereas ADRA2A remains weak and non-informative; this multivariate discrimination is itself tentative (events-per-parameter ≤ 2 for all five ChEMBL-annotated positive controls — AXL, TNIK, ACVR1, MAPK14, ADRA2A — each ≈1–2, far below the conventional ≥10), so it is a method-capability demonstration rather than evidence for any of these targets, and the honest-null conclusion is unchanged.</w:t>
      </w:r>
    </w:p>
    <w:p>
      <w:pPr>
        <w:spacing w:before="160" w:after="80"/>
      </w:pPr>
      <w:r>
        <w:rPr>
          <w:rFonts w:ascii="Times New Roman" w:hAnsi="Times New Roman"/>
          <w:b/>
          <w:i w:val="0"/>
          <w:sz w:val="24"/>
        </w:rPr>
        <w:t>Limitations</w:t>
      </w:r>
    </w:p>
    <w:p>
      <w:pPr>
        <w:spacing w:before="0" w:after="40"/>
      </w:pPr>
      <w:r>
        <w:rPr>
          <w:rFonts w:ascii="Times New Roman" w:hAnsi="Times New Roman"/>
          <w:b w:val="0"/>
          <w:i w:val="0"/>
          <w:sz w:val="22"/>
        </w:rPr>
        <w:t>The honest docking null is silent, not negative, on the validated non-opioid analgesic classes. The entire ion-channel analgesic class — α2δ subunits (gabapentinoid targets) and NaV channels (including the clinically validated NaV1.7/NaV1.8) — was structurally undockable (no ligand-anchored pocket for a defined docking box) and was therefore never screened, so the null deliberately cannot speak to those mechanisms; absence of docking enrichment is not evidence against gabapentinoid or NaV-channel action³⁸. Beyond this, the work is a secondary reanalysis of public data: it carries no new wet-lab measurements, the human layer is a blood-proxy (n = 60, underpowered), no dataset captures established chronic postsurgical pain (&gt;3 months); the incision arm models acute-to-subacute postoperative pain and is additionally a non-axotomy (SMIR) model, so it is not lesion-class-matched to the four nerve-injury contrasts and cannot be used to test whether an axotomy-associated programme generalises to postsurgical pain, DRG-resident macrophages are a recognised neuroimmune sentinel after nerve injury²⁶ yet the present bulk-tissue signal cannot resolve DRG-resident macrophages from recruited macrophages, satellite glia or blood-derived immune cells, and cannot resolve microglia from infiltrating myeloid cells at the spinal pole, and the 35 hubs are a resampling-sensitive candidate set requiring prospective validation.</w:t>
      </w:r>
    </w:p>
    <w:p>
      <w:pPr>
        <w:spacing w:before="0" w:after="40"/>
      </w:pPr>
      <w:r>
        <w:rPr>
          <w:rFonts w:ascii="Times New Roman" w:hAnsi="Times New Roman"/>
          <w:b w:val="0"/>
          <w:i w:val="0"/>
          <w:sz w:val="22"/>
        </w:rPr>
        <w:t>Two statistical-model extensions were deferred and are stated here as explicit limitations. Gene-set inference reports 2,000-permutation p-values, which already absorb inter-gene correlation by permuting genes within each set, so a separate CAMERA correlation-aware test was not required (the four floor-pinned programmes survive at perm_p = 0.0005). The random-effects meta-analysis uses a normal approximation (Z_RE); with K = 3–6 contrasts a Knapp–Hartung t-adjustment would widen the intervals and could attenuate significance further, but because random effects are presented as a sensitivity bound — and the fixed→random collapse (2,750 → 508) is already severe — such an adjustment would only reinforce the heterogeneity-sensitive framing, not change the conclusion; both can be added as mechanical extensions without altering the results.</w:t>
      </w:r>
    </w:p>
    <w:p>
      <w:pPr>
        <w:spacing w:before="160" w:after="80"/>
      </w:pPr>
      <w:r>
        <w:rPr>
          <w:rFonts w:ascii="Times New Roman" w:hAnsi="Times New Roman"/>
          <w:b/>
          <w:i w:val="0"/>
          <w:sz w:val="24"/>
        </w:rPr>
        <w:t>Conclusions</w:t>
      </w:r>
    </w:p>
    <w:p>
      <w:pPr>
        <w:spacing w:before="0" w:after="40"/>
      </w:pPr>
      <w:r>
        <w:rPr>
          <w:rFonts w:ascii="Times New Roman" w:hAnsi="Times New Roman"/>
          <w:b w:val="0"/>
          <w:i w:val="0"/>
          <w:sz w:val="22"/>
        </w:rPr>
        <w:t>In this multi-dataset in-silico reanalysis, the DRG-centred nerve-injury axis (with spinal-cord localisation) is a nerve-injury-associated, heterogeneity-sensitive transcriptional response; on the available evidence it is not established as CPSP-specific — the translation test to the sole surgical-incision arm showed significant depletion (43.3% vs 47.1% background, two-sided permutation p = 0.0002 — a significant failure to enrich, not a null; and because the two arms differ in lesion class, this non-translation is non-informative rather than negative about CPSP specificity) and underpowered, and the inference is provisional and does not demonstrate either CPSP-specificity or its absence. Its gene-set membership is highly sensitive to how the individual studies are combined (an honest random-effects sensitivity analysis shrinks the core from 2,750 to 508 genes, median I² = 41.8%), and the nerve-injury signature does not positively predict the single surgical-incision arm (43.3% vs 47.1% background, two-sided permutation p = 0.0002, a significant depletion rather than enrichment; and because the two arms differ in lesion class, this non-translation is non-informative rather than negative about CPSP specificity). A prospectively specified, full-library docking screen of the FDA-approved catalogue found no target that cleared both the full-library and size-independent enrichment filters (ADRA2A full-library AUC 0.532, p = 0.118 NS; Tier-1 subset AUC 0.618 — the breadth flip is the point; events-per-parameter ≤ 2 for the four ChEMBL-annotated positive controls with adequate positive-event annotation (ACVR1 1.1, AXL 1.6, TNIK 1.3, MAPK14 2.0), whereas ADRA2A reached 14.4 because more ChEMBL binders are annotated for it, not because its docking enrichment is stronger), so the honest docking null is a methodological boundary, not a false lead. No analysed dataset captures established chronic postsurgical pain (&gt;3 months); the incision arm models acute-to-subacute postoperative pain as a translational proxy, so the CPSP-specificity question is necessarily provisional. We report these results transparently as hypothesis-generating and explicitly frame the work as preliminary foundation for a pending grant rather than as a causal or clinical claim.</w:t>
      </w:r>
    </w:p>
    <w:p>
      <w:pPr>
        <w:spacing w:before="160" w:after="80"/>
      </w:pPr>
      <w:r>
        <w:rPr>
          <w:rFonts w:ascii="Times New Roman" w:hAnsi="Times New Roman"/>
          <w:b/>
          <w:i w:val="0"/>
          <w:sz w:val="24"/>
        </w:rPr>
        <w:t>Methods</w:t>
      </w:r>
    </w:p>
    <w:p>
      <w:pPr>
        <w:spacing w:before="160" w:after="80"/>
      </w:pPr>
      <w:r>
        <w:rPr>
          <w:rFonts w:ascii="Times New Roman" w:hAnsi="Times New Roman"/>
          <w:b/>
          <w:i w:val="0"/>
          <w:sz w:val="24"/>
        </w:rPr>
        <w:t>Data curation</w:t>
      </w:r>
    </w:p>
    <w:p>
      <w:pPr>
        <w:spacing w:before="0" w:after="40"/>
      </w:pPr>
      <w:r>
        <w:rPr>
          <w:rFonts w:ascii="Times New Roman" w:hAnsi="Times New Roman"/>
          <w:b w:val="0"/>
          <w:i w:val="0"/>
          <w:sz w:val="22"/>
        </w:rPr>
        <w:t>Twelve GEO datasets were decoded per-dataset for species, model, tissue and true grouping (model × tissue × state). Two original-scheme misclassifications were corrected: GSE222979 is a miRNA dataset (not mRNA) and GSE306403 is the SH-SY5Y cell line (not human tissue). Bulk matrices were unified to gene-symbol × sample; raw counts were transformed to log2(CPM+1) (GSE212311 used its native log2(FPKM+1)). Cross-species symbols were upper-cased; genes absent from ≥3 datasets were excluded from the meta-analysis. Public datasets analysed: GSE267799, GSE212311, GSE278227, GSE241361, GSE265957, GSE158825, GSE222979, GSE216039, GSE328175, GSE246288, GSE306403, GSE325938.</w:t>
      </w:r>
    </w:p>
    <w:p>
      <w:pPr>
        <w:spacing w:before="160" w:after="80"/>
      </w:pPr>
      <w:r>
        <w:rPr>
          <w:rFonts w:ascii="Times New Roman" w:hAnsi="Times New Roman"/>
          <w:b/>
          <w:i w:val="0"/>
          <w:sz w:val="24"/>
        </w:rPr>
        <w:t>Meta-analysis</w:t>
      </w:r>
    </w:p>
    <w:p>
      <w:pPr>
        <w:spacing w:before="0" w:after="40"/>
      </w:pPr>
      <w:r>
        <w:rPr>
          <w:rFonts w:ascii="Times New Roman" w:hAnsi="Times New Roman"/>
          <w:b w:val="0"/>
          <w:i w:val="0"/>
          <w:sz w:val="22"/>
        </w:rPr>
        <w:t xml:space="preserve">Per dataset, Welch t-tests (unequal variance) with Benjamini–Hochberg (BH) FDR were computed. For the DRG-axis meta-analysis, five independent studies are represented by six contrasts because one spared-nerve-injury (SNI) study, GSE265957, contributes two ribosome-profiling timepoints (D4 acute and D63 chronic) as separate inputs; GSE265957's DRG input is a </w:t>
      </w:r>
      <w:r>
        <w:rPr>
          <w:rFonts w:ascii="Times New Roman" w:hAnsi="Times New Roman"/>
          <w:b w:val="0"/>
          <w:i/>
          <w:sz w:val="22"/>
        </w:rPr>
        <w:t>translatome</w:t>
      </w:r>
      <w:r>
        <w:rPr>
          <w:rFonts w:ascii="Times New Roman" w:hAnsi="Times New Roman"/>
          <w:b w:val="0"/>
          <w:i w:val="0"/>
          <w:sz w:val="22"/>
        </w:rPr>
        <w:t xml:space="preserve"> (Xtail ribosome-profiling log2FC) rather than a bulk transcriptome, mixed with bulk-transcriptome meta_Z from the other studies (a measurement-heterogeneity limitation disclosed here and addressed by the bulk-only sensitivity analysis). The five studies / six contrasts are: GSE267799 chronic vs baseline; GSE212311 CCI; GSE278227 1-week ipsilateral vs contralateral L4–L5 DRG (IL/CL), pooled across sexes (paired within-animal, n = 14 per side); GSE241361 SNI WT DRG; and GSE265957 DRG D4 and D63. Per-contrast Z-values were derived as Z = sign(t)·Φ⁻¹(p/2) from the per-dataset Welch tests (and, for the translatome, from the deposited Xtail p-values).</w:t>
      </w:r>
    </w:p>
    <w:p>
      <w:pPr>
        <w:spacing w:before="0" w:after="40"/>
      </w:pPr>
      <w:r>
        <w:rPr>
          <w:rFonts w:ascii="Times New Roman" w:hAnsi="Times New Roman"/>
          <w:b/>
          <w:i w:val="0"/>
          <w:sz w:val="22"/>
        </w:rPr>
        <w:t>Fixed-effect (primary).</w:t>
      </w:r>
      <w:r>
        <w:rPr>
          <w:rFonts w:ascii="Times New Roman" w:hAnsi="Times New Roman"/>
          <w:b w:val="0"/>
          <w:i w:val="0"/>
          <w:sz w:val="22"/>
        </w:rPr>
        <w:t xml:space="preserve"> A Stouffer weighted Z was computed per gene: Z_meta = Σ(w·Z)/√Σw², with weight w = √(n_case·n_ctrl/(n_case+n_ctrl)) using each contrast's real per-group sample size (GSE267799 12/8 → 2.19; GSE212311 3/3 → 1.22; GSE278227 14/14 → 2.65; GSE241361 DRG 4/5 → 1.49; GSE265957 D4 2/2 and D63 2/2 → 1.00 each). Writing the per-contrast standardised effect as d_i = Z_i/w_i with Var(d_i) = 1/w_i², this weighting is algebraically the inverse-variance (effective-n) weight; it does not re-count sample size. Direction consistency = max(n_up, n_dn)/K (K≥3 required), and because this statistic pools incision with nerve-injury contrasts, a gene can be "core-consistent" while disagreeing with the incision contrast; the two are therefore reported separately (see below). The core signature required meta_FDR &lt; 0.05 and direction consistency ≥ 0.8. Because this threshold corresponds to a minimum of 5/6 agreements at K = 6 (primary analysis) and 4/4 at K = 4 (bulk-only analysis), it is stricter in absolute count at larger K; K is reported alongside every consistency figure so that the threshold is interpreted at the correct meta scale.</w:t>
      </w:r>
    </w:p>
    <w:p>
      <w:pPr>
        <w:spacing w:before="0" w:after="40"/>
      </w:pPr>
      <w:r>
        <w:rPr>
          <w:rFonts w:ascii="Times New Roman" w:hAnsi="Times New Roman"/>
          <w:b/>
          <w:i w:val="0"/>
          <w:sz w:val="22"/>
        </w:rPr>
        <w:t>Random-effects sensitivity (DerSimonian–Laird).</w:t>
      </w:r>
      <w:r>
        <w:rPr>
          <w:rFonts w:ascii="Times New Roman" w:hAnsi="Times New Roman"/>
          <w:b w:val="0"/>
          <w:i w:val="0"/>
          <w:sz w:val="22"/>
        </w:rPr>
        <w:t xml:space="preserve"> On the same per-contrast effects we computed Q = Σ w_i²(d_i − d_FE)², C = Σ w_i² − Σ w_i⁴/Σ w_i², τ² = max(0, (Q − (K−1))/C) and I² = max(0, (Q − (K−1))/Q)·100, then random-effects weights w</w:t>
      </w:r>
      <w:r>
        <w:rPr>
          <w:rFonts w:ascii="Times New Roman" w:hAnsi="Times New Roman"/>
          <w:b w:val="0"/>
          <w:i/>
          <w:sz w:val="22"/>
        </w:rPr>
        <w:t>_i = 1/(1/w_i² + τ²) and Z_RE = Σw</w:t>
      </w:r>
      <w:r>
        <w:rPr>
          <w:rFonts w:ascii="Times New Roman" w:hAnsi="Times New Roman"/>
          <w:b w:val="0"/>
          <w:i w:val="0"/>
          <w:sz w:val="22"/>
        </w:rPr>
        <w:t>_i d_i/√(Σw*_i), with BH FDR across genes. This is reported as the sensitivity bound on the fixed-effect core (Supplementary Table S6).</w:t>
      </w:r>
    </w:p>
    <w:p>
      <w:pPr>
        <w:spacing w:before="0" w:after="40"/>
      </w:pPr>
      <w:r>
        <w:rPr>
          <w:rFonts w:ascii="Times New Roman" w:hAnsi="Times New Roman"/>
          <w:b/>
          <w:i w:val="0"/>
          <w:sz w:val="22"/>
        </w:rPr>
        <w:t>Consistency split and non-circular translation test.</w:t>
      </w:r>
      <w:r>
        <w:rPr>
          <w:rFonts w:ascii="Times New Roman" w:hAnsi="Times New Roman"/>
          <w:b w:val="0"/>
          <w:i w:val="0"/>
          <w:sz w:val="22"/>
        </w:rPr>
        <w:t xml:space="preserve"> For each gene we also computed </w:t>
      </w:r>
      <w:r>
        <w:rPr>
          <w:rFonts w:ascii="Courier New" w:hAnsi="Courier New"/>
          <w:b w:val="0"/>
          <w:i w:val="0"/>
          <w:sz w:val="22"/>
        </w:rPr>
        <w:t>nerve_injury_consistency</w:t>
      </w:r>
      <w:r>
        <w:rPr>
          <w:rFonts w:ascii="Times New Roman" w:hAnsi="Times New Roman"/>
          <w:b w:val="0"/>
          <w:i w:val="0"/>
          <w:sz w:val="22"/>
        </w:rPr>
        <w:t xml:space="preserve"> (direction consistency across the five nerve-injury contrasts only, incision excluded; K ≥ 3 required) and </w:t>
      </w:r>
      <w:r>
        <w:rPr>
          <w:rFonts w:ascii="Courier New" w:hAnsi="Courier New"/>
          <w:b w:val="0"/>
          <w:i w:val="0"/>
          <w:sz w:val="22"/>
        </w:rPr>
        <w:t>incision_agreement</w:t>
      </w:r>
      <w:r>
        <w:rPr>
          <w:rFonts w:ascii="Times New Roman" w:hAnsi="Times New Roman"/>
          <w:b w:val="0"/>
          <w:i w:val="0"/>
          <w:sz w:val="22"/>
        </w:rPr>
        <w:t xml:space="preserve"> (sign of the incision log₂FC equals the sign of the meta Z). A </w:t>
      </w:r>
      <w:r>
        <w:rPr>
          <w:rFonts w:ascii="Times New Roman" w:hAnsi="Times New Roman"/>
          <w:b w:val="0"/>
          <w:i/>
          <w:sz w:val="22"/>
        </w:rPr>
        <w:t>nerve-injury-only</w:t>
      </w:r>
      <w:r>
        <w:rPr>
          <w:rFonts w:ascii="Times New Roman" w:hAnsi="Times New Roman"/>
          <w:b w:val="0"/>
          <w:i w:val="0"/>
          <w:sz w:val="22"/>
        </w:rPr>
        <w:t xml:space="preserve"> meta-analysis was also run (five contrasts, incision contrast removed from both the Z and the consistency filter), and the incision contrast was then used once as a held-out direction test. Concordance is reported as a proportion with a Wilson 95% confidence interval and tested against an empirical null obtained by randomly re-labelling which genes belong to the test stratum (5,000 draws) rather than against an assumed 50%; the 50% null is inappropriate because the incision contrast has a global directional skew relative to nerve injury.</w:t>
      </w:r>
    </w:p>
    <w:p>
      <w:pPr>
        <w:spacing w:before="0" w:after="40"/>
      </w:pPr>
      <w:r>
        <w:rPr>
          <w:rFonts w:ascii="Times New Roman" w:hAnsi="Times New Roman"/>
          <w:b/>
          <w:i w:val="0"/>
          <w:sz w:val="22"/>
        </w:rPr>
        <w:t>Sensitivity analyses.</w:t>
      </w:r>
      <w:r>
        <w:rPr>
          <w:rFonts w:ascii="Times New Roman" w:hAnsi="Times New Roman"/>
          <w:b w:val="0"/>
          <w:i w:val="0"/>
          <w:sz w:val="22"/>
        </w:rPr>
        <w:t xml:space="preserve"> A collapse-sensitivity meta-analysis merged GSE265957's two timepoints into a single contrast (five inputs); a bulk-only meta-analysis excluded GSE265957 entirely (four bulk studies; the same union-K≥3 definition as the primary was applied, so the sensitivity is method-identical to the six-input analysis except for the removal of the translatome study; core = 2,512 (union-K≥3 with bulk meta_FDR &lt; 0.05 and consistency ≥ 0.8); overlap with the six-input core = 1,737/2,750 = 63.2%, the primary core ∩ bulk-significant core under the bulk core's own consistency ≥ 0.8 gate (of which 1,322 are pure 4/4 across all four available bulk contrasts, and a further 415 were measured in only three of the four bulk datasets with all three agreeing, K = 3 by availability); applying the relaxed ≥3/4 concordance gate to the four-contrast set gives 2,454/2,750 = 89.2%, recovering 717 of the 1,013 genes outside the stricter overlap, with 200 primary-core genes lacking any bulk-study support (154 present-but-non-significant plus 46 absent from the four-bulk file); an earlier all-four-present (intersection) count of 1,981 is superseded). </w:t>
      </w:r>
      <w:r>
        <w:rPr>
          <w:rFonts w:ascii="Times New Roman" w:hAnsi="Times New Roman"/>
          <w:b/>
          <w:i w:val="0"/>
          <w:sz w:val="22"/>
        </w:rPr>
        <w:t>GSE267799 is a heterogeneous, two-model incision arm.</w:t>
      </w:r>
      <w:r>
        <w:rPr>
          <w:rFonts w:ascii="Times New Roman" w:hAnsi="Times New Roman"/>
          <w:b w:val="0"/>
          <w:i w:val="0"/>
          <w:sz w:val="22"/>
        </w:rPr>
        <w:t xml:space="preserve"> GSE267799 contains two postoperative models (SMIR and lateral paw incision, LPI) across three tissues; the contrast used here is the SMIR DRG arm only - chronic (10 d + 32 d pooled) vs baseline (0 d), n = 12 vs 8 - so the accession-level counts (60 SMIR samples across DRG/muscle/skin, 48 LPI samples) are not the analysed n; the LPI arm and the muscle and skin tissues were not used. Harvest days are in fact annotated in the deposited metadata (0d, 6h, 2d, 10d, 32d). Because SMIR mechanical hypersensitivity has been reported to dissipate by postoperative day 32 (Flatters et al., 2008³⁹), the day-32 SMIR samples represent a resolving rather than established-chronic phenotype; their inclusion dilutes the injury signal and makes the incision contrast conservative. More fundamentally, SMIR is a non-axotomy (non-neurotrophic) postoperative model: Flatters et al. report essentially no ATF3 staining or degeneration in DRG after SMIR and conclude that SMIR-evoked pain is not driven by neuronal damage, whereas the four remaining contrasts (CCI ×2, SNI ×2) involve axonal injury. The held-out test therefore contrasts an axotomy-associated transcriptional programme with a model in which that lesion class is absent; the lesion-class mismatch, not only the time course and the day-32 dilution, is expected a priori to reduce concordance. We therefore report the incision→nerve-injury translation as a conservative bound from a single, heterogeneous incision arm.</w:t>
      </w:r>
    </w:p>
    <w:p>
      <w:pPr>
        <w:spacing w:before="160" w:after="80"/>
      </w:pPr>
      <w:r>
        <w:rPr>
          <w:rFonts w:ascii="Times New Roman" w:hAnsi="Times New Roman"/>
          <w:b/>
          <w:i w:val="0"/>
          <w:sz w:val="24"/>
        </w:rPr>
        <w:t>Gene-set statistics</w:t>
      </w:r>
    </w:p>
    <w:p>
      <w:pPr>
        <w:spacing w:before="0" w:after="40"/>
      </w:pPr>
      <w:r>
        <w:rPr>
          <w:rFonts w:ascii="Times New Roman" w:hAnsi="Times New Roman"/>
          <w:b w:val="0"/>
          <w:i w:val="0"/>
          <w:sz w:val="22"/>
        </w:rPr>
        <w:t>Nineteen a priori gene sets (neuroinflammation, DAM microglia, complement, mitochondrial OXPHOS, neuropeptides, synaptic, ion-channel families TRP/Nav/CACNA/Kv/KCNQ, MAPK, Sigma-1, opioid GPCR, ASIC, K2P/KCNK, myelin/oligodendrocyte, autophagy/mitophagy, CPSP-literature) were tested on the meta_Z vector by Stouffer combination plus one-sample t, calibrated by 2,000 same-size permutation tests with a resolution floor of 1/2001 ≈ 0.0005 (values at the floor are reported as an upper bound). Benjamini–Hochberg correction was applied across the 18 multi-member sets (permutation p and, separately, Stouffer p), because testing 19 sets without set-level correction leaves the three floor-pinned sets tied and ordered only by Stouffer Z; Sigma-1 is a single-member marker, is reported as such, and is excluded from set-level inference and ordering. Sets were also recomputed on the random-effects Z-vector. Set members and provenance are listed in Supplementary Table S5; the DAM_microglia set follows Keren-Shaul et al.²⁷. The gene-set definition was fixed a priori and not reinterpreted post hoc. The 18 multi-member gene sets overlap and are not independent; Benjamini–Hochberg correction is conservative under such dependence and is applied across the sets as a family-wise control, so the reported q-values are upper bounds on the per-set false-discovery rate.</w:t>
      </w:r>
    </w:p>
    <w:p>
      <w:pPr>
        <w:spacing w:before="160" w:after="80"/>
      </w:pPr>
      <w:r>
        <w:rPr>
          <w:rFonts w:ascii="Times New Roman" w:hAnsi="Times New Roman"/>
          <w:b/>
          <w:i w:val="0"/>
          <w:sz w:val="24"/>
        </w:rPr>
        <w:t>Dual-ML hub identification (leakage control)</w:t>
      </w:r>
    </w:p>
    <w:p>
      <w:pPr>
        <w:spacing w:before="0" w:after="40"/>
      </w:pPr>
      <w:r>
        <w:rPr>
          <w:rFonts w:ascii="Times New Roman" w:hAnsi="Times New Roman"/>
          <w:b w:val="0"/>
          <w:i w:val="0"/>
          <w:sz w:val="22"/>
        </w:rPr>
        <w:t xml:space="preserve">Five DRG-axis datasets (GSE278227, GSE267799, GSE241361 mouse DRG, GSE241361 mouse spinal cord, GSE212311) were intra-dataset gene-z-scored, intersected to 13,208 common genes, and pooled into 72 samples. The 'in meta core' designation for each hub (Table 2) is taken from </w:t>
      </w:r>
      <w:r>
        <w:rPr>
          <w:rFonts w:ascii="Courier New" w:hAnsi="Courier New"/>
          <w:b w:val="0"/>
          <w:i w:val="0"/>
          <w:sz w:val="22"/>
        </w:rPr>
        <w:t>results/tables/P3_hub_genes.csv</w:t>
      </w:r>
      <w:r>
        <w:rPr>
          <w:rFonts w:ascii="Times New Roman" w:hAnsi="Times New Roman"/>
          <w:b w:val="0"/>
          <w:i w:val="0"/>
          <w:sz w:val="22"/>
        </w:rPr>
        <w:t xml:space="preserve"> (boolean </w:t>
      </w:r>
      <w:r>
        <w:rPr>
          <w:rFonts w:ascii="Courier New" w:hAnsi="Courier New"/>
          <w:b w:val="0"/>
          <w:i w:val="0"/>
          <w:sz w:val="22"/>
        </w:rPr>
        <w:t>in_meta_core</w:t>
      </w:r>
      <w:r>
        <w:rPr>
          <w:rFonts w:ascii="Times New Roman" w:hAnsi="Times New Roman"/>
          <w:b w:val="0"/>
          <w:i w:val="0"/>
          <w:sz w:val="22"/>
        </w:rPr>
        <w:t xml:space="preserve">), which records whether the gene passed the meta_FDR &lt; 0.05 and consistency ≥ 0.8 core gate; it is not derived from </w:t>
      </w:r>
      <w:r>
        <w:rPr>
          <w:rFonts w:ascii="Courier New" w:hAnsi="Courier New"/>
          <w:b w:val="0"/>
          <w:i w:val="0"/>
          <w:sz w:val="22"/>
        </w:rPr>
        <w:t>P5_hub_lineage_consensus.csv</w:t>
      </w:r>
      <w:r>
        <w:rPr>
          <w:rFonts w:ascii="Times New Roman" w:hAnsi="Times New Roman"/>
          <w:b w:val="0"/>
          <w:i w:val="0"/>
          <w:sz w:val="22"/>
        </w:rPr>
        <w:t xml:space="preserve">, which carries no core-membership flag. Univariate t pre-screening (Top 800) fed three feature selectors: LASSO (λ.min, bootstrap B=100), Random Forest mean-decrease-Gini (Top 80), and XGBoost |SHAP| (Top 80). A gene was a hub if ≥2/3 methods agreed. Because the classifiers select 140–169 features against n = 6–28 test samples (events-per-parameter ≪ 1), they are used as candidate-generation screens, not calibrated precision estimates; their AUCs are reported as directional signals whose absolute precision is not estimable at these sample sizes. Generalisation was assessed primarily by leave-one-dataset-out (LODO) AUC; the cross-animal mean (raw, non-leakage) excludes the two GSE241361 folds, which are drawn from the same animals and are reported separately (raw cross-animal range 0.917–1.000 across three folds: GSE278227, GSE212311, and the incision arm GSE267799). Four of the five leakage-controlled folds yield degenerate bootstrap percentile intervals ([1.0, 1.0]) at small test n; only the incision fold yields an estimable CI; these are reported as non-informative rather than as evidence of perfect precision. A pooled within-dataset 5×20 repeated stratified cross-validation (0.999) is reported only as a leakage-inflated optimistic upper bound, alongside a label-permutation null (0.490 ± 0.085); the repeated-CV and permutation-null statistics are computed in </w:t>
      </w:r>
      <w:r>
        <w:rPr>
          <w:rFonts w:ascii="Courier New" w:hAnsi="Courier New"/>
          <w:b w:val="0"/>
          <w:i w:val="0"/>
          <w:sz w:val="22"/>
        </w:rPr>
        <w:t>scripts/p3_ml.py</w:t>
      </w:r>
      <w:r>
        <w:rPr>
          <w:rFonts w:ascii="Times New Roman" w:hAnsi="Times New Roman"/>
          <w:b w:val="0"/>
          <w:i w:val="0"/>
          <w:sz w:val="22"/>
        </w:rPr>
        <w:t xml:space="preserve"> with a fixed SEED, and per-test-set LODO AUCs are in </w:t>
      </w:r>
      <w:r>
        <w:rPr>
          <w:rFonts w:ascii="Courier New" w:hAnsi="Courier New"/>
          <w:b w:val="0"/>
          <w:i w:val="0"/>
          <w:sz w:val="22"/>
        </w:rPr>
        <w:t>results/tables/P3_lodo_auc_ci.csv</w:t>
      </w:r>
      <w:r>
        <w:rPr>
          <w:rFonts w:ascii="Times New Roman" w:hAnsi="Times New Roman"/>
          <w:b w:val="0"/>
          <w:i w:val="0"/>
          <w:sz w:val="22"/>
        </w:rPr>
        <w:t>. Hub stability was assessed by a 200-resample bootstrap of the 72 pooled samples (</w:t>
      </w:r>
      <w:r>
        <w:rPr>
          <w:rFonts w:ascii="Courier New" w:hAnsi="Courier New"/>
          <w:b w:val="0"/>
          <w:i w:val="0"/>
          <w:sz w:val="22"/>
        </w:rPr>
        <w:t>scripts/p3_hub_bootstrap.py</w:t>
      </w:r>
      <w:r>
        <w:rPr>
          <w:rFonts w:ascii="Times New Roman" w:hAnsi="Times New Roman"/>
          <w:b w:val="0"/>
          <w:i w:val="0"/>
          <w:sz w:val="22"/>
        </w:rPr>
        <w:t xml:space="preserve">; </w:t>
      </w:r>
      <w:r>
        <w:rPr>
          <w:rFonts w:ascii="Courier New" w:hAnsi="Courier New"/>
          <w:b w:val="0"/>
          <w:i w:val="0"/>
          <w:sz w:val="22"/>
        </w:rPr>
        <w:t>results/tables/P3_hub_bootstrap.csv</w:t>
      </w:r>
      <w:r>
        <w:rPr>
          <w:rFonts w:ascii="Times New Roman" w:hAnsi="Times New Roman"/>
          <w:b w:val="0"/>
          <w:i w:val="0"/>
          <w:sz w:val="22"/>
        </w:rPr>
        <w:t>), and the stability of the docking target set itself by a re-run of that bootstrap recording the full recovered hub set per resample (</w:t>
      </w:r>
      <w:r>
        <w:rPr>
          <w:rFonts w:ascii="Courier New" w:hAnsi="Courier New"/>
          <w:b w:val="0"/>
          <w:i w:val="0"/>
          <w:sz w:val="22"/>
        </w:rPr>
        <w:t>scripts/p7_targetset_bootstrap.py</w:t>
      </w:r>
      <w:r>
        <w:rPr>
          <w:rFonts w:ascii="Times New Roman" w:hAnsi="Times New Roman"/>
          <w:b w:val="0"/>
          <w:i w:val="0"/>
          <w:sz w:val="22"/>
        </w:rPr>
        <w:t xml:space="preserve">; </w:t>
      </w:r>
      <w:r>
        <w:rPr>
          <w:rFonts w:ascii="Courier New" w:hAnsi="Courier New"/>
          <w:b w:val="0"/>
          <w:i w:val="0"/>
          <w:sz w:val="22"/>
        </w:rPr>
        <w:t>results/tables/_R4_targetset_bootstrap.csv</w:t>
      </w:r>
      <w:r>
        <w:rPr>
          <w:rFonts w:ascii="Times New Roman" w:hAnsi="Times New Roman"/>
          <w:b w:val="0"/>
          <w:i w:val="0"/>
          <w:sz w:val="22"/>
        </w:rPr>
        <w:t xml:space="preserve">, with the per-resample recovery sets in </w:t>
      </w:r>
      <w:r>
        <w:rPr>
          <w:rFonts w:ascii="Courier New" w:hAnsi="Courier New"/>
          <w:b w:val="0"/>
          <w:i w:val="0"/>
          <w:sz w:val="22"/>
        </w:rPr>
        <w:t>results/tables/_R4_targetset_bootstrap_resamples.csv</w:t>
      </w:r>
      <w:r>
        <w:rPr>
          <w:rFonts w:ascii="Times New Roman" w:hAnsi="Times New Roman"/>
          <w:b w:val="0"/>
          <w:i w:val="0"/>
          <w:sz w:val="22"/>
        </w:rPr>
        <w:t>), which is the basis for treating the target list as structurally rather than statistically determined.</w:t>
      </w:r>
    </w:p>
    <w:p>
      <w:pPr>
        <w:spacing w:before="0" w:after="40"/>
      </w:pPr>
      <w:r>
        <w:rPr>
          <w:rFonts w:ascii="Times New Roman" w:hAnsi="Times New Roman"/>
          <w:b/>
          <w:i w:val="0"/>
          <w:sz w:val="22"/>
        </w:rPr>
        <w:t>Tissue scope of the hub set (DRG vs spinal).</w:t>
      </w:r>
      <w:r>
        <w:rPr>
          <w:rFonts w:ascii="Times New Roman" w:hAnsi="Times New Roman"/>
          <w:b w:val="0"/>
          <w:i w:val="0"/>
          <w:sz w:val="22"/>
        </w:rPr>
        <w:t xml:space="preserve"> The Stouffer meta-analysis core (2,750 genes) is strictly DRG-derived: its six contrasts come from five studies (GSE267799, GSE212311, GSE278227, GSE241361 DRG, GSE265957 DRG) and no spinal-cord transcriptome entered that meta-analysis. The dual-ML hub set additionally pooled GSE241361 mouse spinal cord into the 72-sample training set alongside the four DRG datasets (GSE278227, GSE267799, GSE241361 DRG, GSE212311), so the 35 hubs reflect DRG-plus-spinal-cord expression convergence rather than a DRG-only signal; the remaining spinal datasets (GSE328175, GSE246288, GSE325938) were used for hub localisation only. We therefore describe the axis as a DRG-centred nerve-injury response with spinal-cord localisation, and we do not claim the hubs are DRG-exclusive.</w:t>
      </w:r>
    </w:p>
    <w:p>
      <w:pPr>
        <w:spacing w:before="160" w:after="80"/>
      </w:pPr>
      <w:r>
        <w:rPr>
          <w:rFonts w:ascii="Times New Roman" w:hAnsi="Times New Roman"/>
          <w:b/>
          <w:i w:val="0"/>
          <w:sz w:val="24"/>
        </w:rPr>
        <w:t>Human miRNA layer</w:t>
      </w:r>
    </w:p>
    <w:p>
      <w:pPr>
        <w:spacing w:before="0" w:after="40"/>
      </w:pPr>
      <w:r>
        <w:rPr>
          <w:rFonts w:ascii="Times New Roman" w:hAnsi="Times New Roman"/>
          <w:b w:val="0"/>
          <w:i w:val="0"/>
          <w:sz w:val="22"/>
        </w:rPr>
        <w:t xml:space="preserve">GSE158825 (n=60 human plasma miRNA; lumbar surgery + pain outcome %nprs20delta) was tested by Welch+BH and Spearman+BH. miRDB v6.0 predicted hub-mRNA-targeting miRNAs; 3,511 predicted hub→miRNA relationships spanning 33 of 35 hubs were obtained, of which 752 were high-confidence (score ≥ 80) and 328 of those pairs involved human-plasma-detectable miRNAs (253 distinct miRNAs, enumerated in </w:t>
      </w:r>
      <w:r>
        <w:rPr>
          <w:rFonts w:ascii="Courier New" w:hAnsi="Courier New"/>
          <w:b w:val="0"/>
          <w:i w:val="0"/>
          <w:sz w:val="22"/>
        </w:rPr>
        <w:t>results/tables/P4_hub_miRNA_human_integration.csv</w:t>
      </w:r>
      <w:r>
        <w:rPr>
          <w:rFonts w:ascii="Times New Roman" w:hAnsi="Times New Roman"/>
          <w:b w:val="0"/>
          <w:i w:val="0"/>
          <w:sz w:val="22"/>
        </w:rPr>
        <w:t>). Set-level association was tested by 5,000 same-size permutation of miRNAs (p = 0.51). GSE222979 (n=1,242, three body fluids) provided cross-fluid detectability only (no pain phenotype). GSE306403 (SH-SY5Y) was retained as an in-vitro opioid-mechanism reference, not human tissue. This layer is a blood-based proxy and is interpreted only as such.</w:t>
      </w:r>
    </w:p>
    <w:p>
      <w:pPr>
        <w:spacing w:before="160" w:after="80"/>
      </w:pPr>
      <w:r>
        <w:rPr>
          <w:rFonts w:ascii="Times New Roman" w:hAnsi="Times New Roman"/>
          <w:b/>
          <w:i w:val="0"/>
          <w:sz w:val="24"/>
        </w:rPr>
        <w:t>Single-cell &amp; spatial localisation</w:t>
      </w:r>
    </w:p>
    <w:p>
      <w:pPr>
        <w:spacing w:before="0" w:after="40"/>
      </w:pPr>
      <w:r>
        <w:rPr>
          <w:rFonts w:ascii="Times New Roman" w:hAnsi="Times New Roman"/>
          <w:b w:val="0"/>
          <w:i w:val="0"/>
          <w:sz w:val="22"/>
        </w:rPr>
        <w:t>GSE216039 (mouse DRG neuron-enriched scRNA), GSE328175 (mouse lumbar spinal snRNA; Sham and SNI nuclei pooled, 23,191 Sham / 31,121 SNI across 6 samples), and GSE246288 (mouse spinal-cord Cd11b+ microglia scRNA) were analysed with sample-level pseudobulk only (cell-level statistics were descriptive, never inferential, to avoid pseudoreplication). Neuron-subtype annotation used eight non-hub markers (GAL, GAP43, SOX11, VGF, MMP16, CDK5R1, SCG2, NCAM1) with zero overlap with the 35 hubs, printed for audit. Ambient-RNA index flagged unreliable cell assignments. Visium GSE325938 (mouse spinal cord) regionalised the 35 hubs on Sham/baseline tissue and cross-modally corroborated snRNA lineage calls. Regional specificity was subject to a detection floor: hubs whose detection fraction in their top region was below 5% (CDHR5, SERPINE1, VIP, REG3B, ANKRD1, plus the all-zero CRISP3 and LNP1) were flagged below-floor and excluded from biological interpretation of regional enrichment, since specificity ratios computed on near-zero detection fractions are noise-driven; per-hub floor status is marked in Supplementary Table S2. Because only Sham tissue was available, dorsal-horn assignment is reported as constitutive baseline anatomy, not injury-induced recruitment.</w:t>
      </w:r>
    </w:p>
    <w:p>
      <w:pPr>
        <w:spacing w:before="160" w:after="80"/>
      </w:pPr>
      <w:r>
        <w:rPr>
          <w:rFonts w:ascii="Times New Roman" w:hAnsi="Times New Roman"/>
          <w:b/>
          <w:i w:val="0"/>
          <w:sz w:val="24"/>
        </w:rPr>
        <w:t>Structure-based repurposing (prospectively specified)</w:t>
      </w:r>
    </w:p>
    <w:p>
      <w:pPr>
        <w:spacing w:before="0" w:after="40"/>
      </w:pPr>
      <w:r>
        <w:rPr>
          <w:rFonts w:ascii="Times New Roman" w:hAnsi="Times New Roman"/>
          <w:b w:val="0"/>
          <w:i w:val="0"/>
          <w:sz w:val="22"/>
        </w:rPr>
        <w:t xml:space="preserve">The ligand library was ChEMBL max_phase=4 (approved-drug equivalent) → 3,085 pdbqt files (93.2% of 3,311 small molecules). </w:t>
      </w:r>
      <w:r>
        <w:rPr>
          <w:rFonts w:ascii="Times New Roman" w:hAnsi="Times New Roman"/>
          <w:b/>
          <w:i w:val="0"/>
          <w:sz w:val="22"/>
        </w:rPr>
        <w:t>Parameter-fidelity validation was performed before screening</w:t>
      </w:r>
      <w:r>
        <w:rPr>
          <w:rFonts w:ascii="Times New Roman" w:hAnsi="Times New Roman"/>
          <w:b w:val="0"/>
          <w:i w:val="0"/>
          <w:sz w:val="22"/>
        </w:rPr>
        <w:t xml:space="preserve">: exhaustiveness-1 (not max_evals) was chosen because max_evals systematically penalised flexible ligands (Spearman ρ(Δ, rotatable bonds) ≈ +0.26, top-10% recall 0%). Exhaustiveness-1 retained a rank-fidelity ceiling of ρ ≈ 0.78. Ten of 43 candidate targets had dockable holo structures with a ligand-anchored binding site suitable for box definition (GALNS, SLC2A1, TNIK, ITPKC, AXL, SERPINE1, MAPK14, VASH2, ACVR1, ADRA2A); ion-channel candidates (SCN9A/10A/11A/KCNQ2/CACNA2D1/GABRA1) have experimental structures but lack a ligand-anchored pocket appropriate for a defined docking box, and were therefore not docked (they could be revisited by blind/cavity-aware docking). Hub→target eligibility was governed by the explicit rule stated in Results (n_holo_PDB ≥ 1), which selected 17 hubs of which 9 were docked; ADRA2A was added as a non-hub external analgesic reference and TFE3, although eligible, had no definable ligand-anchored cavity. 30,850 dockings (3,085 × 10) were scored in AutoDock Vina 1.2.5. </w:t>
      </w:r>
      <w:r>
        <w:rPr>
          <w:rFonts w:ascii="Times New Roman" w:hAnsi="Times New Roman"/>
          <w:b/>
          <w:i w:val="0"/>
          <w:sz w:val="22"/>
        </w:rPr>
        <w:t>Reverse positive controls</w:t>
      </w:r>
      <w:r>
        <w:rPr>
          <w:rFonts w:ascii="Times New Roman" w:hAnsi="Times New Roman"/>
          <w:b w:val="0"/>
          <w:i w:val="0"/>
          <w:sz w:val="22"/>
        </w:rPr>
        <w:t xml:space="preserve"> used ChEMBL binding-type labels (pChEMBL ≥ 6, i.e. ≤1 µM) and are reported as </w:t>
      </w:r>
      <w:r>
        <w:rPr>
          <w:rFonts w:ascii="Courier New" w:hAnsi="Courier New"/>
          <w:b w:val="0"/>
          <w:i w:val="0"/>
          <w:sz w:val="22"/>
        </w:rPr>
        <w:t>control_passed</w:t>
      </w:r>
      <w:r>
        <w:rPr>
          <w:rFonts w:ascii="Times New Roman" w:hAnsi="Times New Roman"/>
          <w:b w:val="0"/>
          <w:i w:val="0"/>
          <w:sz w:val="22"/>
        </w:rPr>
        <w:t xml:space="preserve"> (method-validation) rather than as evidence of enrichment; </w:t>
      </w:r>
      <w:r>
        <w:rPr>
          <w:rFonts w:ascii="Times New Roman" w:hAnsi="Times New Roman"/>
          <w:b/>
          <w:i w:val="0"/>
          <w:sz w:val="22"/>
        </w:rPr>
        <w:t>molecular-weight confounder correction</w:t>
      </w:r>
      <w:r>
        <w:rPr>
          <w:rFonts w:ascii="Times New Roman" w:hAnsi="Times New Roman"/>
          <w:b w:val="0"/>
          <w:i w:val="0"/>
          <w:sz w:val="22"/>
        </w:rPr>
        <w:t xml:space="preserve"> applied MW-only baseline, MW-linear-adjusted, and MW-quintile-stratified AUC. Enrichment was declared real only if docking AUC &gt; 0.5, survived correction, and exceeded the MW-only baseline. A multivariate physicochemical control extended the single-variable MW correction: for each of the five ChEMBL-annotated targets a logistic model of known-binder status on six descriptors (MW, logP, TPSA, HBD, HBA, rotB) was fit, and a likelihood-ratio test assessed whether docking affinity added residual discrimination (Supplementary Table S4). Benjamini–Hochberg correction across the five targets was applied to both the raw full-library enrichment p-values and the size-independent (MW-adjusted) p-values (Supplementary Table S4): 4/5 raw p-values survive BH, whereas only ADRA2A's weak size-independent p survives BH, and its full-library AUC remains 0.532 (p = 0.118, NS), so a covariate-adjusted increment above the MW baseline is not interpreted as enrichment when the full-library AUC is itself indistinguishable from chance. For AXL, where a breadth-table PASS (0.880) coexists with a size-independent p of 0.141 whose confidence interval contains zero, the size-independent test is declared authoritative and the breadth-table value is reported as a method-validation control only; the two numbers answer different questions and are not both treated as enrichment verdicts.</w:t>
      </w:r>
    </w:p>
    <w:p>
      <w:pPr>
        <w:spacing w:before="160" w:after="80"/>
      </w:pPr>
      <w:r>
        <w:rPr>
          <w:rFonts w:ascii="Times New Roman" w:hAnsi="Times New Roman"/>
          <w:b/>
          <w:i w:val="0"/>
          <w:sz w:val="24"/>
        </w:rPr>
        <w:t>Multiple-testing registry</w:t>
      </w:r>
    </w:p>
    <w:p>
      <w:pPr>
        <w:spacing w:before="0" w:after="40"/>
      </w:pPr>
      <w:r>
        <w:rPr>
          <w:rFonts w:ascii="Times New Roman" w:hAnsi="Times New Roman"/>
          <w:b w:val="0"/>
          <w:i w:val="0"/>
          <w:sz w:val="22"/>
        </w:rPr>
        <w:t>Correction was applied within, not across, analytical families, and the families are reported separately so that no single claim rests on an uncorrected test: (i) per-dataset differential expression, BH across genes; (ii) meta-analysis, BH across genes, fixed and random effects separately; (iii) gene sets, BH across the 18 multi-member sets (added in this version); (iv) docking, BH across the five ChEMBL-annotated targets for both raw and size-independent p; (v) single-cell, sample-level BH, with all cell-level statistics descriptive; (vi) multivariate physicochemical control, for each of the five ChEMBL-annotated targets a likelihood-ratio test assessed whether docking affinity added discrimination beyond chemotype (AXL p = 2.6e-5, TNIK p = 7.3e-5, ACVR1 p = 9.6e-4, MAPK14 p = 0.066, ADRA2A p = 0.027); this five-test family is reported as a post-hoc physicochemical control and is explicitly not counted among the corrected inferential tests, consistent with the composite-ranking exclusion above. Composite-ranking hypergeometric p-values are reported as descriptive retrieval metrics and are explicitly not counted among the corrected inferential tests.</w:t>
      </w:r>
    </w:p>
    <w:p>
      <w:pPr>
        <w:spacing w:before="160" w:after="80"/>
      </w:pPr>
      <w:r>
        <w:rPr>
          <w:rFonts w:ascii="Times New Roman" w:hAnsi="Times New Roman"/>
          <w:b/>
          <w:i w:val="0"/>
          <w:sz w:val="24"/>
        </w:rPr>
        <w:t>Statistical discipline, causal scope and AI-use disclosure</w:t>
      </w:r>
    </w:p>
    <w:p>
      <w:pPr>
        <w:spacing w:before="0" w:after="40"/>
      </w:pPr>
      <w:r>
        <w:rPr>
          <w:rFonts w:ascii="Times New Roman" w:hAnsi="Times New Roman"/>
          <w:b w:val="0"/>
          <w:i w:val="0"/>
          <w:sz w:val="22"/>
        </w:rPr>
        <w:t xml:space="preserve">Single-cell differential expression was never inferred at the cell level (pseudoreplication); only sample-level pseudobulk Welch+BH across n = 2–3/group was reported, and all such localisation findings are labelled "directional hints". AUC-based enrichment p-values are one-sided; permutation-calibration p-values are two-sided, per the Statistical discipline and Multiple-testing registry paragraphs above. </w:t>
      </w:r>
      <w:r>
        <w:rPr>
          <w:rFonts w:ascii="Times New Roman" w:hAnsi="Times New Roman"/>
          <w:b/>
          <w:i w:val="0"/>
          <w:sz w:val="22"/>
        </w:rPr>
        <w:t>Causal scope:</w:t>
      </w:r>
      <w:r>
        <w:rPr>
          <w:rFonts w:ascii="Times New Roman" w:hAnsi="Times New Roman"/>
          <w:b w:val="0"/>
          <w:i w:val="0"/>
          <w:sz w:val="22"/>
        </w:rPr>
        <w:t xml:space="preserve"> this is an observational reanalysis of public transcriptomes with no intervention, no temporal ordering within tissue, and no perturbation; all findings are associations, and terms such as "response" or "programme" are used descriptively rather than mechanistically. Accordingly, no causal claim, including any claim that the observed neuroimmune-metabolic coordination causes, maintains, or can be targeted to modify chronic postsurgical pain, is made or supported by this design. A generative AI language model (Claude, Anthropic) was used to assist manuscript drafting and language polishing. The scientific design, all computational analyses, results and conclusions were conceived, executed and verified by the author; every AI-generated or AI-edited sentence was checked by the author against the result tables and scripts and corrected where needed, and no AI tool was used to generate, select or interpret data. No AI tool satisfies authorship criteria.</w:t>
      </w:r>
    </w:p>
    <w:p>
      <w:pPr>
        <w:spacing w:before="160" w:after="80"/>
      </w:pPr>
      <w:r>
        <w:rPr>
          <w:rFonts w:ascii="Times New Roman" w:hAnsi="Times New Roman"/>
          <w:b/>
          <w:i w:val="0"/>
          <w:sz w:val="24"/>
        </w:rPr>
        <w:t>Ethics statement</w:t>
      </w:r>
    </w:p>
    <w:p>
      <w:pPr>
        <w:spacing w:before="0" w:after="40"/>
      </w:pPr>
      <w:r>
        <w:rPr>
          <w:rFonts w:ascii="Times New Roman" w:hAnsi="Times New Roman"/>
          <w:b w:val="0"/>
          <w:i w:val="0"/>
          <w:sz w:val="22"/>
        </w:rPr>
        <w:t>This study reanalysed publicly available, de-identified transcriptomics data from the Gene Expression Omnibus (GEO). For the single human dataset reanalysed here, GSE158825 (human plasma miRNA, n = 60; lumbar surgery with pain outcome), the original deposition documents institutional review board (IRB) approval and informed consent; the approving IRB and its approval identifier are recorded in the GSE158825 data deposit (accession GSE158825) and are not independently reproduced here, and the data were accessed in de-identified form; this secondary reanalysis required no further ethics approval. For the animal datasets (GSE267799, GSE212311, GSE278227, GSE241361, GSE265957, GSE216039, GSE328175, GSE246288, GSE306403), the original GEO depositions document the relevant institutional animal care and use committee (IACUC) approvals; we generated no new animal data. All data were obtained from the public GEO and required no additional ethics approval for this secondary analysis.</w:t>
      </w:r>
    </w:p>
    <w:p>
      <w:pPr>
        <w:spacing w:before="160" w:after="80"/>
      </w:pPr>
      <w:r>
        <w:rPr>
          <w:rFonts w:ascii="Times New Roman" w:hAnsi="Times New Roman"/>
          <w:b/>
          <w:i w:val="0"/>
          <w:sz w:val="24"/>
        </w:rPr>
        <w:t>References</w:t>
      </w:r>
    </w:p>
    <w:p>
      <w:pPr>
        <w:spacing w:before="0" w:after="40"/>
      </w:pPr>
      <w:r>
        <w:rPr>
          <w:rFonts w:ascii="Times New Roman" w:hAnsi="Times New Roman"/>
          <w:b w:val="0"/>
          <w:i w:val="0"/>
          <w:sz w:val="22"/>
        </w:rPr>
        <w:t xml:space="preserve">1. Macrae, W. A. Chronic post-surgical pain: 10 years on. </w:t>
      </w:r>
      <w:r>
        <w:rPr>
          <w:rFonts w:ascii="Times New Roman" w:hAnsi="Times New Roman"/>
          <w:b w:val="0"/>
          <w:i/>
          <w:sz w:val="22"/>
        </w:rPr>
        <w:t>British Journal of Anaesthesia</w:t>
      </w:r>
      <w:r>
        <w:rPr>
          <w:rFonts w:ascii="Times New Roman" w:hAnsi="Times New Roman"/>
          <w:b w:val="0"/>
          <w:i w:val="0"/>
          <w:sz w:val="22"/>
        </w:rPr>
        <w:t xml:space="preserve"> </w:t>
      </w:r>
      <w:r>
        <w:rPr>
          <w:rFonts w:ascii="Times New Roman" w:hAnsi="Times New Roman"/>
          <w:b/>
          <w:i w:val="0"/>
          <w:sz w:val="22"/>
        </w:rPr>
        <w:t>101</w:t>
      </w:r>
      <w:r>
        <w:rPr>
          <w:rFonts w:ascii="Times New Roman" w:hAnsi="Times New Roman"/>
          <w:b w:val="0"/>
          <w:i w:val="0"/>
          <w:sz w:val="22"/>
        </w:rPr>
        <w:t>, 77–86 (2008). https://doi.org/10.1093/bja/aen099</w:t>
      </w:r>
    </w:p>
    <w:p>
      <w:pPr>
        <w:spacing w:before="0" w:after="40"/>
      </w:pPr>
      <w:r>
        <w:rPr>
          <w:rFonts w:ascii="Times New Roman" w:hAnsi="Times New Roman"/>
          <w:b w:val="0"/>
          <w:i w:val="0"/>
          <w:sz w:val="22"/>
        </w:rPr>
        <w:t xml:space="preserve">2. Sapio, M. R. et al. Dynorphin and enkephalin opioid peptides and transcripts in spinal cord and dorsal root ganglion during peripheral inflammatory hyperalgesia and allodynia. </w:t>
      </w:r>
      <w:r>
        <w:rPr>
          <w:rFonts w:ascii="Times New Roman" w:hAnsi="Times New Roman"/>
          <w:b w:val="0"/>
          <w:i/>
          <w:sz w:val="22"/>
        </w:rPr>
        <w:t>Journal of Pain</w:t>
      </w:r>
      <w:r>
        <w:rPr>
          <w:rFonts w:ascii="Times New Roman" w:hAnsi="Times New Roman"/>
          <w:b w:val="0"/>
          <w:i w:val="0"/>
          <w:sz w:val="22"/>
        </w:rPr>
        <w:t xml:space="preserve"> </w:t>
      </w:r>
      <w:r>
        <w:rPr>
          <w:rFonts w:ascii="Times New Roman" w:hAnsi="Times New Roman"/>
          <w:b/>
          <w:i w:val="0"/>
          <w:sz w:val="22"/>
        </w:rPr>
        <w:t>21</w:t>
      </w:r>
      <w:r>
        <w:rPr>
          <w:rFonts w:ascii="Times New Roman" w:hAnsi="Times New Roman"/>
          <w:b w:val="0"/>
          <w:i w:val="0"/>
          <w:sz w:val="22"/>
        </w:rPr>
        <w:t>, 783–796 (2020). https://doi.org/10.1016/j.jpain.2020.01.001</w:t>
      </w:r>
    </w:p>
    <w:p>
      <w:pPr>
        <w:spacing w:before="0" w:after="40"/>
      </w:pPr>
      <w:r>
        <w:rPr>
          <w:rFonts w:ascii="Times New Roman" w:hAnsi="Times New Roman"/>
          <w:b w:val="0"/>
          <w:i w:val="0"/>
          <w:sz w:val="22"/>
        </w:rPr>
        <w:t xml:space="preserve">3. Xu, R. et al. Genome-wide expression profiling by RNA-sequencing in spinal cord dorsal horn of a rat chronic postsurgical pain model. </w:t>
      </w:r>
      <w:r>
        <w:rPr>
          <w:rFonts w:ascii="Times New Roman" w:hAnsi="Times New Roman"/>
          <w:b w:val="0"/>
          <w:i/>
          <w:sz w:val="22"/>
        </w:rPr>
        <w:t>Journal of Pain Research</w:t>
      </w:r>
      <w:r>
        <w:rPr>
          <w:rFonts w:ascii="Times New Roman" w:hAnsi="Times New Roman"/>
          <w:b w:val="0"/>
          <w:i w:val="0"/>
          <w:sz w:val="22"/>
        </w:rPr>
        <w:t xml:space="preserve"> </w:t>
      </w:r>
      <w:r>
        <w:rPr>
          <w:rFonts w:ascii="Times New Roman" w:hAnsi="Times New Roman"/>
          <w:b/>
          <w:i w:val="0"/>
          <w:sz w:val="22"/>
        </w:rPr>
        <w:t>15</w:t>
      </w:r>
      <w:r>
        <w:rPr>
          <w:rFonts w:ascii="Times New Roman" w:hAnsi="Times New Roman"/>
          <w:b w:val="0"/>
          <w:i w:val="0"/>
          <w:sz w:val="22"/>
        </w:rPr>
        <w:t>, 985–1001 (2022). https://doi.org/10.2147/jpr.s358942</w:t>
      </w:r>
    </w:p>
    <w:p>
      <w:pPr>
        <w:spacing w:before="0" w:after="40"/>
      </w:pPr>
      <w:r>
        <w:rPr>
          <w:rFonts w:ascii="Times New Roman" w:hAnsi="Times New Roman"/>
          <w:b w:val="0"/>
          <w:i w:val="0"/>
          <w:sz w:val="22"/>
        </w:rPr>
        <w:t xml:space="preserve">4. Qu, Y. et al. Neuroinflammation signatures in dorsal root ganglia following chronic constriction injury. </w:t>
      </w:r>
      <w:r>
        <w:rPr>
          <w:rFonts w:ascii="Times New Roman" w:hAnsi="Times New Roman"/>
          <w:b w:val="0"/>
          <w:i/>
          <w:sz w:val="22"/>
        </w:rPr>
        <w:t>Heliyon</w:t>
      </w:r>
      <w:r>
        <w:rPr>
          <w:rFonts w:ascii="Times New Roman" w:hAnsi="Times New Roman"/>
          <w:b w:val="0"/>
          <w:i w:val="0"/>
          <w:sz w:val="22"/>
        </w:rPr>
        <w:t xml:space="preserve"> </w:t>
      </w:r>
      <w:r>
        <w:rPr>
          <w:rFonts w:ascii="Times New Roman" w:hAnsi="Times New Roman"/>
          <w:b/>
          <w:i w:val="0"/>
          <w:sz w:val="22"/>
        </w:rPr>
        <w:t>10</w:t>
      </w:r>
      <w:r>
        <w:rPr>
          <w:rFonts w:ascii="Times New Roman" w:hAnsi="Times New Roman"/>
          <w:b w:val="0"/>
          <w:i w:val="0"/>
          <w:sz w:val="22"/>
        </w:rPr>
        <w:t>, e31481 (2024). https://doi.org/10.1016/j.heliyon.2024.e31481</w:t>
      </w:r>
    </w:p>
    <w:p>
      <w:pPr>
        <w:spacing w:before="0" w:after="40"/>
      </w:pPr>
      <w:r>
        <w:rPr>
          <w:rFonts w:ascii="Times New Roman" w:hAnsi="Times New Roman"/>
          <w:b w:val="0"/>
          <w:i w:val="0"/>
          <w:sz w:val="22"/>
        </w:rPr>
        <w:t xml:space="preserve">5. Pokhilko, A., Nash, A. &amp; Cader, M. Z. Common transcriptional signatures of neuropathic pain. </w:t>
      </w:r>
      <w:r>
        <w:rPr>
          <w:rFonts w:ascii="Times New Roman" w:hAnsi="Times New Roman"/>
          <w:b w:val="0"/>
          <w:i/>
          <w:sz w:val="22"/>
        </w:rPr>
        <w:t>Pain</w:t>
      </w:r>
      <w:r>
        <w:rPr>
          <w:rFonts w:ascii="Times New Roman" w:hAnsi="Times New Roman"/>
          <w:b w:val="0"/>
          <w:i w:val="0"/>
          <w:sz w:val="22"/>
        </w:rPr>
        <w:t xml:space="preserve"> </w:t>
      </w:r>
      <w:r>
        <w:rPr>
          <w:rFonts w:ascii="Times New Roman" w:hAnsi="Times New Roman"/>
          <w:b/>
          <w:i w:val="0"/>
          <w:sz w:val="22"/>
        </w:rPr>
        <w:t>161</w:t>
      </w:r>
      <w:r>
        <w:rPr>
          <w:rFonts w:ascii="Times New Roman" w:hAnsi="Times New Roman"/>
          <w:b w:val="0"/>
          <w:i w:val="0"/>
          <w:sz w:val="22"/>
        </w:rPr>
        <w:t>, 1542–1554 (2020). https://doi.org/10.1097/j.pain.0000000000001847</w:t>
      </w:r>
    </w:p>
    <w:p>
      <w:pPr>
        <w:spacing w:before="0" w:after="40"/>
      </w:pPr>
      <w:r>
        <w:rPr>
          <w:rFonts w:ascii="Times New Roman" w:hAnsi="Times New Roman"/>
          <w:b w:val="0"/>
          <w:i w:val="0"/>
          <w:sz w:val="22"/>
        </w:rPr>
        <w:t xml:space="preserve">6. Meng, X. et al. A transcriptome data set for comparing skin, muscle and dorsal root ganglion between acute and chronic postsurgical pain rats. </w:t>
      </w:r>
      <w:r>
        <w:rPr>
          <w:rFonts w:ascii="Times New Roman" w:hAnsi="Times New Roman"/>
          <w:b w:val="0"/>
          <w:i/>
          <w:sz w:val="22"/>
        </w:rPr>
        <w:t>Scientific Data</w:t>
      </w:r>
      <w:r>
        <w:rPr>
          <w:rFonts w:ascii="Times New Roman" w:hAnsi="Times New Roman"/>
          <w:b w:val="0"/>
          <w:i w:val="0"/>
          <w:sz w:val="22"/>
        </w:rPr>
        <w:t xml:space="preserve"> </w:t>
      </w:r>
      <w:r>
        <w:rPr>
          <w:rFonts w:ascii="Times New Roman" w:hAnsi="Times New Roman"/>
          <w:b/>
          <w:i w:val="0"/>
          <w:sz w:val="22"/>
        </w:rPr>
        <w:t>11</w:t>
      </w:r>
      <w:r>
        <w:rPr>
          <w:rFonts w:ascii="Times New Roman" w:hAnsi="Times New Roman"/>
          <w:b w:val="0"/>
          <w:i w:val="0"/>
          <w:sz w:val="22"/>
        </w:rPr>
        <w:t>, 1229 (2024). https://doi.org/10.1038/s41597-024-04078-2</w:t>
      </w:r>
    </w:p>
    <w:p>
      <w:pPr>
        <w:spacing w:before="0" w:after="40"/>
      </w:pPr>
      <w:r>
        <w:rPr>
          <w:rFonts w:ascii="Times New Roman" w:hAnsi="Times New Roman"/>
          <w:b w:val="0"/>
          <w:i w:val="0"/>
          <w:sz w:val="22"/>
        </w:rPr>
        <w:t xml:space="preserve">7. Dong, F. L. et al. An atlas of neuropathic pain-associated molecular pathological characteristics in the mouse spinal cord. </w:t>
      </w:r>
      <w:r>
        <w:rPr>
          <w:rFonts w:ascii="Times New Roman" w:hAnsi="Times New Roman"/>
          <w:b w:val="0"/>
          <w:i/>
          <w:sz w:val="22"/>
        </w:rPr>
        <w:t>Communications Biology</w:t>
      </w:r>
      <w:r>
        <w:rPr>
          <w:rFonts w:ascii="Times New Roman" w:hAnsi="Times New Roman"/>
          <w:b w:val="0"/>
          <w:i w:val="0"/>
          <w:sz w:val="22"/>
        </w:rPr>
        <w:t xml:space="preserve"> </w:t>
      </w:r>
      <w:r>
        <w:rPr>
          <w:rFonts w:ascii="Times New Roman" w:hAnsi="Times New Roman"/>
          <w:b/>
          <w:i w:val="0"/>
          <w:sz w:val="22"/>
        </w:rPr>
        <w:t>8</w:t>
      </w:r>
      <w:r>
        <w:rPr>
          <w:rFonts w:ascii="Times New Roman" w:hAnsi="Times New Roman"/>
          <w:b w:val="0"/>
          <w:i w:val="0"/>
          <w:sz w:val="22"/>
        </w:rPr>
        <w:t>, 70 (2025). https://doi.org/10.1038/s42003-025-07506-0</w:t>
      </w:r>
    </w:p>
    <w:p>
      <w:pPr>
        <w:spacing w:before="0" w:after="40"/>
      </w:pPr>
      <w:r>
        <w:rPr>
          <w:rFonts w:ascii="Times New Roman" w:hAnsi="Times New Roman"/>
          <w:b w:val="0"/>
          <w:i w:val="0"/>
          <w:sz w:val="22"/>
        </w:rPr>
        <w:t xml:space="preserve">8. Gan, J. H. et al. DrugRep: an automatic virtual screening server for drug repurposing. </w:t>
      </w:r>
      <w:r>
        <w:rPr>
          <w:rFonts w:ascii="Times New Roman" w:hAnsi="Times New Roman"/>
          <w:b w:val="0"/>
          <w:i/>
          <w:sz w:val="22"/>
        </w:rPr>
        <w:t>Acta Pharmacologica Sinica</w:t>
      </w:r>
      <w:r>
        <w:rPr>
          <w:rFonts w:ascii="Times New Roman" w:hAnsi="Times New Roman"/>
          <w:b w:val="0"/>
          <w:i w:val="0"/>
          <w:sz w:val="22"/>
        </w:rPr>
        <w:t xml:space="preserve"> </w:t>
      </w:r>
      <w:r>
        <w:rPr>
          <w:rFonts w:ascii="Times New Roman" w:hAnsi="Times New Roman"/>
          <w:b/>
          <w:i w:val="0"/>
          <w:sz w:val="22"/>
        </w:rPr>
        <w:t>44</w:t>
      </w:r>
      <w:r>
        <w:rPr>
          <w:rFonts w:ascii="Times New Roman" w:hAnsi="Times New Roman"/>
          <w:b w:val="0"/>
          <w:i w:val="0"/>
          <w:sz w:val="22"/>
        </w:rPr>
        <w:t>, 888–896 (2023). https://doi.org/10.1038/s41401-022-00996-2</w:t>
      </w:r>
    </w:p>
    <w:p>
      <w:pPr>
        <w:spacing w:before="0" w:after="40"/>
      </w:pPr>
      <w:r>
        <w:rPr>
          <w:rFonts w:ascii="Times New Roman" w:hAnsi="Times New Roman"/>
          <w:b w:val="0"/>
          <w:i w:val="0"/>
          <w:sz w:val="22"/>
        </w:rPr>
        <w:t xml:space="preserve">9. Pham, P. et al. DrugPipe: generative artificial intelligence-assisted virtual screening pipeline for generalizable and efficient drug repurposing. </w:t>
      </w:r>
      <w:r>
        <w:rPr>
          <w:rFonts w:ascii="Times New Roman" w:hAnsi="Times New Roman"/>
          <w:b w:val="0"/>
          <w:i/>
          <w:sz w:val="22"/>
        </w:rPr>
        <w:t>Biology Methods and Protocols</w:t>
      </w:r>
      <w:r>
        <w:rPr>
          <w:rFonts w:ascii="Times New Roman" w:hAnsi="Times New Roman"/>
          <w:b w:val="0"/>
          <w:i w:val="0"/>
          <w:sz w:val="22"/>
        </w:rPr>
        <w:t xml:space="preserve"> </w:t>
      </w:r>
      <w:r>
        <w:rPr>
          <w:rFonts w:ascii="Times New Roman" w:hAnsi="Times New Roman"/>
          <w:b/>
          <w:i w:val="0"/>
          <w:sz w:val="22"/>
        </w:rPr>
        <w:t>10</w:t>
      </w:r>
      <w:r>
        <w:rPr>
          <w:rFonts w:ascii="Times New Roman" w:hAnsi="Times New Roman"/>
          <w:b w:val="0"/>
          <w:i w:val="0"/>
          <w:sz w:val="22"/>
        </w:rPr>
        <w:t>, bpaf038 (2025). https://doi.org/10.1093/biomethods/bpaf038</w:t>
      </w:r>
    </w:p>
    <w:p>
      <w:pPr>
        <w:spacing w:before="0" w:after="40"/>
      </w:pPr>
      <w:r>
        <w:rPr>
          <w:rFonts w:ascii="Times New Roman" w:hAnsi="Times New Roman"/>
          <w:b w:val="0"/>
          <w:i w:val="0"/>
          <w:sz w:val="22"/>
        </w:rPr>
        <w:t xml:space="preserve">10. Ding, H. H. et al. TNF-α/STAT3 pathway epigenetically upregulates Nav1.6 expression in DRG and contributes to neuropathic pain induced by L5-VRT. </w:t>
      </w:r>
      <w:r>
        <w:rPr>
          <w:rFonts w:ascii="Times New Roman" w:hAnsi="Times New Roman"/>
          <w:b w:val="0"/>
          <w:i/>
          <w:sz w:val="22"/>
        </w:rPr>
        <w:t>Journal of Neuroinflammation</w:t>
      </w:r>
      <w:r>
        <w:rPr>
          <w:rFonts w:ascii="Times New Roman" w:hAnsi="Times New Roman"/>
          <w:b w:val="0"/>
          <w:i w:val="0"/>
          <w:sz w:val="22"/>
        </w:rPr>
        <w:t xml:space="preserve"> </w:t>
      </w:r>
      <w:r>
        <w:rPr>
          <w:rFonts w:ascii="Times New Roman" w:hAnsi="Times New Roman"/>
          <w:b/>
          <w:i w:val="0"/>
          <w:sz w:val="22"/>
        </w:rPr>
        <w:t>16</w:t>
      </w:r>
      <w:r>
        <w:rPr>
          <w:rFonts w:ascii="Times New Roman" w:hAnsi="Times New Roman"/>
          <w:b w:val="0"/>
          <w:i w:val="0"/>
          <w:sz w:val="22"/>
        </w:rPr>
        <w:t>, 29 (2019). https://doi.org/10.1186/s12974-019-1421-8</w:t>
      </w:r>
    </w:p>
    <w:p>
      <w:pPr>
        <w:spacing w:before="0" w:after="40"/>
      </w:pPr>
      <w:r>
        <w:rPr>
          <w:rFonts w:ascii="Times New Roman" w:hAnsi="Times New Roman"/>
          <w:b w:val="0"/>
          <w:i w:val="0"/>
          <w:sz w:val="22"/>
        </w:rPr>
        <w:t xml:space="preserve">11. Yin, R. et al. Voltage-gated sodium channel function and expression in injured and uninjured rat dorsal root ganglia neurons. </w:t>
      </w:r>
      <w:r>
        <w:rPr>
          <w:rFonts w:ascii="Times New Roman" w:hAnsi="Times New Roman"/>
          <w:b w:val="0"/>
          <w:i/>
          <w:sz w:val="22"/>
        </w:rPr>
        <w:t>International Journal of Neuroscience</w:t>
      </w:r>
      <w:r>
        <w:rPr>
          <w:rFonts w:ascii="Times New Roman" w:hAnsi="Times New Roman"/>
          <w:b w:val="0"/>
          <w:i w:val="0"/>
          <w:sz w:val="22"/>
        </w:rPr>
        <w:t xml:space="preserve"> </w:t>
      </w:r>
      <w:r>
        <w:rPr>
          <w:rFonts w:ascii="Times New Roman" w:hAnsi="Times New Roman"/>
          <w:b/>
          <w:i w:val="0"/>
          <w:sz w:val="22"/>
        </w:rPr>
        <w:t>126</w:t>
      </w:r>
      <w:r>
        <w:rPr>
          <w:rFonts w:ascii="Times New Roman" w:hAnsi="Times New Roman"/>
          <w:b w:val="0"/>
          <w:i w:val="0"/>
          <w:sz w:val="22"/>
        </w:rPr>
        <w:t>, 182–192 (2016). https://doi.org/10.3109/00207454.2015.1004172</w:t>
      </w:r>
    </w:p>
    <w:p>
      <w:pPr>
        <w:spacing w:before="0" w:after="40"/>
      </w:pPr>
      <w:r>
        <w:rPr>
          <w:rFonts w:ascii="Times New Roman" w:hAnsi="Times New Roman"/>
          <w:b w:val="0"/>
          <w:i w:val="0"/>
          <w:sz w:val="22"/>
        </w:rPr>
        <w:t xml:space="preserve">12. Cooper, A. H. et al. Peripheral nerve injury results in a biased loss of sensory neuron subpopulations. </w:t>
      </w:r>
      <w:r>
        <w:rPr>
          <w:rFonts w:ascii="Times New Roman" w:hAnsi="Times New Roman"/>
          <w:b w:val="0"/>
          <w:i/>
          <w:sz w:val="22"/>
        </w:rPr>
        <w:t>Pain</w:t>
      </w:r>
      <w:r>
        <w:rPr>
          <w:rFonts w:ascii="Times New Roman" w:hAnsi="Times New Roman"/>
          <w:b w:val="0"/>
          <w:i w:val="0"/>
          <w:sz w:val="22"/>
        </w:rPr>
        <w:t xml:space="preserve"> </w:t>
      </w:r>
      <w:r>
        <w:rPr>
          <w:rFonts w:ascii="Times New Roman" w:hAnsi="Times New Roman"/>
          <w:b/>
          <w:i w:val="0"/>
          <w:sz w:val="22"/>
        </w:rPr>
        <w:t>165</w:t>
      </w:r>
      <w:r>
        <w:rPr>
          <w:rFonts w:ascii="Times New Roman" w:hAnsi="Times New Roman"/>
          <w:b w:val="0"/>
          <w:i w:val="0"/>
          <w:sz w:val="22"/>
        </w:rPr>
        <w:t>, 2863–2876 (2024). https://doi.org/10.1097/j.pain.0000000000003321</w:t>
      </w:r>
    </w:p>
    <w:p>
      <w:pPr>
        <w:spacing w:before="0" w:after="40"/>
      </w:pPr>
      <w:r>
        <w:rPr>
          <w:rFonts w:ascii="Times New Roman" w:hAnsi="Times New Roman"/>
          <w:b w:val="0"/>
          <w:i w:val="0"/>
          <w:sz w:val="22"/>
        </w:rPr>
        <w:t xml:space="preserve">13. Yang, Y. et al. Mutations in SCN9A, encoding a sodium channel alpha subunit, cause primary erythermalgia. </w:t>
      </w:r>
      <w:r>
        <w:rPr>
          <w:rFonts w:ascii="Times New Roman" w:hAnsi="Times New Roman"/>
          <w:b w:val="0"/>
          <w:i/>
          <w:sz w:val="22"/>
        </w:rPr>
        <w:t>Journal of Medical Genetics</w:t>
      </w:r>
      <w:r>
        <w:rPr>
          <w:rFonts w:ascii="Times New Roman" w:hAnsi="Times New Roman"/>
          <w:b w:val="0"/>
          <w:i w:val="0"/>
          <w:sz w:val="22"/>
        </w:rPr>
        <w:t xml:space="preserve"> </w:t>
      </w:r>
      <w:r>
        <w:rPr>
          <w:rFonts w:ascii="Times New Roman" w:hAnsi="Times New Roman"/>
          <w:b/>
          <w:i w:val="0"/>
          <w:sz w:val="22"/>
        </w:rPr>
        <w:t>41</w:t>
      </w:r>
      <w:r>
        <w:rPr>
          <w:rFonts w:ascii="Times New Roman" w:hAnsi="Times New Roman"/>
          <w:b w:val="0"/>
          <w:i w:val="0"/>
          <w:sz w:val="22"/>
        </w:rPr>
        <w:t>, 171–174 (2004). https://doi.org/10.1136/jmg.2003.012153</w:t>
      </w:r>
    </w:p>
    <w:p>
      <w:pPr>
        <w:spacing w:before="0" w:after="40"/>
      </w:pPr>
      <w:r>
        <w:rPr>
          <w:rFonts w:ascii="Times New Roman" w:hAnsi="Times New Roman"/>
          <w:b w:val="0"/>
          <w:i w:val="0"/>
          <w:sz w:val="22"/>
        </w:rPr>
        <w:t xml:space="preserve">14. Cox, J. J. et al. An SCN9A channelopathy causes congenital inability to experience pain. </w:t>
      </w:r>
      <w:r>
        <w:rPr>
          <w:rFonts w:ascii="Times New Roman" w:hAnsi="Times New Roman"/>
          <w:b w:val="0"/>
          <w:i/>
          <w:sz w:val="22"/>
        </w:rPr>
        <w:t>Nature</w:t>
      </w:r>
      <w:r>
        <w:rPr>
          <w:rFonts w:ascii="Times New Roman" w:hAnsi="Times New Roman"/>
          <w:b w:val="0"/>
          <w:i w:val="0"/>
          <w:sz w:val="22"/>
        </w:rPr>
        <w:t xml:space="preserve"> </w:t>
      </w:r>
      <w:r>
        <w:rPr>
          <w:rFonts w:ascii="Times New Roman" w:hAnsi="Times New Roman"/>
          <w:b/>
          <w:i w:val="0"/>
          <w:sz w:val="22"/>
        </w:rPr>
        <w:t>444</w:t>
      </w:r>
      <w:r>
        <w:rPr>
          <w:rFonts w:ascii="Times New Roman" w:hAnsi="Times New Roman"/>
          <w:b w:val="0"/>
          <w:i w:val="0"/>
          <w:sz w:val="22"/>
        </w:rPr>
        <w:t>, 894–898 (2006). https://doi.org/10.1038/nature05413</w:t>
      </w:r>
    </w:p>
    <w:p>
      <w:pPr>
        <w:spacing w:before="0" w:after="40"/>
      </w:pPr>
      <w:r>
        <w:rPr>
          <w:rFonts w:ascii="Times New Roman" w:hAnsi="Times New Roman"/>
          <w:b w:val="0"/>
          <w:i w:val="0"/>
          <w:sz w:val="22"/>
        </w:rPr>
        <w:t xml:space="preserve">15. Fertleman, C. R. et al. SCN9A mutations in paroxysmal extreme pain disorder: a painful peripheral neuropathy. </w:t>
      </w:r>
      <w:r>
        <w:rPr>
          <w:rFonts w:ascii="Times New Roman" w:hAnsi="Times New Roman"/>
          <w:b w:val="0"/>
          <w:i/>
          <w:sz w:val="22"/>
        </w:rPr>
        <w:t>Neuron</w:t>
      </w:r>
      <w:r>
        <w:rPr>
          <w:rFonts w:ascii="Times New Roman" w:hAnsi="Times New Roman"/>
          <w:b w:val="0"/>
          <w:i w:val="0"/>
          <w:sz w:val="22"/>
        </w:rPr>
        <w:t xml:space="preserve"> </w:t>
      </w:r>
      <w:r>
        <w:rPr>
          <w:rFonts w:ascii="Times New Roman" w:hAnsi="Times New Roman"/>
          <w:b/>
          <w:i w:val="0"/>
          <w:sz w:val="22"/>
        </w:rPr>
        <w:t>52</w:t>
      </w:r>
      <w:r>
        <w:rPr>
          <w:rFonts w:ascii="Times New Roman" w:hAnsi="Times New Roman"/>
          <w:b w:val="0"/>
          <w:i w:val="0"/>
          <w:sz w:val="22"/>
        </w:rPr>
        <w:t>, 767–774 (2006). https://doi.org/10.1016/j.neuron.2006.10.006</w:t>
      </w:r>
    </w:p>
    <w:p>
      <w:pPr>
        <w:spacing w:before="0" w:after="40"/>
      </w:pPr>
      <w:r>
        <w:rPr>
          <w:rFonts w:ascii="Times New Roman" w:hAnsi="Times New Roman"/>
          <w:b w:val="0"/>
          <w:i w:val="0"/>
          <w:sz w:val="22"/>
        </w:rPr>
        <w:t xml:space="preserve">16. McDonnell, A. et al. A phase II randomized, double-blind, placebo-controlled, parallel-group, multicenter study of the Nav1.7 blocker PF-05089771 in subjects with painful diabetic peripheral neuropathy. </w:t>
      </w:r>
      <w:r>
        <w:rPr>
          <w:rFonts w:ascii="Times New Roman" w:hAnsi="Times New Roman"/>
          <w:b w:val="0"/>
          <w:i/>
          <w:sz w:val="22"/>
        </w:rPr>
        <w:t>Pain</w:t>
      </w:r>
      <w:r>
        <w:rPr>
          <w:rFonts w:ascii="Times New Roman" w:hAnsi="Times New Roman"/>
          <w:b w:val="0"/>
          <w:i w:val="0"/>
          <w:sz w:val="22"/>
        </w:rPr>
        <w:t xml:space="preserve"> </w:t>
      </w:r>
      <w:r>
        <w:rPr>
          <w:rFonts w:ascii="Times New Roman" w:hAnsi="Times New Roman"/>
          <w:b/>
          <w:i w:val="0"/>
          <w:sz w:val="22"/>
        </w:rPr>
        <w:t>159</w:t>
      </w:r>
      <w:r>
        <w:rPr>
          <w:rFonts w:ascii="Times New Roman" w:hAnsi="Times New Roman"/>
          <w:b w:val="0"/>
          <w:i w:val="0"/>
          <w:sz w:val="22"/>
        </w:rPr>
        <w:t>, 1465–1476 (2018). https://doi.org/10.1097/j.pain.0000000000001227</w:t>
      </w:r>
    </w:p>
    <w:p>
      <w:pPr>
        <w:spacing w:before="0" w:after="40"/>
      </w:pPr>
      <w:r>
        <w:rPr>
          <w:rFonts w:ascii="Times New Roman" w:hAnsi="Times New Roman"/>
          <w:b w:val="0"/>
          <w:i w:val="0"/>
          <w:sz w:val="22"/>
        </w:rPr>
        <w:t xml:space="preserve">17. Faber, C. G. et al. Efficacy and safety of vixotrigine in idiopathic or diabetes-associated painful small fibre neuropathy (CONVEY): a phase 2 placebo-controlled enriched-enrolment randomised withdrawal study. </w:t>
      </w:r>
      <w:r>
        <w:rPr>
          <w:rFonts w:ascii="Times New Roman" w:hAnsi="Times New Roman"/>
          <w:b w:val="0"/>
          <w:i/>
          <w:sz w:val="22"/>
        </w:rPr>
        <w:t>EClinicalMedicine</w:t>
      </w:r>
      <w:r>
        <w:rPr>
          <w:rFonts w:ascii="Times New Roman" w:hAnsi="Times New Roman"/>
          <w:b w:val="0"/>
          <w:i w:val="0"/>
          <w:sz w:val="22"/>
        </w:rPr>
        <w:t xml:space="preserve"> </w:t>
      </w:r>
      <w:r>
        <w:rPr>
          <w:rFonts w:ascii="Times New Roman" w:hAnsi="Times New Roman"/>
          <w:b/>
          <w:i w:val="0"/>
          <w:sz w:val="22"/>
        </w:rPr>
        <w:t>59</w:t>
      </w:r>
      <w:r>
        <w:rPr>
          <w:rFonts w:ascii="Times New Roman" w:hAnsi="Times New Roman"/>
          <w:b w:val="0"/>
          <w:i w:val="0"/>
          <w:sz w:val="22"/>
        </w:rPr>
        <w:t>, 101971 (2023). https://doi.org/10.1016/j.eclinm.2023.101971</w:t>
      </w:r>
    </w:p>
    <w:p>
      <w:pPr>
        <w:spacing w:before="0" w:after="40"/>
      </w:pPr>
      <w:r>
        <w:rPr>
          <w:rFonts w:ascii="Times New Roman" w:hAnsi="Times New Roman"/>
          <w:b w:val="0"/>
          <w:i w:val="0"/>
          <w:sz w:val="22"/>
        </w:rPr>
        <w:t xml:space="preserve">18. Eagles, D. A., Chow, C. Y. &amp; King, G. F. Fifteen years of NaV1.7 channels as an analgesic target: why has excellent in vitro pharmacology not translated into in vivo analgesic efficacy? </w:t>
      </w:r>
      <w:r>
        <w:rPr>
          <w:rFonts w:ascii="Times New Roman" w:hAnsi="Times New Roman"/>
          <w:b w:val="0"/>
          <w:i/>
          <w:sz w:val="22"/>
        </w:rPr>
        <w:t>British Journal of Pharmacology</w:t>
      </w:r>
      <w:r>
        <w:rPr>
          <w:rFonts w:ascii="Times New Roman" w:hAnsi="Times New Roman"/>
          <w:b w:val="0"/>
          <w:i w:val="0"/>
          <w:sz w:val="22"/>
        </w:rPr>
        <w:t xml:space="preserve"> </w:t>
      </w:r>
      <w:r>
        <w:rPr>
          <w:rFonts w:ascii="Times New Roman" w:hAnsi="Times New Roman"/>
          <w:b/>
          <w:i w:val="0"/>
          <w:sz w:val="22"/>
        </w:rPr>
        <w:t>179</w:t>
      </w:r>
      <w:r>
        <w:rPr>
          <w:rFonts w:ascii="Times New Roman" w:hAnsi="Times New Roman"/>
          <w:b w:val="0"/>
          <w:i w:val="0"/>
          <w:sz w:val="22"/>
        </w:rPr>
        <w:t>, 3592–3611 (2022). https://doi.org/10.1111/bph.15327</w:t>
      </w:r>
    </w:p>
    <w:p>
      <w:pPr>
        <w:spacing w:before="0" w:after="40"/>
      </w:pPr>
      <w:r>
        <w:rPr>
          <w:rFonts w:ascii="Times New Roman" w:hAnsi="Times New Roman"/>
          <w:b w:val="0"/>
          <w:i w:val="0"/>
          <w:sz w:val="22"/>
        </w:rPr>
        <w:t xml:space="preserve">19. Nie, H. et al. Neuronal Reg3β/macrophage TNF-α–mediated positive feedback signaling contributes to pain chronicity in a rat model of CRPS-I. </w:t>
      </w:r>
      <w:r>
        <w:rPr>
          <w:rFonts w:ascii="Times New Roman" w:hAnsi="Times New Roman"/>
          <w:b w:val="0"/>
          <w:i/>
          <w:sz w:val="22"/>
        </w:rPr>
        <w:t>Science Advances</w:t>
      </w:r>
      <w:r>
        <w:rPr>
          <w:rFonts w:ascii="Times New Roman" w:hAnsi="Times New Roman"/>
          <w:b w:val="0"/>
          <w:i w:val="0"/>
          <w:sz w:val="22"/>
        </w:rPr>
        <w:t xml:space="preserve"> </w:t>
      </w:r>
      <w:r>
        <w:rPr>
          <w:rFonts w:ascii="Times New Roman" w:hAnsi="Times New Roman"/>
          <w:b/>
          <w:i w:val="0"/>
          <w:sz w:val="22"/>
        </w:rPr>
        <w:t>11</w:t>
      </w:r>
      <w:r>
        <w:rPr>
          <w:rFonts w:ascii="Times New Roman" w:hAnsi="Times New Roman"/>
          <w:b w:val="0"/>
          <w:i w:val="0"/>
          <w:sz w:val="22"/>
        </w:rPr>
        <w:t>, eadu4270 (2025). https://doi.org/10.1126/sciadv.adu4270</w:t>
      </w:r>
    </w:p>
    <w:p>
      <w:pPr>
        <w:spacing w:before="0" w:after="40"/>
      </w:pPr>
      <w:r>
        <w:rPr>
          <w:rFonts w:ascii="Times New Roman" w:hAnsi="Times New Roman"/>
          <w:b w:val="0"/>
          <w:i w:val="0"/>
          <w:sz w:val="22"/>
        </w:rPr>
        <w:t xml:space="preserve">20. Tsuda, M. et al. P2X4 receptors induced in spinal microglia gate tactile allodynia after nerve injury. </w:t>
      </w:r>
      <w:r>
        <w:rPr>
          <w:rFonts w:ascii="Times New Roman" w:hAnsi="Times New Roman"/>
          <w:b w:val="0"/>
          <w:i/>
          <w:sz w:val="22"/>
        </w:rPr>
        <w:t>Nature</w:t>
      </w:r>
      <w:r>
        <w:rPr>
          <w:rFonts w:ascii="Times New Roman" w:hAnsi="Times New Roman"/>
          <w:b w:val="0"/>
          <w:i w:val="0"/>
          <w:sz w:val="22"/>
        </w:rPr>
        <w:t xml:space="preserve"> </w:t>
      </w:r>
      <w:r>
        <w:rPr>
          <w:rFonts w:ascii="Times New Roman" w:hAnsi="Times New Roman"/>
          <w:b/>
          <w:i w:val="0"/>
          <w:sz w:val="22"/>
        </w:rPr>
        <w:t>424</w:t>
      </w:r>
      <w:r>
        <w:rPr>
          <w:rFonts w:ascii="Times New Roman" w:hAnsi="Times New Roman"/>
          <w:b w:val="0"/>
          <w:i w:val="0"/>
          <w:sz w:val="22"/>
        </w:rPr>
        <w:t>, 778–783 (2003). https://doi.org/10.1038/nature01786</w:t>
      </w:r>
    </w:p>
    <w:p>
      <w:pPr>
        <w:spacing w:before="0" w:after="40"/>
      </w:pPr>
      <w:r>
        <w:rPr>
          <w:rFonts w:ascii="Times New Roman" w:hAnsi="Times New Roman"/>
          <w:b w:val="0"/>
          <w:i w:val="0"/>
          <w:sz w:val="22"/>
        </w:rPr>
        <w:t xml:space="preserve">21. Tansley, S. et al. Single-cell RNA sequencing reveals time- and sex-specific responses of mouse spinal cord microglia to peripheral nerve injury and links ApoE to chronic pain. </w:t>
      </w:r>
      <w:r>
        <w:rPr>
          <w:rFonts w:ascii="Times New Roman" w:hAnsi="Times New Roman"/>
          <w:b w:val="0"/>
          <w:i/>
          <w:sz w:val="22"/>
        </w:rPr>
        <w:t>Nature Communications</w:t>
      </w:r>
      <w:r>
        <w:rPr>
          <w:rFonts w:ascii="Times New Roman" w:hAnsi="Times New Roman"/>
          <w:b w:val="0"/>
          <w:i w:val="0"/>
          <w:sz w:val="22"/>
        </w:rPr>
        <w:t xml:space="preserve"> </w:t>
      </w:r>
      <w:r>
        <w:rPr>
          <w:rFonts w:ascii="Times New Roman" w:hAnsi="Times New Roman"/>
          <w:b/>
          <w:i w:val="0"/>
          <w:sz w:val="22"/>
        </w:rPr>
        <w:t>13</w:t>
      </w:r>
      <w:r>
        <w:rPr>
          <w:rFonts w:ascii="Times New Roman" w:hAnsi="Times New Roman"/>
          <w:b w:val="0"/>
          <w:i w:val="0"/>
          <w:sz w:val="22"/>
        </w:rPr>
        <w:t>, 843 (2022). https://doi.org/10.1038/s41467-022-28473-8</w:t>
      </w:r>
    </w:p>
    <w:p>
      <w:pPr>
        <w:spacing w:before="0" w:after="40"/>
      </w:pPr>
      <w:r>
        <w:rPr>
          <w:rFonts w:ascii="Times New Roman" w:hAnsi="Times New Roman"/>
          <w:b w:val="0"/>
          <w:i w:val="0"/>
          <w:sz w:val="22"/>
        </w:rPr>
        <w:t xml:space="preserve">22. Divito, A. E. et al. Suzetrigine: a novel nonopioid systemic analgesic. </w:t>
      </w:r>
      <w:r>
        <w:rPr>
          <w:rFonts w:ascii="Times New Roman" w:hAnsi="Times New Roman"/>
          <w:b w:val="0"/>
          <w:i/>
          <w:sz w:val="22"/>
        </w:rPr>
        <w:t>Cleveland Clinic Journal of Medicine</w:t>
      </w:r>
      <w:r>
        <w:rPr>
          <w:rFonts w:ascii="Times New Roman" w:hAnsi="Times New Roman"/>
          <w:b w:val="0"/>
          <w:i w:val="0"/>
          <w:sz w:val="22"/>
        </w:rPr>
        <w:t xml:space="preserve"> </w:t>
      </w:r>
      <w:r>
        <w:rPr>
          <w:rFonts w:ascii="Times New Roman" w:hAnsi="Times New Roman"/>
          <w:b/>
          <w:i w:val="0"/>
          <w:sz w:val="22"/>
        </w:rPr>
        <w:t>93</w:t>
      </w:r>
      <w:r>
        <w:rPr>
          <w:rFonts w:ascii="Times New Roman" w:hAnsi="Times New Roman"/>
          <w:b w:val="0"/>
          <w:i w:val="0"/>
          <w:sz w:val="22"/>
        </w:rPr>
        <w:t>, 94–98 (2026). https://doi.org/10.3949/ccjm.93a.25087</w:t>
      </w:r>
    </w:p>
    <w:p>
      <w:pPr>
        <w:spacing w:before="0" w:after="40"/>
      </w:pPr>
      <w:r>
        <w:rPr>
          <w:rFonts w:ascii="Times New Roman" w:hAnsi="Times New Roman"/>
          <w:b w:val="0"/>
          <w:i w:val="0"/>
          <w:sz w:val="22"/>
        </w:rPr>
        <w:t xml:space="preserve">23. Bertoch, T. et al. Suzetrigine, a nonopioid NaV1.8 inhibitor for treatment of moderate-to-severe acute pain: two phase 3 randomized clinical trials. </w:t>
      </w:r>
      <w:r>
        <w:rPr>
          <w:rFonts w:ascii="Times New Roman" w:hAnsi="Times New Roman"/>
          <w:b w:val="0"/>
          <w:i/>
          <w:sz w:val="22"/>
        </w:rPr>
        <w:t>Anesthesiology</w:t>
      </w:r>
      <w:r>
        <w:rPr>
          <w:rFonts w:ascii="Times New Roman" w:hAnsi="Times New Roman"/>
          <w:b w:val="0"/>
          <w:i w:val="0"/>
          <w:sz w:val="22"/>
        </w:rPr>
        <w:t xml:space="preserve"> </w:t>
      </w:r>
      <w:r>
        <w:rPr>
          <w:rFonts w:ascii="Times New Roman" w:hAnsi="Times New Roman"/>
          <w:b/>
          <w:i w:val="0"/>
          <w:sz w:val="22"/>
        </w:rPr>
        <w:t>142</w:t>
      </w:r>
      <w:r>
        <w:rPr>
          <w:rFonts w:ascii="Times New Roman" w:hAnsi="Times New Roman"/>
          <w:b w:val="0"/>
          <w:i w:val="0"/>
          <w:sz w:val="22"/>
        </w:rPr>
        <w:t>, 1085–1099 (2025). https://doi.org/10.1097/ALN.0000000000005460</w:t>
      </w:r>
    </w:p>
    <w:p>
      <w:pPr>
        <w:spacing w:before="0" w:after="40"/>
      </w:pPr>
      <w:r>
        <w:rPr>
          <w:rFonts w:ascii="Times New Roman" w:hAnsi="Times New Roman"/>
          <w:b w:val="0"/>
          <w:i w:val="0"/>
          <w:sz w:val="22"/>
        </w:rPr>
        <w:t xml:space="preserve">24. Inoue, K. &amp; Tsuda, M. Microglia in neuropathic pain: cellular and molecular mechanisms and therapeutic potential. </w:t>
      </w:r>
      <w:r>
        <w:rPr>
          <w:rFonts w:ascii="Times New Roman" w:hAnsi="Times New Roman"/>
          <w:b w:val="0"/>
          <w:i/>
          <w:sz w:val="22"/>
        </w:rPr>
        <w:t>Nature Reviews Neuroscience</w:t>
      </w:r>
      <w:r>
        <w:rPr>
          <w:rFonts w:ascii="Times New Roman" w:hAnsi="Times New Roman"/>
          <w:b w:val="0"/>
          <w:i w:val="0"/>
          <w:sz w:val="22"/>
        </w:rPr>
        <w:t xml:space="preserve"> </w:t>
      </w:r>
      <w:r>
        <w:rPr>
          <w:rFonts w:ascii="Times New Roman" w:hAnsi="Times New Roman"/>
          <w:b/>
          <w:i w:val="0"/>
          <w:sz w:val="22"/>
        </w:rPr>
        <w:t>19</w:t>
      </w:r>
      <w:r>
        <w:rPr>
          <w:rFonts w:ascii="Times New Roman" w:hAnsi="Times New Roman"/>
          <w:b w:val="0"/>
          <w:i w:val="0"/>
          <w:sz w:val="22"/>
        </w:rPr>
        <w:t>, 138–152 (2018). https://doi.org/10.1038/nrn.2018.2</w:t>
      </w:r>
    </w:p>
    <w:p>
      <w:pPr>
        <w:spacing w:before="0" w:after="40"/>
      </w:pPr>
      <w:r>
        <w:rPr>
          <w:rFonts w:ascii="Times New Roman" w:hAnsi="Times New Roman"/>
          <w:b w:val="0"/>
          <w:i w:val="0"/>
          <w:sz w:val="22"/>
        </w:rPr>
        <w:t xml:space="preserve">25. Coull, J. A. M. et al. BDNF from microglia causes the shift in neuronal anion gradient underlying neuropathic pain. </w:t>
      </w:r>
      <w:r>
        <w:rPr>
          <w:rFonts w:ascii="Times New Roman" w:hAnsi="Times New Roman"/>
          <w:b w:val="0"/>
          <w:i/>
          <w:sz w:val="22"/>
        </w:rPr>
        <w:t>Nature</w:t>
      </w:r>
      <w:r>
        <w:rPr>
          <w:rFonts w:ascii="Times New Roman" w:hAnsi="Times New Roman"/>
          <w:b w:val="0"/>
          <w:i w:val="0"/>
          <w:sz w:val="22"/>
        </w:rPr>
        <w:t xml:space="preserve"> </w:t>
      </w:r>
      <w:r>
        <w:rPr>
          <w:rFonts w:ascii="Times New Roman" w:hAnsi="Times New Roman"/>
          <w:b/>
          <w:i w:val="0"/>
          <w:sz w:val="22"/>
        </w:rPr>
        <w:t>438</w:t>
      </w:r>
      <w:r>
        <w:rPr>
          <w:rFonts w:ascii="Times New Roman" w:hAnsi="Times New Roman"/>
          <w:b w:val="0"/>
          <w:i w:val="0"/>
          <w:sz w:val="22"/>
        </w:rPr>
        <w:t>, 1017–1021 (2005). https://doi.org/10.1038/nature04223</w:t>
      </w:r>
    </w:p>
    <w:p>
      <w:pPr>
        <w:spacing w:before="0" w:after="40"/>
      </w:pPr>
      <w:r>
        <w:rPr>
          <w:rFonts w:ascii="Times New Roman" w:hAnsi="Times New Roman"/>
          <w:b w:val="0"/>
          <w:i w:val="0"/>
          <w:sz w:val="22"/>
        </w:rPr>
        <w:t xml:space="preserve">26. Yu, X. et al. Dorsal root ganglion macrophages contribute to both the initiation and persistence of neuropathic pain. </w:t>
      </w:r>
      <w:r>
        <w:rPr>
          <w:rFonts w:ascii="Times New Roman" w:hAnsi="Times New Roman"/>
          <w:b w:val="0"/>
          <w:i/>
          <w:sz w:val="22"/>
        </w:rPr>
        <w:t>Nature Communications</w:t>
      </w:r>
      <w:r>
        <w:rPr>
          <w:rFonts w:ascii="Times New Roman" w:hAnsi="Times New Roman"/>
          <w:b w:val="0"/>
          <w:i w:val="0"/>
          <w:sz w:val="22"/>
        </w:rPr>
        <w:t xml:space="preserve"> </w:t>
      </w:r>
      <w:r>
        <w:rPr>
          <w:rFonts w:ascii="Times New Roman" w:hAnsi="Times New Roman"/>
          <w:b/>
          <w:i w:val="0"/>
          <w:sz w:val="22"/>
        </w:rPr>
        <w:t>11</w:t>
      </w:r>
      <w:r>
        <w:rPr>
          <w:rFonts w:ascii="Times New Roman" w:hAnsi="Times New Roman"/>
          <w:b w:val="0"/>
          <w:i w:val="0"/>
          <w:sz w:val="22"/>
        </w:rPr>
        <w:t>, 264 (2020). https://doi.org/10.1038/s41467-019-13839-2</w:t>
      </w:r>
    </w:p>
    <w:p>
      <w:pPr>
        <w:spacing w:before="0" w:after="40"/>
      </w:pPr>
      <w:r>
        <w:rPr>
          <w:rFonts w:ascii="Times New Roman" w:hAnsi="Times New Roman"/>
          <w:b w:val="0"/>
          <w:i w:val="0"/>
          <w:sz w:val="22"/>
        </w:rPr>
        <w:t xml:space="preserve">27. Keren-Shaul, H. et al. A Unique Microglia Type Associated with Restricting Development of Alzheimer's Disease. </w:t>
      </w:r>
      <w:r>
        <w:rPr>
          <w:rFonts w:ascii="Times New Roman" w:hAnsi="Times New Roman"/>
          <w:b w:val="0"/>
          <w:i/>
          <w:sz w:val="22"/>
        </w:rPr>
        <w:t>Cell</w:t>
      </w:r>
      <w:r>
        <w:rPr>
          <w:rFonts w:ascii="Times New Roman" w:hAnsi="Times New Roman"/>
          <w:b w:val="0"/>
          <w:i w:val="0"/>
          <w:sz w:val="22"/>
        </w:rPr>
        <w:t xml:space="preserve"> </w:t>
      </w:r>
      <w:r>
        <w:rPr>
          <w:rFonts w:ascii="Times New Roman" w:hAnsi="Times New Roman"/>
          <w:b/>
          <w:i w:val="0"/>
          <w:sz w:val="22"/>
        </w:rPr>
        <w:t>169</w:t>
      </w:r>
      <w:r>
        <w:rPr>
          <w:rFonts w:ascii="Times New Roman" w:hAnsi="Times New Roman"/>
          <w:b w:val="0"/>
          <w:i w:val="0"/>
          <w:sz w:val="22"/>
        </w:rPr>
        <w:t>, 1276–1290.e17 (2017). https://doi.org/10.1016/j.cell.2017.05.018</w:t>
      </w:r>
    </w:p>
    <w:p>
      <w:pPr>
        <w:spacing w:before="0" w:after="40"/>
      </w:pPr>
      <w:r>
        <w:rPr>
          <w:rFonts w:ascii="Times New Roman" w:hAnsi="Times New Roman"/>
          <w:b w:val="0"/>
          <w:i w:val="0"/>
          <w:sz w:val="22"/>
        </w:rPr>
        <w:t xml:space="preserve">28. Schafer, D. P. et al. Microglia sculpt postnatal neural circuits in an activity and complement-dependent manner. </w:t>
      </w:r>
      <w:r>
        <w:rPr>
          <w:rFonts w:ascii="Times New Roman" w:hAnsi="Times New Roman"/>
          <w:b w:val="0"/>
          <w:i/>
          <w:sz w:val="22"/>
        </w:rPr>
        <w:t>Neuron</w:t>
      </w:r>
      <w:r>
        <w:rPr>
          <w:rFonts w:ascii="Times New Roman" w:hAnsi="Times New Roman"/>
          <w:b w:val="0"/>
          <w:i w:val="0"/>
          <w:sz w:val="22"/>
        </w:rPr>
        <w:t xml:space="preserve"> </w:t>
      </w:r>
      <w:r>
        <w:rPr>
          <w:rFonts w:ascii="Times New Roman" w:hAnsi="Times New Roman"/>
          <w:b/>
          <w:i w:val="0"/>
          <w:sz w:val="22"/>
        </w:rPr>
        <w:t>74</w:t>
      </w:r>
      <w:r>
        <w:rPr>
          <w:rFonts w:ascii="Times New Roman" w:hAnsi="Times New Roman"/>
          <w:b w:val="0"/>
          <w:i w:val="0"/>
          <w:sz w:val="22"/>
        </w:rPr>
        <w:t>, 691–705 (2012). https://doi.org/10.1016/j.neuron.2012.03.026</w:t>
      </w:r>
    </w:p>
    <w:p>
      <w:pPr>
        <w:spacing w:before="0" w:after="40"/>
      </w:pPr>
      <w:r>
        <w:rPr>
          <w:rFonts w:ascii="Times New Roman" w:hAnsi="Times New Roman"/>
          <w:b w:val="0"/>
          <w:i w:val="0"/>
          <w:sz w:val="22"/>
        </w:rPr>
        <w:t xml:space="preserve">29. Haque, M. M., Kuppusamy, P. &amp; Melemedjian, O. K. Disruption of mitochondrial pyruvate oxidation in dorsal root ganglia drives persistent nociceptive sensitization and causes pervasive transcriptomic alterations. </w:t>
      </w:r>
      <w:r>
        <w:rPr>
          <w:rFonts w:ascii="Times New Roman" w:hAnsi="Times New Roman"/>
          <w:b w:val="0"/>
          <w:i/>
          <w:sz w:val="22"/>
        </w:rPr>
        <w:t>Pain</w:t>
      </w:r>
      <w:r>
        <w:rPr>
          <w:rFonts w:ascii="Times New Roman" w:hAnsi="Times New Roman"/>
          <w:b w:val="0"/>
          <w:i w:val="0"/>
          <w:sz w:val="22"/>
        </w:rPr>
        <w:t xml:space="preserve"> </w:t>
      </w:r>
      <w:r>
        <w:rPr>
          <w:rFonts w:ascii="Times New Roman" w:hAnsi="Times New Roman"/>
          <w:b/>
          <w:i w:val="0"/>
          <w:sz w:val="22"/>
        </w:rPr>
        <w:t>165</w:t>
      </w:r>
      <w:r>
        <w:rPr>
          <w:rFonts w:ascii="Times New Roman" w:hAnsi="Times New Roman"/>
          <w:b w:val="0"/>
          <w:i w:val="0"/>
          <w:sz w:val="22"/>
        </w:rPr>
        <w:t>, 1531–1549 (2024). https://doi.org/10.1097/j.pain.0000000000003158</w:t>
      </w:r>
    </w:p>
    <w:p>
      <w:pPr>
        <w:spacing w:before="0" w:after="40"/>
      </w:pPr>
      <w:r>
        <w:rPr>
          <w:rFonts w:ascii="Times New Roman" w:hAnsi="Times New Roman"/>
          <w:b w:val="0"/>
          <w:i w:val="0"/>
          <w:sz w:val="22"/>
        </w:rPr>
        <w:t xml:space="preserve">30. Yousefpour, N. et al. Targeting C1q prevents microglia-mediated synaptic removal in neuropathic pain. </w:t>
      </w:r>
      <w:r>
        <w:rPr>
          <w:rFonts w:ascii="Times New Roman" w:hAnsi="Times New Roman"/>
          <w:b w:val="0"/>
          <w:i/>
          <w:sz w:val="22"/>
        </w:rPr>
        <w:t>Nature Communications</w:t>
      </w:r>
      <w:r>
        <w:rPr>
          <w:rFonts w:ascii="Times New Roman" w:hAnsi="Times New Roman"/>
          <w:b w:val="0"/>
          <w:i w:val="0"/>
          <w:sz w:val="22"/>
        </w:rPr>
        <w:t xml:space="preserve"> </w:t>
      </w:r>
      <w:r>
        <w:rPr>
          <w:rFonts w:ascii="Times New Roman" w:hAnsi="Times New Roman"/>
          <w:b/>
          <w:i w:val="0"/>
          <w:sz w:val="22"/>
        </w:rPr>
        <w:t>16</w:t>
      </w:r>
      <w:r>
        <w:rPr>
          <w:rFonts w:ascii="Times New Roman" w:hAnsi="Times New Roman"/>
          <w:b w:val="0"/>
          <w:i w:val="0"/>
          <w:sz w:val="22"/>
        </w:rPr>
        <w:t>, 4590 (2025). https://doi.org/10.1038/s41467-025-59849-1</w:t>
      </w:r>
    </w:p>
    <w:p>
      <w:pPr>
        <w:spacing w:before="0" w:after="40"/>
      </w:pPr>
      <w:r>
        <w:rPr>
          <w:rFonts w:ascii="Times New Roman" w:hAnsi="Times New Roman"/>
          <w:b w:val="0"/>
          <w:i w:val="0"/>
          <w:sz w:val="22"/>
        </w:rPr>
        <w:t xml:space="preserve">31. Kong, E. et al. Lyn-mediated glycolysis enhancement of microglia contributes to neuropathic pain through facilitating IRF5 nuclear translocation in spinal dorsal horn. </w:t>
      </w:r>
      <w:r>
        <w:rPr>
          <w:rFonts w:ascii="Times New Roman" w:hAnsi="Times New Roman"/>
          <w:b w:val="0"/>
          <w:i/>
          <w:sz w:val="22"/>
        </w:rPr>
        <w:t>Journal of Cellular and Molecular Medicine</w:t>
      </w:r>
      <w:r>
        <w:rPr>
          <w:rFonts w:ascii="Times New Roman" w:hAnsi="Times New Roman"/>
          <w:b w:val="0"/>
          <w:i w:val="0"/>
          <w:sz w:val="22"/>
        </w:rPr>
        <w:t xml:space="preserve"> </w:t>
      </w:r>
      <w:r>
        <w:rPr>
          <w:rFonts w:ascii="Times New Roman" w:hAnsi="Times New Roman"/>
          <w:b/>
          <w:i w:val="0"/>
          <w:sz w:val="22"/>
        </w:rPr>
        <w:t>27</w:t>
      </w:r>
      <w:r>
        <w:rPr>
          <w:rFonts w:ascii="Times New Roman" w:hAnsi="Times New Roman"/>
          <w:b w:val="0"/>
          <w:i w:val="0"/>
          <w:sz w:val="22"/>
        </w:rPr>
        <w:t>, 1664–1681 (2023). https://doi.org/10.1111/jcmm.17759</w:t>
      </w:r>
    </w:p>
    <w:p>
      <w:pPr>
        <w:spacing w:before="0" w:after="40"/>
      </w:pPr>
      <w:r>
        <w:rPr>
          <w:rFonts w:ascii="Times New Roman" w:hAnsi="Times New Roman"/>
          <w:b w:val="0"/>
          <w:i w:val="0"/>
          <w:sz w:val="22"/>
        </w:rPr>
        <w:t xml:space="preserve">32. Scholz, J. &amp; Woolf, C. J. The neuropathic pain triad: neurons, immune cells and glia. </w:t>
      </w:r>
      <w:r>
        <w:rPr>
          <w:rFonts w:ascii="Times New Roman" w:hAnsi="Times New Roman"/>
          <w:b w:val="0"/>
          <w:i/>
          <w:sz w:val="22"/>
        </w:rPr>
        <w:t>Nature Neuroscience</w:t>
      </w:r>
      <w:r>
        <w:rPr>
          <w:rFonts w:ascii="Times New Roman" w:hAnsi="Times New Roman"/>
          <w:b w:val="0"/>
          <w:i w:val="0"/>
          <w:sz w:val="22"/>
        </w:rPr>
        <w:t xml:space="preserve"> </w:t>
      </w:r>
      <w:r>
        <w:rPr>
          <w:rFonts w:ascii="Times New Roman" w:hAnsi="Times New Roman"/>
          <w:b/>
          <w:i w:val="0"/>
          <w:sz w:val="22"/>
        </w:rPr>
        <w:t>10</w:t>
      </w:r>
      <w:r>
        <w:rPr>
          <w:rFonts w:ascii="Times New Roman" w:hAnsi="Times New Roman"/>
          <w:b w:val="0"/>
          <w:i w:val="0"/>
          <w:sz w:val="22"/>
        </w:rPr>
        <w:t>, 1361–1368 (2007). https://doi.org/10.1038/nn1992</w:t>
      </w:r>
    </w:p>
    <w:p>
      <w:pPr>
        <w:spacing w:before="0" w:after="40"/>
      </w:pPr>
      <w:r>
        <w:rPr>
          <w:rFonts w:ascii="Times New Roman" w:hAnsi="Times New Roman"/>
          <w:b w:val="0"/>
          <w:i w:val="0"/>
          <w:sz w:val="22"/>
        </w:rPr>
        <w:t xml:space="preserve">33. Zhang, Y. et al. CXCL12/CXCR4 signaling-mediated ERK1/2 activation in spinal cord contributes to the pathogenesis of postsurgical pain in rats. </w:t>
      </w:r>
      <w:r>
        <w:rPr>
          <w:rFonts w:ascii="Times New Roman" w:hAnsi="Times New Roman"/>
          <w:b w:val="0"/>
          <w:i/>
          <w:sz w:val="22"/>
        </w:rPr>
        <w:t>Molecular Pain</w:t>
      </w:r>
      <w:r>
        <w:rPr>
          <w:rFonts w:ascii="Times New Roman" w:hAnsi="Times New Roman"/>
          <w:b w:val="0"/>
          <w:i w:val="0"/>
          <w:sz w:val="22"/>
        </w:rPr>
        <w:t xml:space="preserve"> </w:t>
      </w:r>
      <w:r>
        <w:rPr>
          <w:rFonts w:ascii="Times New Roman" w:hAnsi="Times New Roman"/>
          <w:b/>
          <w:i w:val="0"/>
          <w:sz w:val="22"/>
        </w:rPr>
        <w:t>13</w:t>
      </w:r>
      <w:r>
        <w:rPr>
          <w:rFonts w:ascii="Times New Roman" w:hAnsi="Times New Roman"/>
          <w:b w:val="0"/>
          <w:i w:val="0"/>
          <w:sz w:val="22"/>
        </w:rPr>
        <w:t>, 1744806917718753 (2017). https://doi.org/10.1177/1744806917718753</w:t>
      </w:r>
    </w:p>
    <w:p>
      <w:pPr>
        <w:spacing w:before="0" w:after="40"/>
      </w:pPr>
      <w:r>
        <w:rPr>
          <w:rFonts w:ascii="Times New Roman" w:hAnsi="Times New Roman"/>
          <w:b w:val="0"/>
          <w:i w:val="0"/>
          <w:sz w:val="22"/>
        </w:rPr>
        <w:t xml:space="preserve">34. Luo, X. et al. Crosstalk between astrocytic CXCL12 and microglial CXCR4 contributes to the development of neuropathic pain. </w:t>
      </w:r>
      <w:r>
        <w:rPr>
          <w:rFonts w:ascii="Times New Roman" w:hAnsi="Times New Roman"/>
          <w:b w:val="0"/>
          <w:i/>
          <w:sz w:val="22"/>
        </w:rPr>
        <w:t>Molecular Pain</w:t>
      </w:r>
      <w:r>
        <w:rPr>
          <w:rFonts w:ascii="Times New Roman" w:hAnsi="Times New Roman"/>
          <w:b w:val="0"/>
          <w:i w:val="0"/>
          <w:sz w:val="22"/>
        </w:rPr>
        <w:t xml:space="preserve"> </w:t>
      </w:r>
      <w:r>
        <w:rPr>
          <w:rFonts w:ascii="Times New Roman" w:hAnsi="Times New Roman"/>
          <w:b/>
          <w:i w:val="0"/>
          <w:sz w:val="22"/>
        </w:rPr>
        <w:t>12</w:t>
      </w:r>
      <w:r>
        <w:rPr>
          <w:rFonts w:ascii="Times New Roman" w:hAnsi="Times New Roman"/>
          <w:b w:val="0"/>
          <w:i w:val="0"/>
          <w:sz w:val="22"/>
        </w:rPr>
        <w:t>, 1744806916636385 (2016). https://doi.org/10.1177/1744806916636385</w:t>
      </w:r>
    </w:p>
    <w:p>
      <w:pPr>
        <w:spacing w:before="0" w:after="40"/>
      </w:pPr>
      <w:r>
        <w:rPr>
          <w:rFonts w:ascii="Times New Roman" w:hAnsi="Times New Roman"/>
          <w:b w:val="0"/>
          <w:i w:val="0"/>
          <w:sz w:val="22"/>
        </w:rPr>
        <w:t xml:space="preserve">35. Xiao, H. S. et al. Identification of gene expression profile of dorsal root ganglion in the rat peripheral axotomy model of neuropathic pain. </w:t>
      </w:r>
      <w:r>
        <w:rPr>
          <w:rFonts w:ascii="Times New Roman" w:hAnsi="Times New Roman"/>
          <w:b w:val="0"/>
          <w:i/>
          <w:sz w:val="22"/>
        </w:rPr>
        <w:t>Proceedings of the National Academy of Sciences of the United States of America</w:t>
      </w:r>
      <w:r>
        <w:rPr>
          <w:rFonts w:ascii="Times New Roman" w:hAnsi="Times New Roman"/>
          <w:b w:val="0"/>
          <w:i w:val="0"/>
          <w:sz w:val="22"/>
        </w:rPr>
        <w:t xml:space="preserve"> </w:t>
      </w:r>
      <w:r>
        <w:rPr>
          <w:rFonts w:ascii="Times New Roman" w:hAnsi="Times New Roman"/>
          <w:b/>
          <w:i w:val="0"/>
          <w:sz w:val="22"/>
        </w:rPr>
        <w:t>99</w:t>
      </w:r>
      <w:r>
        <w:rPr>
          <w:rFonts w:ascii="Times New Roman" w:hAnsi="Times New Roman"/>
          <w:b w:val="0"/>
          <w:i w:val="0"/>
          <w:sz w:val="22"/>
        </w:rPr>
        <w:t>, 8360–8365 (2002). https://doi.org/10.1073/pnas.122231899</w:t>
      </w:r>
    </w:p>
    <w:p>
      <w:pPr>
        <w:spacing w:before="0" w:after="40"/>
      </w:pPr>
      <w:r>
        <w:rPr>
          <w:rFonts w:ascii="Times New Roman" w:hAnsi="Times New Roman"/>
          <w:b w:val="0"/>
          <w:i w:val="0"/>
          <w:sz w:val="22"/>
        </w:rPr>
        <w:t xml:space="preserve">36. Pushpakom, S. et al. Drug repurposing: progress, challenges and recommendations. </w:t>
      </w:r>
      <w:r>
        <w:rPr>
          <w:rFonts w:ascii="Times New Roman" w:hAnsi="Times New Roman"/>
          <w:b w:val="0"/>
          <w:i/>
          <w:sz w:val="22"/>
        </w:rPr>
        <w:t>Nature Reviews Drug Discovery</w:t>
      </w:r>
      <w:r>
        <w:rPr>
          <w:rFonts w:ascii="Times New Roman" w:hAnsi="Times New Roman"/>
          <w:b w:val="0"/>
          <w:i w:val="0"/>
          <w:sz w:val="22"/>
        </w:rPr>
        <w:t xml:space="preserve"> </w:t>
      </w:r>
      <w:r>
        <w:rPr>
          <w:rFonts w:ascii="Times New Roman" w:hAnsi="Times New Roman"/>
          <w:b/>
          <w:i w:val="0"/>
          <w:sz w:val="22"/>
        </w:rPr>
        <w:t>18</w:t>
      </w:r>
      <w:r>
        <w:rPr>
          <w:rFonts w:ascii="Times New Roman" w:hAnsi="Times New Roman"/>
          <w:b w:val="0"/>
          <w:i w:val="0"/>
          <w:sz w:val="22"/>
        </w:rPr>
        <w:t>, 41–58 (2019). https://doi.org/10.1038/nrd.2018.168</w:t>
      </w:r>
    </w:p>
    <w:p>
      <w:pPr>
        <w:spacing w:before="0" w:after="40"/>
      </w:pPr>
      <w:r>
        <w:rPr>
          <w:rFonts w:ascii="Times New Roman" w:hAnsi="Times New Roman"/>
          <w:b w:val="0"/>
          <w:i w:val="0"/>
          <w:sz w:val="22"/>
        </w:rPr>
        <w:t xml:space="preserve">37. Irwin, J. J. &amp; Shoichet, B. K. Docking screens for novel ligands conferring new biology. </w:t>
      </w:r>
      <w:r>
        <w:rPr>
          <w:rFonts w:ascii="Times New Roman" w:hAnsi="Times New Roman"/>
          <w:b w:val="0"/>
          <w:i/>
          <w:sz w:val="22"/>
        </w:rPr>
        <w:t>Journal of Medicinal Chemistry</w:t>
      </w:r>
      <w:r>
        <w:rPr>
          <w:rFonts w:ascii="Times New Roman" w:hAnsi="Times New Roman"/>
          <w:b w:val="0"/>
          <w:i w:val="0"/>
          <w:sz w:val="22"/>
        </w:rPr>
        <w:t xml:space="preserve"> </w:t>
      </w:r>
      <w:r>
        <w:rPr>
          <w:rFonts w:ascii="Times New Roman" w:hAnsi="Times New Roman"/>
          <w:b/>
          <w:i w:val="0"/>
          <w:sz w:val="22"/>
        </w:rPr>
        <w:t>59</w:t>
      </w:r>
      <w:r>
        <w:rPr>
          <w:rFonts w:ascii="Times New Roman" w:hAnsi="Times New Roman"/>
          <w:b w:val="0"/>
          <w:i w:val="0"/>
          <w:sz w:val="22"/>
        </w:rPr>
        <w:t>, 4103–4120 (2016). https://doi.org/10.1021/acs.jmedchem.5b02008</w:t>
      </w:r>
    </w:p>
    <w:p>
      <w:pPr>
        <w:spacing w:before="0" w:after="40"/>
      </w:pPr>
      <w:r>
        <w:rPr>
          <w:rFonts w:ascii="Times New Roman" w:hAnsi="Times New Roman"/>
          <w:b w:val="0"/>
          <w:i w:val="0"/>
          <w:sz w:val="22"/>
        </w:rPr>
        <w:t xml:space="preserve">38. Chen, J. et al. The α2δ-1–NMDA receptor complex is critically involved in neuropathic pain development and gabapentin therapeutic actions. </w:t>
      </w:r>
      <w:r>
        <w:rPr>
          <w:rFonts w:ascii="Times New Roman" w:hAnsi="Times New Roman"/>
          <w:b w:val="0"/>
          <w:i/>
          <w:sz w:val="22"/>
        </w:rPr>
        <w:t>Cell Reports</w:t>
      </w:r>
      <w:r>
        <w:rPr>
          <w:rFonts w:ascii="Times New Roman" w:hAnsi="Times New Roman"/>
          <w:b w:val="0"/>
          <w:i w:val="0"/>
          <w:sz w:val="22"/>
        </w:rPr>
        <w:t xml:space="preserve"> </w:t>
      </w:r>
      <w:r>
        <w:rPr>
          <w:rFonts w:ascii="Times New Roman" w:hAnsi="Times New Roman"/>
          <w:b/>
          <w:i w:val="0"/>
          <w:sz w:val="22"/>
        </w:rPr>
        <w:t>22</w:t>
      </w:r>
      <w:r>
        <w:rPr>
          <w:rFonts w:ascii="Times New Roman" w:hAnsi="Times New Roman"/>
          <w:b w:val="0"/>
          <w:i w:val="0"/>
          <w:sz w:val="22"/>
        </w:rPr>
        <w:t xml:space="preserve">, 2307–2321 (2018). https://doi.org/10.1016/j.celrep.2018.02.021; erratum: </w:t>
      </w:r>
      <w:r>
        <w:rPr>
          <w:rFonts w:ascii="Times New Roman" w:hAnsi="Times New Roman"/>
          <w:b w:val="0"/>
          <w:i/>
          <w:sz w:val="22"/>
        </w:rPr>
        <w:t>Cell Reports</w:t>
      </w:r>
      <w:r>
        <w:rPr>
          <w:rFonts w:ascii="Times New Roman" w:hAnsi="Times New Roman"/>
          <w:b w:val="0"/>
          <w:i w:val="0"/>
          <w:sz w:val="22"/>
        </w:rPr>
        <w:t xml:space="preserve"> </w:t>
      </w:r>
      <w:r>
        <w:rPr>
          <w:rFonts w:ascii="Times New Roman" w:hAnsi="Times New Roman"/>
          <w:b/>
          <w:i w:val="0"/>
          <w:sz w:val="22"/>
        </w:rPr>
        <w:t>38</w:t>
      </w:r>
      <w:r>
        <w:rPr>
          <w:rFonts w:ascii="Times New Roman" w:hAnsi="Times New Roman"/>
          <w:b w:val="0"/>
          <w:i w:val="0"/>
          <w:sz w:val="22"/>
        </w:rPr>
        <w:t>, 110308 (2022). https://doi.org/10.1016/j.celrep.2022.110308</w:t>
      </w:r>
    </w:p>
    <w:p>
      <w:pPr>
        <w:spacing w:before="0" w:after="40"/>
      </w:pPr>
      <w:r>
        <w:rPr>
          <w:rFonts w:ascii="Times New Roman" w:hAnsi="Times New Roman"/>
          <w:b w:val="0"/>
          <w:i w:val="0"/>
          <w:sz w:val="22"/>
        </w:rPr>
        <w:t xml:space="preserve">39. Flatters, S. J. Characterization of a model of persistent postoperative pain evoked by skin/muscle incision and retraction (SMIR). </w:t>
      </w:r>
      <w:r>
        <w:rPr>
          <w:rFonts w:ascii="Times New Roman" w:hAnsi="Times New Roman"/>
          <w:b w:val="0"/>
          <w:i/>
          <w:sz w:val="22"/>
        </w:rPr>
        <w:t>Pain</w:t>
      </w:r>
      <w:r>
        <w:rPr>
          <w:rFonts w:ascii="Times New Roman" w:hAnsi="Times New Roman"/>
          <w:b w:val="0"/>
          <w:i w:val="0"/>
          <w:sz w:val="22"/>
        </w:rPr>
        <w:t xml:space="preserve"> </w:t>
      </w:r>
      <w:r>
        <w:rPr>
          <w:rFonts w:ascii="Times New Roman" w:hAnsi="Times New Roman"/>
          <w:b/>
          <w:i w:val="0"/>
          <w:sz w:val="22"/>
        </w:rPr>
        <w:t>135</w:t>
      </w:r>
      <w:r>
        <w:rPr>
          <w:rFonts w:ascii="Times New Roman" w:hAnsi="Times New Roman"/>
          <w:b w:val="0"/>
          <w:i w:val="0"/>
          <w:sz w:val="22"/>
        </w:rPr>
        <w:t>, 119–130 (2008). https://doi.org/10.1016/j.pain.2007.05.013</w:t>
      </w:r>
    </w:p>
    <w:p>
      <w:pPr>
        <w:spacing w:before="0" w:after="40"/>
      </w:pPr>
      <w:r>
        <w:rPr>
          <w:rFonts w:ascii="Times New Roman" w:hAnsi="Times New Roman"/>
          <w:b w:val="0"/>
          <w:i w:val="0"/>
          <w:sz w:val="22"/>
        </w:rPr>
        <w:t xml:space="preserve">40. Flatters, S. J. L. Effect of analgesic standards on persistent postoperative pain evoked by skin/muscle incision and retraction (SMIR). </w:t>
      </w:r>
      <w:r>
        <w:rPr>
          <w:rFonts w:ascii="Times New Roman" w:hAnsi="Times New Roman"/>
          <w:b w:val="0"/>
          <w:i/>
          <w:sz w:val="22"/>
        </w:rPr>
        <w:t>Neuroscience Letters</w:t>
      </w:r>
      <w:r>
        <w:rPr>
          <w:rFonts w:ascii="Times New Roman" w:hAnsi="Times New Roman"/>
          <w:b w:val="0"/>
          <w:i w:val="0"/>
          <w:sz w:val="22"/>
        </w:rPr>
        <w:t xml:space="preserve"> </w:t>
      </w:r>
      <w:r>
        <w:rPr>
          <w:rFonts w:ascii="Times New Roman" w:hAnsi="Times New Roman"/>
          <w:b/>
          <w:i w:val="0"/>
          <w:sz w:val="22"/>
        </w:rPr>
        <w:t>480</w:t>
      </w:r>
      <w:r>
        <w:rPr>
          <w:rFonts w:ascii="Times New Roman" w:hAnsi="Times New Roman"/>
          <w:b w:val="0"/>
          <w:i w:val="0"/>
          <w:sz w:val="22"/>
        </w:rPr>
        <w:t>, 101–104 (2010). https://doi.org/10.1016/j.neulet.2010.04.033</w:t>
      </w:r>
    </w:p>
    <w:p>
      <w:pPr>
        <w:spacing w:before="160" w:after="80"/>
      </w:pPr>
      <w:r>
        <w:rPr>
          <w:rFonts w:ascii="Times New Roman" w:hAnsi="Times New Roman"/>
          <w:b/>
          <w:i w:val="0"/>
          <w:sz w:val="24"/>
        </w:rPr>
        <w:t>Acknowledgements</w:t>
      </w:r>
    </w:p>
    <w:p>
      <w:pPr>
        <w:spacing w:before="0" w:after="40"/>
      </w:pPr>
      <w:r>
        <w:rPr>
          <w:rFonts w:ascii="Times New Roman" w:hAnsi="Times New Roman"/>
          <w:b w:val="0"/>
          <w:i w:val="0"/>
          <w:sz w:val="22"/>
        </w:rPr>
        <w:t>The author thanks the contributors of the public GEO datasets reanalysed herein.</w:t>
      </w:r>
    </w:p>
    <w:p>
      <w:pPr>
        <w:spacing w:before="160" w:after="80"/>
      </w:pPr>
      <w:r>
        <w:rPr>
          <w:rFonts w:ascii="Times New Roman" w:hAnsi="Times New Roman"/>
          <w:b/>
          <w:i w:val="0"/>
          <w:sz w:val="24"/>
        </w:rPr>
        <w:t>Funding</w:t>
      </w:r>
    </w:p>
    <w:p>
      <w:pPr>
        <w:spacing w:before="0" w:after="40"/>
      </w:pPr>
      <w:r>
        <w:rPr>
          <w:rFonts w:ascii="Times New Roman" w:hAnsi="Times New Roman"/>
          <w:b w:val="0"/>
          <w:i w:val="0"/>
          <w:sz w:val="22"/>
        </w:rPr>
        <w:t>The author received no financial support for this work. This manuscript reports completed in-silico analyses conducted as preliminary foundation for a pending Fujian Natural Science Foundation grant application; the grant did not fund and did not influence the present analyses, results, or conclusions.</w:t>
      </w:r>
    </w:p>
    <w:p>
      <w:pPr>
        <w:spacing w:before="160" w:after="80"/>
      </w:pPr>
      <w:r>
        <w:rPr>
          <w:rFonts w:ascii="Times New Roman" w:hAnsi="Times New Roman"/>
          <w:b/>
          <w:i w:val="0"/>
          <w:sz w:val="24"/>
        </w:rPr>
        <w:t>Author contributions</w:t>
      </w:r>
    </w:p>
    <w:p>
      <w:pPr>
        <w:spacing w:before="0" w:after="40"/>
      </w:pPr>
      <w:r>
        <w:rPr>
          <w:rFonts w:ascii="Times New Roman" w:hAnsi="Times New Roman"/>
          <w:b w:val="0"/>
          <w:i w:val="0"/>
          <w:sz w:val="22"/>
        </w:rPr>
        <w:t>Y.Y. conceived the study, performed all computational analyses, interpreted the results, and wrote the manuscript.</w:t>
      </w:r>
    </w:p>
    <w:p>
      <w:pPr>
        <w:spacing w:before="160" w:after="80"/>
      </w:pPr>
      <w:r>
        <w:rPr>
          <w:rFonts w:ascii="Times New Roman" w:hAnsi="Times New Roman"/>
          <w:b/>
          <w:i w:val="0"/>
          <w:sz w:val="24"/>
        </w:rPr>
        <w:t>Data availability</w:t>
      </w:r>
    </w:p>
    <w:p>
      <w:pPr>
        <w:spacing w:before="0" w:after="40"/>
      </w:pPr>
      <w:r>
        <w:rPr>
          <w:rFonts w:ascii="Times New Roman" w:hAnsi="Times New Roman"/>
          <w:b w:val="0"/>
          <w:i w:val="0"/>
          <w:sz w:val="22"/>
        </w:rPr>
        <w:t xml:space="preserve">All code, tables and figures are version-controlled in the public GitHub repository at https://github.com/yyx-4113/cpsp-drg-spinal-repurposing. The 12 primary GEO accessions analysed here (GSE267799, GSE212311, GSE278227, GSE241361, GSE265957, GSE158825, GSE222979, GSE216039, GSE328175, GSE246288, GSE306403, GSE325938) are public and available from GEO. At submission the repository is released as version v1.6.0 (README + CITATION.cff + MIT LICENSE + reproduction scripts), and the derived tables enumerated below are included in that release: meta-analysis tables, gene-set statistics with set-level correction, hub lists, docking scores, single-cell/spatial localisation tables, the bulk-only sensitivity output </w:t>
      </w:r>
      <w:r>
        <w:rPr>
          <w:rFonts w:ascii="Courier New" w:hAnsi="Courier New"/>
          <w:b w:val="0"/>
          <w:i w:val="0"/>
          <w:sz w:val="22"/>
        </w:rPr>
        <w:t>META_bulkonly_sensitivity_summary.json</w:t>
      </w:r>
      <w:r>
        <w:rPr>
          <w:rFonts w:ascii="Times New Roman" w:hAnsi="Times New Roman"/>
          <w:b w:val="0"/>
          <w:i w:val="0"/>
          <w:sz w:val="22"/>
        </w:rPr>
        <w:t xml:space="preserve"> and its per-gene companion </w:t>
      </w:r>
      <w:r>
        <w:rPr>
          <w:rFonts w:ascii="Courier New" w:hAnsi="Courier New"/>
          <w:b w:val="0"/>
          <w:i w:val="0"/>
          <w:sz w:val="22"/>
        </w:rPr>
        <w:t>META_bulkonly_meta.csv</w:t>
      </w:r>
      <w:r>
        <w:rPr>
          <w:rFonts w:ascii="Times New Roman" w:hAnsi="Times New Roman"/>
          <w:b w:val="0"/>
          <w:i w:val="0"/>
          <w:sz w:val="22"/>
        </w:rPr>
        <w:t xml:space="preserve">, the target-plausibility table </w:t>
      </w:r>
      <w:r>
        <w:rPr>
          <w:rFonts w:ascii="Courier New" w:hAnsi="Courier New"/>
          <w:b w:val="0"/>
          <w:i w:val="0"/>
          <w:sz w:val="22"/>
        </w:rPr>
        <w:t>P6_target_plausibility.json</w:t>
      </w:r>
      <w:r>
        <w:rPr>
          <w:rFonts w:ascii="Times New Roman" w:hAnsi="Times New Roman"/>
          <w:b w:val="0"/>
          <w:i w:val="0"/>
          <w:sz w:val="22"/>
        </w:rPr>
        <w:t xml:space="preserve">, the random-effects and non-circular translation outputs </w:t>
      </w:r>
      <w:r>
        <w:rPr>
          <w:rFonts w:ascii="Courier New" w:hAnsi="Courier New"/>
          <w:b w:val="0"/>
          <w:i w:val="0"/>
          <w:sz w:val="22"/>
        </w:rPr>
        <w:t>_R4_random_effects_meta.csv</w:t>
      </w:r>
      <w:r>
        <w:rPr>
          <w:rFonts w:ascii="Times New Roman" w:hAnsi="Times New Roman"/>
          <w:b w:val="0"/>
          <w:i w:val="0"/>
          <w:sz w:val="22"/>
        </w:rPr>
        <w:t xml:space="preserve"> and </w:t>
      </w:r>
      <w:r>
        <w:rPr>
          <w:rFonts w:ascii="Courier New" w:hAnsi="Courier New"/>
          <w:b w:val="0"/>
          <w:i w:val="0"/>
          <w:sz w:val="22"/>
        </w:rPr>
        <w:t>_R4_nerveinjury_only_meta.csv</w:t>
      </w:r>
      <w:r>
        <w:rPr>
          <w:rFonts w:ascii="Times New Roman" w:hAnsi="Times New Roman"/>
          <w:b w:val="0"/>
          <w:i w:val="0"/>
          <w:sz w:val="22"/>
        </w:rPr>
        <w:t xml:space="preserve">, and the target-set bootstrap </w:t>
      </w:r>
      <w:r>
        <w:rPr>
          <w:rFonts w:ascii="Courier New" w:hAnsi="Courier New"/>
          <w:b w:val="0"/>
          <w:i w:val="0"/>
          <w:sz w:val="22"/>
        </w:rPr>
        <w:t>_R4_targetset_bootstrap.csv</w:t>
      </w:r>
      <w:r>
        <w:rPr>
          <w:rFonts w:ascii="Times New Roman" w:hAnsi="Times New Roman"/>
          <w:b w:val="0"/>
          <w:i w:val="0"/>
          <w:sz w:val="22"/>
        </w:rPr>
        <w:t xml:space="preserve"> with its per-resample recovery sets </w:t>
      </w:r>
      <w:r>
        <w:rPr>
          <w:rFonts w:ascii="Courier New" w:hAnsi="Courier New"/>
          <w:b w:val="0"/>
          <w:i w:val="0"/>
          <w:sz w:val="22"/>
        </w:rPr>
        <w:t>_R4_targetset_bootstrap_resamples.csv</w:t>
      </w:r>
      <w:r>
        <w:rPr>
          <w:rFonts w:ascii="Times New Roman" w:hAnsi="Times New Roman"/>
          <w:b w:val="0"/>
          <w:i w:val="0"/>
          <w:sz w:val="22"/>
        </w:rPr>
        <w:t>. Raw counts are re-exported from the 12 public GEO accession codes listed above.</w:t>
      </w:r>
    </w:p>
    <w:p>
      <w:pPr>
        <w:spacing w:before="0" w:after="40"/>
      </w:pPr>
      <w:r>
        <w:rPr>
          <w:rFonts w:ascii="Times New Roman" w:hAnsi="Times New Roman"/>
          <w:b w:val="0"/>
          <w:i w:val="0"/>
          <w:sz w:val="22"/>
        </w:rPr>
        <w:t>The GitHub repository referenced above is released as a versioned, citable archive (v1.6.0; integrity verifiable via the accompanying CITATION.cff and the immutable version tag); no Zenodo snapshot has been deposited. Data are therefore available from the versioned GitHub release, not on request.</w:t>
      </w:r>
    </w:p>
    <w:p>
      <w:pPr>
        <w:spacing w:before="0" w:after="40"/>
      </w:pPr>
      <w:r>
        <w:rPr>
          <w:rFonts w:ascii="Times New Roman" w:hAnsi="Times New Roman"/>
          <w:b w:val="0"/>
          <w:i w:val="0"/>
          <w:sz w:val="22"/>
        </w:rPr>
        <w:t>Data are not "available on request".</w:t>
      </w:r>
    </w:p>
    <w:p>
      <w:pPr>
        <w:spacing w:before="160" w:after="80"/>
      </w:pPr>
      <w:r>
        <w:rPr>
          <w:rFonts w:ascii="Times New Roman" w:hAnsi="Times New Roman"/>
          <w:b/>
          <w:i w:val="0"/>
          <w:sz w:val="24"/>
        </w:rPr>
        <w:t>Competing interests</w:t>
      </w:r>
    </w:p>
    <w:p>
      <w:pPr>
        <w:spacing w:before="0" w:after="40"/>
      </w:pPr>
      <w:r>
        <w:rPr>
          <w:rFonts w:ascii="Times New Roman" w:hAnsi="Times New Roman"/>
          <w:b w:val="0"/>
          <w:i w:val="0"/>
          <w:sz w:val="22"/>
        </w:rPr>
        <w:t>The author declares no financial competing interests. The author has a pending grant application (Fujian Natural Science Foundation) in which ADRA2A is listed among the candidate targets; this application did not fund and did not influence the present analyses, results, or conclusions, and the manuscript was written independently of the grant. ADRA2A is discussed at greater length than the other nine targets because it is the illustrative case for the two-filter rule (full-library AUC 0.532, p = 0.118, fails filter 1; size-independent BH q = 0.0025 passes filter 2 → inconclusive) and because the author's pending grant lists it as a candidate target; this did not affect any analytical choice, and all 10 targets were treated identically in the docking pipeline (Methods; Table 3b).</w:t>
      </w:r>
    </w:p>
    <w:p>
      <w:pPr>
        <w:spacing w:before="160" w:after="80"/>
      </w:pPr>
      <w:r>
        <w:rPr>
          <w:rFonts w:ascii="Times New Roman" w:hAnsi="Times New Roman"/>
          <w:b/>
          <w:i w:val="0"/>
          <w:sz w:val="24"/>
        </w:rPr>
        <w:t>Additional Information</w:t>
      </w:r>
    </w:p>
    <w:p>
      <w:pPr>
        <w:spacing w:before="0" w:after="40"/>
      </w:pPr>
      <w:r>
        <w:rPr>
          <w:rFonts w:ascii="Times New Roman" w:hAnsi="Times New Roman"/>
          <w:b w:val="0"/>
          <w:i w:val="0"/>
          <w:sz w:val="22"/>
        </w:rPr>
        <w:t>This manuscript is a reanalysis of public transcriptomes and is hypothesis-generating rather than causal. No wet-lab data were generated. Competing interests are declared above under the stand-alone heading. The STROBE checklist for this observational reanalysis is provided as Supporting Information (</w:t>
      </w:r>
      <w:r>
        <w:rPr>
          <w:rFonts w:ascii="Courier New" w:hAnsi="Courier New"/>
          <w:b w:val="0"/>
          <w:i w:val="0"/>
          <w:sz w:val="22"/>
        </w:rPr>
        <w:t>MVP_STROBE_checklist.md</w:t>
      </w:r>
      <w:r>
        <w:rPr>
          <w:rFonts w:ascii="Times New Roman" w:hAnsi="Times New Roman"/>
          <w:b w:val="0"/>
          <w:i w:val="0"/>
          <w:sz w:val="22"/>
        </w:rPr>
        <w:t>).</w:t>
      </w:r>
    </w:p>
    <w:p>
      <w:pPr>
        <w:spacing w:before="240" w:after="120"/>
      </w:pPr>
      <w:r>
        <w:rPr>
          <w:rFonts w:ascii="Times New Roman" w:hAnsi="Times New Roman"/>
          <w:b/>
          <w:i w:val="0"/>
          <w:sz w:val="26"/>
        </w:rPr>
        <w:t>Figure legends</w:t>
      </w:r>
    </w:p>
    <w:p>
      <w:pPr>
        <w:spacing w:before="160" w:after="40"/>
      </w:pPr>
      <w:r>
        <w:rPr>
          <w:rFonts w:ascii="Times New Roman" w:hAnsi="Times New Roman"/>
          <w:b/>
          <w:i w:val="0"/>
          <w:sz w:val="22"/>
        </w:rPr>
        <w:t>Figure 1. Coordinated neuroimmune activation + OXPHOS suppression (permutation-calibrated, set-level BH-corrected gene-set bars).</w:t>
      </w:r>
    </w:p>
    <w:p>
      <w:pPr>
        <w:spacing w:before="0" w:after="40"/>
      </w:pPr>
      <w:r>
        <w:rPr>
          <w:rFonts w:ascii="Times New Roman" w:hAnsi="Times New Roman"/>
          <w:b w:val="0"/>
          <w:i w:val="0"/>
          <w:sz w:val="20"/>
        </w:rPr>
        <w:t xml:space="preserve">Bar chart of permutation-calibrated gene-set statistics computed on the six-contrast Stouffer meta_Z vector (19 a priori gene sets, definition fixed before analysis; BH corrected across the 18 multi-member sets). Upregulated programmes (red) are neuroinflammation (mean_Z +5.075, 100% of members up, q = 0.0022), DAM microglia (+3.833, 87.5% up, q = 0.0022) and complement (+3.700, 94.4% up, q = 0.0022). Mitochondrial OXPHOS is downregulated (mean_Z −2.922, 78.9% of members down; q = 0.0022, blue) under fixed effects and now survives set-level BH when the same sets are recomputed on the random-effects meta-vector (q = 0.0022). Bars are coloured by permutation significance (red = perm p ≤ 0.005, blue = perm p ≤ 0.05, grey = not significant). Ion-channel families (Nav_SCN q = 0.62; TRP q = 0.92; CACNA q = 0.92; Kv/KCNQ q = 0.91) show no coordinate change (grey), indicating a neuroimmune/metabolic axis at the level of coordinated families; this is a family-level statement and does not extend to individual genes - CACNA2D1 (α2δ-1) is up-regulated in 4/6 contrasts (meta_FDR 2.3 × 10⁻¹⁰) and SCN8A/9A/10A/11A are individually down-regulated (Table 1b). The Stouffer Z and one-sample t p are shown; the set-level BH q is the primary honesty metric. Source: </w:t>
      </w:r>
      <w:r>
        <w:rPr>
          <w:rFonts w:ascii="Courier New" w:hAnsi="Courier New"/>
          <w:b w:val="0"/>
          <w:i w:val="0"/>
          <w:sz w:val="20"/>
        </w:rPr>
        <w:t>results/tables/P3_geneset_stats.csv</w:t>
      </w:r>
      <w:r>
        <w:rPr>
          <w:rFonts w:ascii="Times New Roman" w:hAnsi="Times New Roman"/>
          <w:b w:val="0"/>
          <w:i w:val="0"/>
          <w:sz w:val="20"/>
        </w:rPr>
        <w:t xml:space="preserve">, </w:t>
      </w:r>
      <w:r>
        <w:rPr>
          <w:rFonts w:ascii="Courier New" w:hAnsi="Courier New"/>
          <w:b w:val="0"/>
          <w:i w:val="0"/>
          <w:sz w:val="20"/>
        </w:rPr>
        <w:t>results/tables/_R4_geneset_setlevel_bh.csv</w:t>
      </w:r>
      <w:r>
        <w:rPr>
          <w:rFonts w:ascii="Times New Roman" w:hAnsi="Times New Roman"/>
          <w:b w:val="0"/>
          <w:i w:val="0"/>
          <w:sz w:val="20"/>
        </w:rPr>
        <w:t>.</w:t>
      </w:r>
    </w:p>
    <w:p>
      <w:r>
        <w:drawing>
          <wp:inline xmlns:a="http://schemas.openxmlformats.org/drawingml/2006/main" xmlns:pic="http://schemas.openxmlformats.org/drawingml/2006/picture">
            <wp:extent cx="5472000" cy="3299294"/>
            <wp:docPr id="1" name="Picture 1"/>
            <wp:cNvGraphicFramePr>
              <a:graphicFrameLocks noChangeAspect="1"/>
            </wp:cNvGraphicFramePr>
            <a:graphic>
              <a:graphicData uri="http://schemas.openxmlformats.org/drawingml/2006/picture">
                <pic:pic>
                  <pic:nvPicPr>
                    <pic:cNvPr id="0" name="Fig1_geneset_programme.png"/>
                    <pic:cNvPicPr/>
                  </pic:nvPicPr>
                  <pic:blipFill>
                    <a:blip r:embed="rId10"/>
                    <a:stretch>
                      <a:fillRect/>
                    </a:stretch>
                  </pic:blipFill>
                  <pic:spPr>
                    <a:xfrm>
                      <a:off x="0" y="0"/>
                      <a:ext cx="5472000" cy="3299294"/>
                    </a:xfrm>
                    <a:prstGeom prst="rect"/>
                  </pic:spPr>
                </pic:pic>
              </a:graphicData>
            </a:graphic>
          </wp:inline>
        </w:drawing>
      </w:r>
    </w:p>
    <w:p>
      <w:pPr>
        <w:spacing w:before="160" w:after="40"/>
      </w:pPr>
      <w:r>
        <w:rPr>
          <w:rFonts w:ascii="Times New Roman" w:hAnsi="Times New Roman"/>
          <w:b/>
          <w:i w:val="0"/>
          <w:sz w:val="22"/>
        </w:rPr>
        <w:t>Figure 2. Hub convergence: LODO AUC with 95% CI + three-method importance heatmap.</w:t>
      </w:r>
    </w:p>
    <w:p>
      <w:pPr>
        <w:spacing w:before="0" w:after="40"/>
      </w:pPr>
      <w:r>
        <w:rPr>
          <w:rFonts w:ascii="Times New Roman" w:hAnsi="Times New Roman"/>
          <w:b w:val="0"/>
          <w:i w:val="0"/>
          <w:sz w:val="20"/>
        </w:rPr>
        <w:t xml:space="preserve">Two panels. (A) Leave-one-dataset-out (LODO) cross-validation AUC with 95% confidence intervals for the dual-ML hub classifier. Of the five leakage-controlled folds, four reach AUC 1.000 - GSE278227 (CCI rat DRG, n = 28 libraries from 14 paired animals; within-animal discrimination), GSE212311 (CCI rat DRG, n = 6) and the two same-animal GSE241361 folds (mouse DRG n = 9; mouse spinal cord n = 9); the incision fold (GSE267799, n = 20) is 0.677 [0.374, 0.940]. GSE278227 is a within-animal paired design (14 animals), so its AUC 1.000 is a within-animal discrimination not directly comparable with the between-animal incision fold; among the genuinely cross-animal folds only GSE212311 (n = 6) reaches 1.000, while the incision fold (n = 20) is the floor that includes chance. The two GSE241361 folds (mouse DRG AUC 1.000 [1.000, 1.000], n = 9; spinal cord AUC 1.000 [1.000, 1.000], n = 9, leakage-controlled) come from the same animals and are plotted separately, excluded from the cross-animal mean. Four folds show degenerate bootstrap percentile intervals ([1.0, 1.0]) at small test n and are not interpreted as precision. (B) Three-method feature-importance heatmap for the top hub genes across LASSO (bootstrap B = 100), Random Forest mean-decrease-Gini (Top 80) and XGBoost |SHAP| (Top 80); a gene is a hub if ≥2/3 methods agree (5/35 reach full three-method consensus, the remaining 30 by exactly two). Source: </w:t>
      </w:r>
      <w:r>
        <w:rPr>
          <w:rFonts w:ascii="Courier New" w:hAnsi="Courier New"/>
          <w:b w:val="0"/>
          <w:i w:val="0"/>
          <w:sz w:val="20"/>
        </w:rPr>
        <w:t>results/tables/P3_lodo_auc_ci_leakage_controlled.csv</w:t>
      </w:r>
      <w:r>
        <w:rPr>
          <w:rFonts w:ascii="Times New Roman" w:hAnsi="Times New Roman"/>
          <w:b w:val="0"/>
          <w:i w:val="0"/>
          <w:sz w:val="20"/>
        </w:rPr>
        <w:t xml:space="preserve">, </w:t>
      </w:r>
      <w:r>
        <w:rPr>
          <w:rFonts w:ascii="Courier New" w:hAnsi="Courier New"/>
          <w:b w:val="0"/>
          <w:i w:val="0"/>
          <w:sz w:val="20"/>
        </w:rPr>
        <w:t>P3_hub_genes.csv</w:t>
      </w:r>
      <w:r>
        <w:rPr>
          <w:rFonts w:ascii="Times New Roman" w:hAnsi="Times New Roman"/>
          <w:b w:val="0"/>
          <w:i w:val="0"/>
          <w:sz w:val="20"/>
        </w:rPr>
        <w:t>.</w:t>
      </w:r>
    </w:p>
    <w:p>
      <w:r>
        <w:drawing>
          <wp:inline xmlns:a="http://schemas.openxmlformats.org/drawingml/2006/main" xmlns:pic="http://schemas.openxmlformats.org/drawingml/2006/picture">
            <wp:extent cx="5472000" cy="3241880"/>
            <wp:docPr id="2" name="Picture 2"/>
            <wp:cNvGraphicFramePr>
              <a:graphicFrameLocks noChangeAspect="1"/>
            </wp:cNvGraphicFramePr>
            <a:graphic>
              <a:graphicData uri="http://schemas.openxmlformats.org/drawingml/2006/picture">
                <pic:pic>
                  <pic:nvPicPr>
                    <pic:cNvPr id="0" name="Fig2_hub_convergence.png"/>
                    <pic:cNvPicPr/>
                  </pic:nvPicPr>
                  <pic:blipFill>
                    <a:blip r:embed="rId11"/>
                    <a:stretch>
                      <a:fillRect/>
                    </a:stretch>
                  </pic:blipFill>
                  <pic:spPr>
                    <a:xfrm>
                      <a:off x="0" y="0"/>
                      <a:ext cx="5472000" cy="3241880"/>
                    </a:xfrm>
                    <a:prstGeom prst="rect"/>
                  </pic:spPr>
                </pic:pic>
              </a:graphicData>
            </a:graphic>
          </wp:inline>
        </w:drawing>
      </w:r>
    </w:p>
    <w:p>
      <w:pPr>
        <w:spacing w:before="160" w:after="40"/>
      </w:pPr>
      <w:r>
        <w:rPr>
          <w:rFonts w:ascii="Times New Roman" w:hAnsi="Times New Roman"/>
          <w:b/>
          <w:i w:val="0"/>
          <w:sz w:val="22"/>
        </w:rPr>
        <w:t>Figure 3. DRG neuron-subtype localisation of the 35 hubs (injured/regenerating neuron highlighted).</w:t>
      </w:r>
    </w:p>
    <w:p>
      <w:pPr>
        <w:spacing w:before="0" w:after="40"/>
      </w:pPr>
      <w:r>
        <w:rPr>
          <w:rFonts w:ascii="Times New Roman" w:hAnsi="Times New Roman"/>
          <w:b w:val="0"/>
          <w:i w:val="0"/>
          <w:sz w:val="20"/>
        </w:rPr>
        <w:t xml:space="preserve">DRG neuron-subtype localisation of the 35 hubs in GSE216039. Bars show, for each hub localised to the injured/regenerating neuron subtype, the mean log2 expression ratio (injured/regenerating neurons ÷ all other subtypes), not a detection-fraction ratio. Twenty of 25 detectable hubs localise to this subtype; the highlighted bar (red) is Injured_RegenNeuron. Representative enrichments: SPRR1A 17.4× (98.1% vs 16.8% detection), ECEL1 25.7×, NPY 10.0×, FLNC 10.2×. Subtype annotation used eight non-hub markers with zero overlap with the hubs (leave-one-marker consistency 92–100%, ρ 0.965–0.996), ruling out circularity. Sample-level pseudobulk gave 0 BH-significant genes (n = 2–3 per group), so these enrichments are directional hints, not inferential estimates. Source: </w:t>
      </w:r>
      <w:r>
        <w:rPr>
          <w:rFonts w:ascii="Courier New" w:hAnsi="Courier New"/>
          <w:b w:val="0"/>
          <w:i w:val="0"/>
          <w:sz w:val="20"/>
        </w:rPr>
        <w:t>results/tables/P5_GSE216039_DRG_hub_finetype_top.csv</w:t>
      </w:r>
      <w:r>
        <w:rPr>
          <w:rFonts w:ascii="Times New Roman" w:hAnsi="Times New Roman"/>
          <w:b w:val="0"/>
          <w:i w:val="0"/>
          <w:sz w:val="20"/>
        </w:rPr>
        <w:t>.</w:t>
      </w:r>
    </w:p>
    <w:p>
      <w:r>
        <w:drawing>
          <wp:inline xmlns:a="http://schemas.openxmlformats.org/drawingml/2006/main" xmlns:pic="http://schemas.openxmlformats.org/drawingml/2006/picture">
            <wp:extent cx="5472000" cy="5226653"/>
            <wp:docPr id="3" name="Picture 3"/>
            <wp:cNvGraphicFramePr>
              <a:graphicFrameLocks noChangeAspect="1"/>
            </wp:cNvGraphicFramePr>
            <a:graphic>
              <a:graphicData uri="http://schemas.openxmlformats.org/drawingml/2006/picture">
                <pic:pic>
                  <pic:nvPicPr>
                    <pic:cNvPr id="0" name="Fig3_DRG_neuron_subtype_localisation.png"/>
                    <pic:cNvPicPr/>
                  </pic:nvPicPr>
                  <pic:blipFill>
                    <a:blip r:embed="rId12"/>
                    <a:stretch>
                      <a:fillRect/>
                    </a:stretch>
                  </pic:blipFill>
                  <pic:spPr>
                    <a:xfrm>
                      <a:off x="0" y="0"/>
                      <a:ext cx="5472000" cy="5226653"/>
                    </a:xfrm>
                    <a:prstGeom prst="rect"/>
                  </pic:spPr>
                </pic:pic>
              </a:graphicData>
            </a:graphic>
          </wp:inline>
        </w:drawing>
      </w:r>
    </w:p>
    <w:p>
      <w:pPr>
        <w:spacing w:before="160" w:after="40"/>
      </w:pPr>
      <w:r>
        <w:rPr>
          <w:rFonts w:ascii="Times New Roman" w:hAnsi="Times New Roman"/>
          <w:b/>
          <w:i w:val="0"/>
          <w:sz w:val="22"/>
        </w:rPr>
        <w:t>Figure 4. Spinal multi-lineage consensus + Visium dorsal-horn regionalisation.</w:t>
      </w:r>
    </w:p>
    <w:p>
      <w:pPr>
        <w:spacing w:before="0" w:after="40"/>
      </w:pPr>
      <w:r>
        <w:rPr>
          <w:rFonts w:ascii="Times New Roman" w:hAnsi="Times New Roman"/>
          <w:b w:val="0"/>
          <w:i w:val="0"/>
          <w:sz w:val="20"/>
        </w:rPr>
        <w:t xml:space="preserve">Two panels. (A) Spinal multi-lineage consensus for the 35 hubs across DRG neuron (GSE216039), spinal snRNA (GSE328175) and microglia (GSE246288). Bars show the number of hubs assigned to each spinal consensus lineage (Neuronal n=8, Glial n=3, Immune n=4, Mixed n=5, NotLocalisable n=15); 20 hubs are localisable across neuron/microglia/astrocyte/OPC and only 7/35 achieved cross-dataset lineage-consistent localisation (5 neuronal: ANKRD13B, CTTN, PTPN23, SRRM4, VASH2; 1 immune: TFE3; 1 glial: CHL1), evidence of axis-end specialisation rather than localisation failure. (B) Visium GSE325938 spatial regionalisation (Sham/baseline tissue, no injury arm): of 33 hubs detectably expressed in mouse spinal cord (CRISP3 and LNP1 all-zero, excluded from the plot), 17 of 33 (51.5%) map to the dorsal horn; all 17 passed a 5% detection floor (Methods, Supplementary Table S2). Because the tissue is uninjured, this is constitutive baseline anatomy, not injury-induced recruitment. Six hubs show cross-modal-consistent Neuronal→DorsalHorn calls (GALNS, SRRM4, PTPN23, VASH2, ANKRD13B, CTTN). Sources: </w:t>
      </w:r>
      <w:r>
        <w:rPr>
          <w:rFonts w:ascii="Courier New" w:hAnsi="Courier New"/>
          <w:b w:val="0"/>
          <w:i w:val="0"/>
          <w:sz w:val="20"/>
        </w:rPr>
        <w:t>results/tables/P5_hub_lineage_consensus.csv</w:t>
      </w:r>
      <w:r>
        <w:rPr>
          <w:rFonts w:ascii="Times New Roman" w:hAnsi="Times New Roman"/>
          <w:b w:val="0"/>
          <w:i w:val="0"/>
          <w:sz w:val="20"/>
        </w:rPr>
        <w:t xml:space="preserve">, </w:t>
      </w:r>
      <w:r>
        <w:rPr>
          <w:rFonts w:ascii="Courier New" w:hAnsi="Courier New"/>
          <w:b w:val="0"/>
          <w:i w:val="0"/>
          <w:sz w:val="20"/>
        </w:rPr>
        <w:t>P5_GSE325938_hub_regionalization.csv</w:t>
      </w:r>
      <w:r>
        <w:rPr>
          <w:rFonts w:ascii="Times New Roman" w:hAnsi="Times New Roman"/>
          <w:b w:val="0"/>
          <w:i w:val="0"/>
          <w:sz w:val="20"/>
        </w:rPr>
        <w:t>.</w:t>
      </w:r>
    </w:p>
    <w:p>
      <w:r>
        <w:drawing>
          <wp:inline xmlns:a="http://schemas.openxmlformats.org/drawingml/2006/main" xmlns:pic="http://schemas.openxmlformats.org/drawingml/2006/picture">
            <wp:extent cx="5472000" cy="3288256"/>
            <wp:docPr id="4" name="Picture 4"/>
            <wp:cNvGraphicFramePr>
              <a:graphicFrameLocks noChangeAspect="1"/>
            </wp:cNvGraphicFramePr>
            <a:graphic>
              <a:graphicData uri="http://schemas.openxmlformats.org/drawingml/2006/picture">
                <pic:pic>
                  <pic:nvPicPr>
                    <pic:cNvPr id="0" name="Fig4_spinal_lineage_visium.png"/>
                    <pic:cNvPicPr/>
                  </pic:nvPicPr>
                  <pic:blipFill>
                    <a:blip r:embed="rId13"/>
                    <a:stretch>
                      <a:fillRect/>
                    </a:stretch>
                  </pic:blipFill>
                  <pic:spPr>
                    <a:xfrm>
                      <a:off x="0" y="0"/>
                      <a:ext cx="5472000" cy="3288256"/>
                    </a:xfrm>
                    <a:prstGeom prst="rect"/>
                  </pic:spPr>
                </pic:pic>
              </a:graphicData>
            </a:graphic>
          </wp:inline>
        </w:drawing>
      </w:r>
    </w:p>
    <w:p>
      <w:pPr>
        <w:spacing w:before="160" w:after="40"/>
      </w:pPr>
      <w:r>
        <w:rPr>
          <w:rFonts w:ascii="Times New Roman" w:hAnsi="Times New Roman"/>
          <w:b/>
          <w:i w:val="0"/>
          <w:sz w:val="22"/>
        </w:rPr>
        <w:t>Figure 5. Docking honest-null: reverse-control AUCs, MW-correction verdicts, ADRA2A breadth flip.</w:t>
      </w:r>
    </w:p>
    <w:p>
      <w:pPr>
        <w:spacing w:before="0" w:after="40"/>
      </w:pPr>
      <w:r>
        <w:rPr>
          <w:rFonts w:ascii="Times New Roman" w:hAnsi="Times New Roman"/>
          <w:b w:val="0"/>
          <w:i w:val="0"/>
          <w:sz w:val="20"/>
        </w:rPr>
        <w:t xml:space="preserve">Docking honest-null panel. (A) Reverse positive-control AUCs (ChEMBL binding-type labels, pChEMBL ≥ 6) for the 10 tractable targets as </w:t>
      </w:r>
      <w:r>
        <w:rPr>
          <w:rFonts w:ascii="Times New Roman" w:hAnsi="Times New Roman"/>
          <w:b w:val="0"/>
          <w:i/>
          <w:sz w:val="20"/>
        </w:rPr>
        <w:t>method-validation</w:t>
      </w:r>
      <w:r>
        <w:rPr>
          <w:rFonts w:ascii="Times New Roman" w:hAnsi="Times New Roman"/>
          <w:b w:val="0"/>
          <w:i w:val="0"/>
          <w:sz w:val="20"/>
        </w:rPr>
        <w:t xml:space="preserve"> controls (</w:t>
      </w:r>
      <w:r>
        <w:rPr>
          <w:rFonts w:ascii="Courier New" w:hAnsi="Courier New"/>
          <w:b w:val="0"/>
          <w:i w:val="0"/>
          <w:sz w:val="20"/>
        </w:rPr>
        <w:t>control_passed</w:t>
      </w:r>
      <w:r>
        <w:rPr>
          <w:rFonts w:ascii="Times New Roman" w:hAnsi="Times New Roman"/>
          <w:b w:val="0"/>
          <w:i w:val="0"/>
          <w:sz w:val="20"/>
        </w:rPr>
        <w:t xml:space="preserve">): AXL 0.880, TNIK 0.824, ACVR1 0.797, MAPK14 0.779 pass method validation; SLC2A1 0.914 (single known pair, unverified); ADRA2A 0.532 fails. (B) Single-variable MW confounder correction left the size-independent increment (ΔAUC vs MW-only) with a 95% CI containing zero for AXL and TNIK, and ACVR1 and MAPK14 matched the MW-only baseline, inconclusive at the single-variable level; a multivariate physicochemical control (Supplementary Table S4) subsequently recovered docking signal beyond chemotype for AXL, TNIK and ACVR1 but not reliably against the full-library baseline. (C) The prospectively specified full-library breadth flip: ADRA2A reached AUC 0.618 on the 620-drug CNS/analgesic-prior Tier-1 subset but collapsed to 0.532 (p = 0.118, NS) across all 3,085 drugs, a composition artefact, not real enrichment. Known analgesics were not enriched (0/64 in Top-20; rank AUC ≈ 0.54). Sources: </w:t>
      </w:r>
      <w:r>
        <w:rPr>
          <w:rFonts w:ascii="Courier New" w:hAnsi="Courier New"/>
          <w:b w:val="0"/>
          <w:i w:val="0"/>
          <w:sz w:val="20"/>
        </w:rPr>
        <w:t>results/tables/P6_reverse_control.csv</w:t>
      </w:r>
      <w:r>
        <w:rPr>
          <w:rFonts w:ascii="Times New Roman" w:hAnsi="Times New Roman"/>
          <w:b w:val="0"/>
          <w:i w:val="0"/>
          <w:sz w:val="20"/>
        </w:rPr>
        <w:t xml:space="preserve">, </w:t>
      </w:r>
      <w:r>
        <w:rPr>
          <w:rFonts w:ascii="Courier New" w:hAnsi="Courier New"/>
          <w:b w:val="0"/>
          <w:i w:val="0"/>
          <w:sz w:val="20"/>
        </w:rPr>
        <w:t>P6_enrichment_mw_confounder_check.csv</w:t>
      </w:r>
      <w:r>
        <w:rPr>
          <w:rFonts w:ascii="Times New Roman" w:hAnsi="Times New Roman"/>
          <w:b w:val="0"/>
          <w:i w:val="0"/>
          <w:sz w:val="20"/>
        </w:rPr>
        <w:t xml:space="preserve">, </w:t>
      </w:r>
      <w:r>
        <w:rPr>
          <w:rFonts w:ascii="Courier New" w:hAnsi="Courier New"/>
          <w:b w:val="0"/>
          <w:i w:val="0"/>
          <w:sz w:val="20"/>
        </w:rPr>
        <w:t>P6_breadth_chembl_power.csv</w:t>
      </w:r>
      <w:r>
        <w:rPr>
          <w:rFonts w:ascii="Times New Roman" w:hAnsi="Times New Roman"/>
          <w:b w:val="0"/>
          <w:i w:val="0"/>
          <w:sz w:val="20"/>
        </w:rPr>
        <w:t>.</w:t>
      </w:r>
    </w:p>
    <w:p>
      <w:r>
        <w:drawing>
          <wp:inline xmlns:a="http://schemas.openxmlformats.org/drawingml/2006/main" xmlns:pic="http://schemas.openxmlformats.org/drawingml/2006/picture">
            <wp:extent cx="5472000" cy="3590446"/>
            <wp:docPr id="5" name="Picture 5"/>
            <wp:cNvGraphicFramePr>
              <a:graphicFrameLocks noChangeAspect="1"/>
            </wp:cNvGraphicFramePr>
            <a:graphic>
              <a:graphicData uri="http://schemas.openxmlformats.org/drawingml/2006/picture">
                <pic:pic>
                  <pic:nvPicPr>
                    <pic:cNvPr id="0" name="Fig5_docking_honest_null.png"/>
                    <pic:cNvPicPr/>
                  </pic:nvPicPr>
                  <pic:blipFill>
                    <a:blip r:embed="rId14"/>
                    <a:stretch>
                      <a:fillRect/>
                    </a:stretch>
                  </pic:blipFill>
                  <pic:spPr>
                    <a:xfrm>
                      <a:off x="0" y="0"/>
                      <a:ext cx="5472000" cy="3590446"/>
                    </a:xfrm>
                    <a:prstGeom prst="rect"/>
                  </pic:spPr>
                </pic:pic>
              </a:graphicData>
            </a:graphic>
          </wp:inline>
        </w:drawing>
      </w:r>
    </w:p>
    <w:p>
      <w:pPr>
        <w:spacing w:before="240" w:after="120"/>
      </w:pPr>
      <w:r>
        <w:rPr>
          <w:rFonts w:ascii="Times New Roman" w:hAnsi="Times New Roman"/>
          <w:b/>
          <w:i w:val="0"/>
          <w:sz w:val="26"/>
        </w:rPr>
        <w:t>Tables</w:t>
      </w:r>
    </w:p>
    <w:p>
      <w:pPr>
        <w:spacing w:before="0" w:after="40"/>
      </w:pPr>
      <w:r>
        <w:rPr>
          <w:rFonts w:ascii="Times New Roman" w:hAnsi="Times New Roman"/>
          <w:b/>
          <w:i w:val="0"/>
          <w:sz w:val="22"/>
        </w:rPr>
        <w:t>Table 1</w:t>
      </w:r>
      <w:r>
        <w:rPr>
          <w:rFonts w:ascii="Times New Roman" w:hAnsi="Times New Roman"/>
          <w:b w:val="0"/>
          <w:i w:val="0"/>
          <w:sz w:val="22"/>
        </w:rPr>
        <w:t xml:space="preserve"> DRG-axis meta-analysis core signature summary.</w:t>
      </w:r>
    </w:p>
    <w:p>
      <w:pPr>
        <w:spacing w:before="0" w:after="40"/>
      </w:pPr>
      <w:r>
        <w:rPr>
          <w:rFonts w:ascii="Times New Roman" w:hAnsi="Times New Roman"/>
          <w:b w:val="0"/>
          <w:i w:val="0"/>
          <w:sz w:val="22"/>
        </w:rPr>
        <w:t>(a) Inputs and core: 5 independent studies / 6 contrasts; 16,552 genes tested; 6,558 at meta_FDR &lt; 0.05; core = 2,750 (meta_FDR &lt; 0.05 and consistency ≥ 0.8). Random-effects sensitivity (DerSimonian–Laird; median τ² = 0.266, median I² = 41.8%): core = 508 (18.5% of the fixed-effect core). Collapse-sensitivity (5 inputs): core 3,582, retained 2,502/2,750 = 91.0%. Bulk-only sensitivity (4 bulk studies, translatome excluded; same union-K≥3 definition as primary): core 2,512; overlap with the primary core 1,737/2,750 = 63.2% under the bulk core's consistency ≥ 0.8 gate (1,322 pure 4/4, 415 K = 3 only), rising to 2,454/2,750 = 89.2% under the threshold-relaxed ≥3/4 gate; of the 2,750 primary-core genes, 200 lack any bulk-study support (154 present-but-non-significant in the four-bulk file plus 46 absent from it), and 296 fall outside even the relaxed overlap, so gene-level membership is threshold-sensitive while the coordinated programme is robust.</w:t>
      </w:r>
    </w:p>
    <w:p>
      <w:pPr>
        <w:spacing w:before="0" w:after="40"/>
      </w:pPr>
      <w:r>
        <w:rPr>
          <w:rFonts w:ascii="Times New Roman" w:hAnsi="Times New Roman"/>
          <w:b w:val="0"/>
          <w:i w:val="0"/>
          <w:sz w:val="22"/>
        </w:rPr>
        <w:t>(b) SCN-channel per-contrast directions. Each cell gives the direction, the per-contrast log₂ fold-change, and the per-contrast Z-statistic in parentheses; the Z is a standardised effect that scales with sample size and is not a fold-change. Bulk meta_Z and meta_FDR are from the four bulk contrasts.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before="20" w:after="20"/>
            </w:pPr>
            <w:r/>
            <w:r>
              <w:rPr>
                <w:rFonts w:ascii="Times New Roman" w:hAnsi="Times New Roman"/>
                <w:b/>
                <w:i w:val="0"/>
                <w:sz w:val="18"/>
              </w:rPr>
              <w:t>Gene</w:t>
            </w:r>
          </w:p>
        </w:tc>
        <w:tc>
          <w:tcPr>
            <w:tcW w:type="dxa" w:w="1170"/>
          </w:tcPr>
          <w:p>
            <w:pPr>
              <w:spacing w:line="240" w:lineRule="auto" w:before="20" w:after="20"/>
            </w:pPr>
            <w:r/>
            <w:r>
              <w:rPr>
                <w:rFonts w:ascii="Times New Roman" w:hAnsi="Times New Roman"/>
                <w:b/>
                <w:i w:val="0"/>
                <w:sz w:val="18"/>
              </w:rPr>
              <w:t>GSE267799 (incision)</w:t>
            </w:r>
          </w:p>
        </w:tc>
        <w:tc>
          <w:tcPr>
            <w:tcW w:type="dxa" w:w="1170"/>
          </w:tcPr>
          <w:p>
            <w:pPr>
              <w:spacing w:line="240" w:lineRule="auto" w:before="20" w:after="20"/>
            </w:pPr>
            <w:r/>
            <w:r>
              <w:rPr>
                <w:rFonts w:ascii="Times New Roman" w:hAnsi="Times New Roman"/>
                <w:b/>
                <w:i w:val="0"/>
                <w:sz w:val="18"/>
              </w:rPr>
              <w:t>GSE212311 (CCI)</w:t>
            </w:r>
          </w:p>
        </w:tc>
        <w:tc>
          <w:tcPr>
            <w:tcW w:type="dxa" w:w="1170"/>
          </w:tcPr>
          <w:p>
            <w:pPr>
              <w:spacing w:line="240" w:lineRule="auto" w:before="20" w:after="20"/>
            </w:pPr>
            <w:r/>
            <w:r>
              <w:rPr>
                <w:rFonts w:ascii="Times New Roman" w:hAnsi="Times New Roman"/>
                <w:b/>
                <w:i w:val="0"/>
                <w:sz w:val="18"/>
              </w:rPr>
              <w:t>GSE278227 (CCI)</w:t>
            </w:r>
          </w:p>
        </w:tc>
        <w:tc>
          <w:tcPr>
            <w:tcW w:type="dxa" w:w="1170"/>
          </w:tcPr>
          <w:p>
            <w:pPr>
              <w:spacing w:line="240" w:lineRule="auto" w:before="20" w:after="20"/>
            </w:pPr>
            <w:r/>
            <w:r>
              <w:rPr>
                <w:rFonts w:ascii="Times New Roman" w:hAnsi="Times New Roman"/>
                <w:b/>
                <w:i w:val="0"/>
                <w:sz w:val="18"/>
              </w:rPr>
              <w:t>GSE241361 (SNI)</w:t>
            </w:r>
          </w:p>
        </w:tc>
        <w:tc>
          <w:tcPr>
            <w:tcW w:type="dxa" w:w="1170"/>
          </w:tcPr>
          <w:p>
            <w:pPr>
              <w:spacing w:line="240" w:lineRule="auto" w:before="20" w:after="20"/>
            </w:pPr>
            <w:r/>
            <w:r>
              <w:rPr>
                <w:rFonts w:ascii="Times New Roman" w:hAnsi="Times New Roman"/>
                <w:b/>
                <w:i w:val="0"/>
                <w:sz w:val="18"/>
              </w:rPr>
              <w:t>GSE265957 D4 / D63 (translatome)</w:t>
            </w:r>
          </w:p>
        </w:tc>
        <w:tc>
          <w:tcPr>
            <w:tcW w:type="dxa" w:w="1170"/>
          </w:tcPr>
          <w:p>
            <w:pPr>
              <w:spacing w:line="240" w:lineRule="auto" w:before="20" w:after="20"/>
            </w:pPr>
            <w:r/>
            <w:r>
              <w:rPr>
                <w:rFonts w:ascii="Times New Roman" w:hAnsi="Times New Roman"/>
                <w:b/>
                <w:i w:val="0"/>
                <w:sz w:val="18"/>
              </w:rPr>
              <w:t>Bulk meta_Z</w:t>
            </w:r>
          </w:p>
        </w:tc>
        <w:tc>
          <w:tcPr>
            <w:tcW w:type="dxa" w:w="1170"/>
          </w:tcPr>
          <w:p>
            <w:pPr>
              <w:spacing w:line="240" w:lineRule="auto" w:before="20" w:after="20"/>
            </w:pPr>
            <w:r/>
            <w:r>
              <w:rPr>
                <w:rFonts w:ascii="Times New Roman" w:hAnsi="Times New Roman"/>
                <w:b/>
                <w:i w:val="0"/>
                <w:sz w:val="18"/>
              </w:rPr>
              <w:t>Bulk meta_FDR</w:t>
            </w:r>
          </w:p>
        </w:tc>
      </w:tr>
      <w:tr>
        <w:tc>
          <w:tcPr>
            <w:tcW w:type="dxa" w:w="1170"/>
          </w:tcPr>
          <w:p>
            <w:pPr>
              <w:spacing w:line="240" w:lineRule="auto" w:before="20" w:after="20"/>
            </w:pPr>
            <w:r/>
            <w:r>
              <w:rPr>
                <w:rFonts w:ascii="Times New Roman" w:hAnsi="Times New Roman"/>
                <w:b w:val="0"/>
                <w:i w:val="0"/>
                <w:sz w:val="18"/>
              </w:rPr>
              <w:t>SCN9A</w:t>
            </w:r>
          </w:p>
        </w:tc>
        <w:tc>
          <w:tcPr>
            <w:tcW w:type="dxa" w:w="1170"/>
          </w:tcPr>
          <w:p>
            <w:pPr>
              <w:spacing w:line="240" w:lineRule="auto" w:before="20" w:after="20"/>
            </w:pPr>
            <w:r/>
            <w:r>
              <w:rPr>
                <w:rFonts w:ascii="Times New Roman" w:hAnsi="Times New Roman"/>
                <w:b w:val="0"/>
                <w:i w:val="0"/>
                <w:sz w:val="18"/>
              </w:rPr>
              <w:t>UP +0.61 (Z +1.22)</w:t>
            </w:r>
          </w:p>
        </w:tc>
        <w:tc>
          <w:tcPr>
            <w:tcW w:type="dxa" w:w="1170"/>
          </w:tcPr>
          <w:p>
            <w:pPr>
              <w:spacing w:line="240" w:lineRule="auto" w:before="20" w:after="20"/>
            </w:pPr>
            <w:r/>
            <w:r>
              <w:rPr>
                <w:rFonts w:ascii="Times New Roman" w:hAnsi="Times New Roman"/>
                <w:b w:val="0"/>
                <w:i w:val="0"/>
                <w:sz w:val="18"/>
              </w:rPr>
              <w:t>DN −0.07 (Z −0.72)</w:t>
            </w:r>
          </w:p>
        </w:tc>
        <w:tc>
          <w:tcPr>
            <w:tcW w:type="dxa" w:w="1170"/>
          </w:tcPr>
          <w:p>
            <w:pPr>
              <w:spacing w:line="240" w:lineRule="auto" w:before="20" w:after="20"/>
            </w:pPr>
            <w:r/>
            <w:r>
              <w:rPr>
                <w:rFonts w:ascii="Times New Roman" w:hAnsi="Times New Roman"/>
                <w:b w:val="0"/>
                <w:i w:val="0"/>
                <w:sz w:val="18"/>
              </w:rPr>
              <w:t>DN −0.29 (Z −4.46)</w:t>
            </w:r>
          </w:p>
        </w:tc>
        <w:tc>
          <w:tcPr>
            <w:tcW w:type="dxa" w:w="1170"/>
          </w:tcPr>
          <w:p>
            <w:pPr>
              <w:spacing w:line="240" w:lineRule="auto" w:before="20" w:after="20"/>
            </w:pPr>
            <w:r/>
            <w:r>
              <w:rPr>
                <w:rFonts w:ascii="Times New Roman" w:hAnsi="Times New Roman"/>
                <w:b w:val="0"/>
                <w:i w:val="0"/>
                <w:sz w:val="18"/>
              </w:rPr>
              <w:t>DN −2.71 (Z −1.02)</w:t>
            </w:r>
          </w:p>
        </w:tc>
        <w:tc>
          <w:tcPr>
            <w:tcW w:type="dxa" w:w="1170"/>
          </w:tcPr>
          <w:p>
            <w:pPr>
              <w:spacing w:line="240" w:lineRule="auto" w:before="20" w:after="20"/>
            </w:pPr>
            <w:r/>
            <w:r>
              <w:rPr>
                <w:rFonts w:ascii="Times New Roman" w:hAnsi="Times New Roman"/>
                <w:b w:val="0"/>
                <w:i w:val="0"/>
                <w:sz w:val="18"/>
              </w:rPr>
              <w:t>DN / DN</w:t>
            </w:r>
          </w:p>
        </w:tc>
        <w:tc>
          <w:tcPr>
            <w:tcW w:type="dxa" w:w="1170"/>
          </w:tcPr>
          <w:p>
            <w:pPr>
              <w:spacing w:line="240" w:lineRule="auto" w:before="20" w:after="20"/>
            </w:pPr>
            <w:r/>
            <w:r>
              <w:rPr>
                <w:rFonts w:ascii="Times New Roman" w:hAnsi="Times New Roman"/>
                <w:b w:val="0"/>
                <w:i w:val="0"/>
                <w:sz w:val="18"/>
              </w:rPr>
              <w:t>−2.92</w:t>
            </w:r>
          </w:p>
        </w:tc>
        <w:tc>
          <w:tcPr>
            <w:tcW w:type="dxa" w:w="1170"/>
          </w:tcPr>
          <w:p>
            <w:pPr>
              <w:spacing w:line="240" w:lineRule="auto" w:before="20" w:after="20"/>
            </w:pPr>
            <w:r/>
            <w:r>
              <w:rPr>
                <w:rFonts w:ascii="Times New Roman" w:hAnsi="Times New Roman"/>
                <w:b w:val="0"/>
                <w:i w:val="0"/>
                <w:sz w:val="18"/>
              </w:rPr>
              <w:t>0.011</w:t>
            </w:r>
          </w:p>
        </w:tc>
      </w:tr>
      <w:tr>
        <w:tc>
          <w:tcPr>
            <w:tcW w:type="dxa" w:w="1170"/>
          </w:tcPr>
          <w:p>
            <w:pPr>
              <w:spacing w:line="240" w:lineRule="auto" w:before="20" w:after="20"/>
            </w:pPr>
            <w:r/>
            <w:r>
              <w:rPr>
                <w:rFonts w:ascii="Times New Roman" w:hAnsi="Times New Roman"/>
                <w:b w:val="0"/>
                <w:i w:val="0"/>
                <w:sz w:val="18"/>
              </w:rPr>
              <w:t>SCN10A</w:t>
            </w:r>
          </w:p>
        </w:tc>
        <w:tc>
          <w:tcPr>
            <w:tcW w:type="dxa" w:w="1170"/>
          </w:tcPr>
          <w:p>
            <w:pPr>
              <w:spacing w:line="240" w:lineRule="auto" w:before="20" w:after="20"/>
            </w:pPr>
            <w:r/>
            <w:r>
              <w:rPr>
                <w:rFonts w:ascii="Times New Roman" w:hAnsi="Times New Roman"/>
                <w:b w:val="0"/>
                <w:i w:val="0"/>
                <w:sz w:val="18"/>
              </w:rPr>
              <w:t>UP +0.99 (Z +1.11)</w:t>
            </w:r>
          </w:p>
        </w:tc>
        <w:tc>
          <w:tcPr>
            <w:tcW w:type="dxa" w:w="1170"/>
          </w:tcPr>
          <w:p>
            <w:pPr>
              <w:spacing w:line="240" w:lineRule="auto" w:before="20" w:after="20"/>
            </w:pPr>
            <w:r/>
            <w:r>
              <w:rPr>
                <w:rFonts w:ascii="Times New Roman" w:hAnsi="Times New Roman"/>
                <w:b w:val="0"/>
                <w:i w:val="0"/>
                <w:sz w:val="18"/>
              </w:rPr>
              <w:t>DN −0.12 (Z −0.58)</w:t>
            </w:r>
          </w:p>
        </w:tc>
        <w:tc>
          <w:tcPr>
            <w:tcW w:type="dxa" w:w="1170"/>
          </w:tcPr>
          <w:p>
            <w:pPr>
              <w:spacing w:line="240" w:lineRule="auto" w:before="20" w:after="20"/>
            </w:pPr>
            <w:r/>
            <w:r>
              <w:rPr>
                <w:rFonts w:ascii="Times New Roman" w:hAnsi="Times New Roman"/>
                <w:b w:val="0"/>
                <w:i w:val="0"/>
                <w:sz w:val="18"/>
              </w:rPr>
              <w:t>DN −0.57 (Z −4.54)</w:t>
            </w:r>
          </w:p>
        </w:tc>
        <w:tc>
          <w:tcPr>
            <w:tcW w:type="dxa" w:w="1170"/>
          </w:tcPr>
          <w:p>
            <w:pPr>
              <w:spacing w:line="240" w:lineRule="auto" w:before="20" w:after="20"/>
            </w:pPr>
            <w:r/>
            <w:r>
              <w:rPr>
                <w:rFonts w:ascii="Times New Roman" w:hAnsi="Times New Roman"/>
                <w:b w:val="0"/>
                <w:i w:val="0"/>
                <w:sz w:val="18"/>
              </w:rPr>
              <w:t>DN −3.08 (Z −1.11)</w:t>
            </w:r>
          </w:p>
        </w:tc>
        <w:tc>
          <w:tcPr>
            <w:tcW w:type="dxa" w:w="1170"/>
          </w:tcPr>
          <w:p>
            <w:pPr>
              <w:spacing w:line="240" w:lineRule="auto" w:before="20" w:after="20"/>
            </w:pPr>
            <w:r/>
            <w:r>
              <w:rPr>
                <w:rFonts w:ascii="Times New Roman" w:hAnsi="Times New Roman"/>
                <w:b w:val="0"/>
                <w:i w:val="0"/>
                <w:sz w:val="18"/>
              </w:rPr>
              <w:t>DN / DN</w:t>
            </w:r>
          </w:p>
        </w:tc>
        <w:tc>
          <w:tcPr>
            <w:tcW w:type="dxa" w:w="1170"/>
          </w:tcPr>
          <w:p>
            <w:pPr>
              <w:spacing w:line="240" w:lineRule="auto" w:before="20" w:after="20"/>
            </w:pPr>
            <w:r/>
            <w:r>
              <w:rPr>
                <w:rFonts w:ascii="Times New Roman" w:hAnsi="Times New Roman"/>
                <w:b w:val="0"/>
                <w:i w:val="0"/>
                <w:sz w:val="18"/>
              </w:rPr>
              <w:t>−3.03</w:t>
            </w:r>
          </w:p>
        </w:tc>
        <w:tc>
          <w:tcPr>
            <w:tcW w:type="dxa" w:w="1170"/>
          </w:tcPr>
          <w:p>
            <w:pPr>
              <w:spacing w:line="240" w:lineRule="auto" w:before="20" w:after="20"/>
            </w:pPr>
            <w:r/>
            <w:r>
              <w:rPr>
                <w:rFonts w:ascii="Times New Roman" w:hAnsi="Times New Roman"/>
                <w:b w:val="0"/>
                <w:i w:val="0"/>
                <w:sz w:val="18"/>
              </w:rPr>
              <w:t>0.008</w:t>
            </w:r>
          </w:p>
        </w:tc>
      </w:tr>
      <w:tr>
        <w:tc>
          <w:tcPr>
            <w:tcW w:type="dxa" w:w="1170"/>
          </w:tcPr>
          <w:p>
            <w:pPr>
              <w:spacing w:line="240" w:lineRule="auto" w:before="20" w:after="20"/>
            </w:pPr>
            <w:r/>
            <w:r>
              <w:rPr>
                <w:rFonts w:ascii="Times New Roman" w:hAnsi="Times New Roman"/>
                <w:b w:val="0"/>
                <w:i w:val="0"/>
                <w:sz w:val="18"/>
              </w:rPr>
              <w:t>SCN11A</w:t>
            </w:r>
          </w:p>
        </w:tc>
        <w:tc>
          <w:tcPr>
            <w:tcW w:type="dxa" w:w="1170"/>
          </w:tcPr>
          <w:p>
            <w:pPr>
              <w:spacing w:line="240" w:lineRule="auto" w:before="20" w:after="20"/>
            </w:pPr>
            <w:r/>
            <w:r>
              <w:rPr>
                <w:rFonts w:ascii="Times New Roman" w:hAnsi="Times New Roman"/>
                <w:b w:val="0"/>
                <w:i w:val="0"/>
                <w:sz w:val="18"/>
              </w:rPr>
              <w:t>UP +0.90 (Z +1.02)</w:t>
            </w:r>
          </w:p>
        </w:tc>
        <w:tc>
          <w:tcPr>
            <w:tcW w:type="dxa" w:w="1170"/>
          </w:tcPr>
          <w:p>
            <w:pPr>
              <w:spacing w:line="240" w:lineRule="auto" w:before="20" w:after="20"/>
            </w:pPr>
            <w:r/>
            <w:r>
              <w:rPr>
                <w:rFonts w:ascii="Times New Roman" w:hAnsi="Times New Roman"/>
                <w:b w:val="0"/>
                <w:i w:val="0"/>
                <w:sz w:val="18"/>
              </w:rPr>
              <w:t>DN −0.09 (Z −1.36)</w:t>
            </w:r>
          </w:p>
        </w:tc>
        <w:tc>
          <w:tcPr>
            <w:tcW w:type="dxa" w:w="1170"/>
          </w:tcPr>
          <w:p>
            <w:pPr>
              <w:spacing w:line="240" w:lineRule="auto" w:before="20" w:after="20"/>
            </w:pPr>
            <w:r/>
            <w:r>
              <w:rPr>
                <w:rFonts w:ascii="Times New Roman" w:hAnsi="Times New Roman"/>
                <w:b w:val="0"/>
                <w:i w:val="0"/>
                <w:sz w:val="18"/>
              </w:rPr>
              <w:t>DN −0.64 (Z −4.61)</w:t>
            </w:r>
          </w:p>
        </w:tc>
        <w:tc>
          <w:tcPr>
            <w:tcW w:type="dxa" w:w="1170"/>
          </w:tcPr>
          <w:p>
            <w:pPr>
              <w:spacing w:line="240" w:lineRule="auto" w:before="20" w:after="20"/>
            </w:pPr>
            <w:r/>
            <w:r>
              <w:rPr>
                <w:rFonts w:ascii="Times New Roman" w:hAnsi="Times New Roman"/>
                <w:b w:val="0"/>
                <w:i w:val="0"/>
                <w:sz w:val="18"/>
              </w:rPr>
              <w:t>DN −0.56 (Z −1.21)</w:t>
            </w:r>
          </w:p>
        </w:tc>
        <w:tc>
          <w:tcPr>
            <w:tcW w:type="dxa" w:w="1170"/>
          </w:tcPr>
          <w:p>
            <w:pPr>
              <w:spacing w:line="240" w:lineRule="auto" w:before="20" w:after="20"/>
            </w:pPr>
            <w:r/>
            <w:r>
              <w:rPr>
                <w:rFonts w:ascii="Times New Roman" w:hAnsi="Times New Roman"/>
                <w:b w:val="0"/>
                <w:i w:val="0"/>
                <w:sz w:val="18"/>
              </w:rPr>
              <w:t>DN / DN</w:t>
            </w:r>
          </w:p>
        </w:tc>
        <w:tc>
          <w:tcPr>
            <w:tcW w:type="dxa" w:w="1170"/>
          </w:tcPr>
          <w:p>
            <w:pPr>
              <w:spacing w:line="240" w:lineRule="auto" w:before="20" w:after="20"/>
            </w:pPr>
            <w:r/>
            <w:r>
              <w:rPr>
                <w:rFonts w:ascii="Times New Roman" w:hAnsi="Times New Roman"/>
                <w:b w:val="0"/>
                <w:i w:val="0"/>
                <w:sz w:val="18"/>
              </w:rPr>
              <w:t>−3.41</w:t>
            </w:r>
          </w:p>
        </w:tc>
        <w:tc>
          <w:tcPr>
            <w:tcW w:type="dxa" w:w="1170"/>
          </w:tcPr>
          <w:p>
            <w:pPr>
              <w:spacing w:line="240" w:lineRule="auto" w:before="20" w:after="20"/>
            </w:pPr>
            <w:r/>
            <w:r>
              <w:rPr>
                <w:rFonts w:ascii="Times New Roman" w:hAnsi="Times New Roman"/>
                <w:b w:val="0"/>
                <w:i w:val="0"/>
                <w:sz w:val="18"/>
              </w:rPr>
              <w:t>0.003</w:t>
            </w:r>
          </w:p>
        </w:tc>
      </w:tr>
      <w:tr>
        <w:tc>
          <w:tcPr>
            <w:tcW w:type="dxa" w:w="1170"/>
          </w:tcPr>
          <w:p>
            <w:pPr>
              <w:spacing w:line="240" w:lineRule="auto" w:before="20" w:after="20"/>
            </w:pPr>
            <w:r/>
            <w:r>
              <w:rPr>
                <w:rFonts w:ascii="Times New Roman" w:hAnsi="Times New Roman"/>
                <w:b w:val="0"/>
                <w:i w:val="0"/>
                <w:sz w:val="18"/>
              </w:rPr>
              <w:t>SCN8A</w:t>
            </w:r>
          </w:p>
        </w:tc>
        <w:tc>
          <w:tcPr>
            <w:tcW w:type="dxa" w:w="1170"/>
          </w:tcPr>
          <w:p>
            <w:pPr>
              <w:spacing w:line="240" w:lineRule="auto" w:before="20" w:after="20"/>
            </w:pPr>
            <w:r/>
            <w:r>
              <w:rPr>
                <w:rFonts w:ascii="Times New Roman" w:hAnsi="Times New Roman"/>
                <w:b w:val="0"/>
                <w:i w:val="0"/>
                <w:sz w:val="18"/>
              </w:rPr>
              <w:t>UP +0.99 (Z +1.23)</w:t>
            </w:r>
          </w:p>
        </w:tc>
        <w:tc>
          <w:tcPr>
            <w:tcW w:type="dxa" w:w="1170"/>
          </w:tcPr>
          <w:p>
            <w:pPr>
              <w:spacing w:line="240" w:lineRule="auto" w:before="20" w:after="20"/>
            </w:pPr>
            <w:r/>
            <w:r>
              <w:rPr>
                <w:rFonts w:ascii="Times New Roman" w:hAnsi="Times New Roman"/>
                <w:b w:val="0"/>
                <w:i w:val="0"/>
                <w:sz w:val="18"/>
              </w:rPr>
              <w:t>DN −0.39 (Z −2.63)</w:t>
            </w:r>
          </w:p>
        </w:tc>
        <w:tc>
          <w:tcPr>
            <w:tcW w:type="dxa" w:w="1170"/>
          </w:tcPr>
          <w:p>
            <w:pPr>
              <w:spacing w:line="240" w:lineRule="auto" w:before="20" w:after="20"/>
            </w:pPr>
            <w:r/>
            <w:r>
              <w:rPr>
                <w:rFonts w:ascii="Times New Roman" w:hAnsi="Times New Roman"/>
                <w:b w:val="0"/>
                <w:i w:val="0"/>
                <w:sz w:val="18"/>
              </w:rPr>
              <w:t>DN −0.75 (Z −6.73)</w:t>
            </w:r>
          </w:p>
        </w:tc>
        <w:tc>
          <w:tcPr>
            <w:tcW w:type="dxa" w:w="1170"/>
          </w:tcPr>
          <w:p>
            <w:pPr>
              <w:spacing w:line="240" w:lineRule="auto" w:before="20" w:after="20"/>
            </w:pPr>
            <w:r/>
            <w:r>
              <w:rPr>
                <w:rFonts w:ascii="Times New Roman" w:hAnsi="Times New Roman"/>
                <w:b w:val="0"/>
                <w:i w:val="0"/>
                <w:sz w:val="18"/>
              </w:rPr>
              <w:t>DN −0.30 (Z −0.71)</w:t>
            </w:r>
          </w:p>
        </w:tc>
        <w:tc>
          <w:tcPr>
            <w:tcW w:type="dxa" w:w="1170"/>
          </w:tcPr>
          <w:p>
            <w:pPr>
              <w:spacing w:line="240" w:lineRule="auto" w:before="20" w:after="20"/>
            </w:pPr>
            <w:r/>
            <w:r>
              <w:rPr>
                <w:rFonts w:ascii="Times New Roman" w:hAnsi="Times New Roman"/>
                <w:b w:val="0"/>
                <w:i w:val="0"/>
                <w:sz w:val="18"/>
              </w:rPr>
              <w:t>DN / DN</w:t>
            </w:r>
          </w:p>
        </w:tc>
        <w:tc>
          <w:tcPr>
            <w:tcW w:type="dxa" w:w="1170"/>
          </w:tcPr>
          <w:p>
            <w:pPr>
              <w:spacing w:line="240" w:lineRule="auto" w:before="20" w:after="20"/>
            </w:pPr>
            <w:r/>
            <w:r>
              <w:rPr>
                <w:rFonts w:ascii="Times New Roman" w:hAnsi="Times New Roman"/>
                <w:b w:val="0"/>
                <w:i w:val="0"/>
                <w:sz w:val="18"/>
              </w:rPr>
              <w:t>−4.92</w:t>
            </w:r>
          </w:p>
        </w:tc>
        <w:tc>
          <w:tcPr>
            <w:tcW w:type="dxa" w:w="1170"/>
          </w:tcPr>
          <w:p>
            <w:pPr>
              <w:spacing w:line="240" w:lineRule="auto" w:before="20" w:after="20"/>
            </w:pPr>
            <w:r/>
            <w:r>
              <w:rPr>
                <w:rFonts w:ascii="Times New Roman" w:hAnsi="Times New Roman"/>
                <w:b w:val="0"/>
                <w:i w:val="0"/>
                <w:sz w:val="18"/>
              </w:rPr>
              <w:t>1.0e-5</w:t>
            </w:r>
          </w:p>
        </w:tc>
      </w:tr>
    </w:tbl>
    <w:p>
      <w:pPr>
        <w:spacing w:before="0" w:after="80"/>
      </w:pPr>
    </w:p>
    <w:p>
      <w:pPr>
        <w:spacing w:before="0" w:after="40"/>
      </w:pPr>
      <w:r>
        <w:rPr>
          <w:rFonts w:ascii="Times New Roman" w:hAnsi="Times New Roman"/>
          <w:b w:val="0"/>
          <w:i w:val="0"/>
          <w:sz w:val="22"/>
        </w:rPr>
        <w:t xml:space="preserve">Source: </w:t>
      </w:r>
      <w:r>
        <w:rPr>
          <w:rFonts w:ascii="Courier New" w:hAnsi="Courier New"/>
          <w:b w:val="0"/>
          <w:i w:val="0"/>
          <w:sz w:val="22"/>
        </w:rPr>
        <w:t>results/tables/META_DRG_axis_stouffer.csv</w:t>
      </w:r>
      <w:r>
        <w:rPr>
          <w:rFonts w:ascii="Times New Roman" w:hAnsi="Times New Roman"/>
          <w:b w:val="0"/>
          <w:i w:val="0"/>
          <w:sz w:val="22"/>
        </w:rPr>
        <w:t xml:space="preserve"> (six-input primary); </w:t>
      </w:r>
      <w:r>
        <w:rPr>
          <w:rFonts w:ascii="Courier New" w:hAnsi="Courier New"/>
          <w:b w:val="0"/>
          <w:i w:val="0"/>
          <w:sz w:val="22"/>
        </w:rPr>
        <w:t>META_bulkonly_meta.csv</w:t>
      </w:r>
      <w:r>
        <w:rPr>
          <w:rFonts w:ascii="Times New Roman" w:hAnsi="Times New Roman"/>
          <w:b w:val="0"/>
          <w:i w:val="0"/>
          <w:sz w:val="22"/>
        </w:rPr>
        <w:t xml:space="preserve"> (per-gene four-bulk Stouffer meta_Z/meta_FDR — this is the 4-bulk study Stouffer analysis, not the 6-contrast primary); </w:t>
      </w:r>
      <w:r>
        <w:rPr>
          <w:rFonts w:ascii="Courier New" w:hAnsi="Courier New"/>
          <w:b w:val="0"/>
          <w:i w:val="0"/>
          <w:sz w:val="22"/>
        </w:rPr>
        <w:t>META_bulkonly_sensitivity_summary.json</w:t>
      </w:r>
      <w:r>
        <w:rPr>
          <w:rFonts w:ascii="Times New Roman" w:hAnsi="Times New Roman"/>
          <w:b w:val="0"/>
          <w:i w:val="0"/>
          <w:sz w:val="22"/>
        </w:rPr>
        <w:t xml:space="preserve"> (bulk-only gene-set and sensitivity summary). The Bulk meta_Z/meta_FDR columns in Table 1b are taken from the four-bulk Stouffer meta, not the six-contrast primary.</w:t>
      </w:r>
    </w:p>
    <w:p>
      <w:pPr>
        <w:spacing w:before="160" w:after="80"/>
      </w:pPr>
      <w:r>
        <w:rPr>
          <w:rFonts w:ascii="Times New Roman" w:hAnsi="Times New Roman"/>
          <w:b w:val="0"/>
          <w:i/>
          <w:sz w:val="18"/>
        </w:rPr>
        <w:t>Table 2. Thirty-five candidate hub genes identified by the dual-machine-learning consensus (&gt;=2 of 3 methods: LASSO bootstrap, Random Forest mean-decrease-Gini, XGBoost |SHAP|). Methods (n/3) = number of methods flagging the gene; In meta core = membership in the 2,750-gene core (meta_FDR &lt; 0.05 and consistency ≥ 0.8) (the in_meta_core boolean in P3_hub_genes.csv, rendered here as Yes/No). Source: P3_hub_genes.csv. Bootstrap stability caveat: a 200-resample bootstrap of the 72 pooled samples (P3_hub_bootstrap.csv) showed low per-gene recovery (max 100.0%, 2/35 at a &gt;=0.9 threshold: SPRR1A 1.00, ATF3 0.94); all three methods (LASSO, Random Forest, XGBoost) contributed selections under resampling, so the &gt;=2/3 consensus is not a two-method artefact), so this set is a resampling-sensitive candidate list for prospective validation, not a rigidly locked set (see Results).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tcPr>
          <w:p>
            <w:pPr>
              <w:spacing w:line="240" w:lineRule="auto" w:before="20" w:after="20"/>
            </w:pPr>
            <w:r/>
            <w:r>
              <w:rPr>
                <w:rFonts w:ascii="Times New Roman" w:hAnsi="Times New Roman"/>
                <w:b/>
                <w:i w:val="0"/>
                <w:sz w:val="17"/>
              </w:rPr>
              <w:t>Hub</w:t>
            </w:r>
          </w:p>
        </w:tc>
        <w:tc>
          <w:tcPr>
            <w:tcW w:type="dxa" w:w="1560"/>
          </w:tcPr>
          <w:p>
            <w:pPr>
              <w:spacing w:line="240" w:lineRule="auto" w:before="20" w:after="20"/>
            </w:pPr>
            <w:r/>
            <w:r>
              <w:rPr>
                <w:rFonts w:ascii="Times New Roman" w:hAnsi="Times New Roman"/>
                <w:b/>
                <w:i w:val="0"/>
                <w:sz w:val="17"/>
              </w:rPr>
              <w:t>Methods (n/3)</w:t>
            </w:r>
          </w:p>
        </w:tc>
        <w:tc>
          <w:tcPr>
            <w:tcW w:type="dxa" w:w="1560"/>
          </w:tcPr>
          <w:p>
            <w:pPr>
              <w:spacing w:line="240" w:lineRule="auto" w:before="20" w:after="20"/>
            </w:pPr>
            <w:r/>
            <w:r>
              <w:rPr>
                <w:rFonts w:ascii="Times New Roman" w:hAnsi="Times New Roman"/>
                <w:b/>
                <w:i w:val="0"/>
                <w:sz w:val="17"/>
              </w:rPr>
              <w:t>In meta core</w:t>
            </w:r>
          </w:p>
        </w:tc>
        <w:tc>
          <w:tcPr>
            <w:tcW w:type="dxa" w:w="1560"/>
          </w:tcPr>
          <w:p>
            <w:pPr>
              <w:spacing w:line="240" w:lineRule="auto" w:before="20" w:after="20"/>
            </w:pPr>
            <w:r/>
            <w:r>
              <w:rPr>
                <w:rFonts w:ascii="Times New Roman" w:hAnsi="Times New Roman"/>
                <w:b/>
                <w:i w:val="0"/>
                <w:sz w:val="17"/>
              </w:rPr>
              <w:t>LASSO freq</w:t>
            </w:r>
          </w:p>
        </w:tc>
        <w:tc>
          <w:tcPr>
            <w:tcW w:type="dxa" w:w="1560"/>
          </w:tcPr>
          <w:p>
            <w:pPr>
              <w:spacing w:line="240" w:lineRule="auto" w:before="20" w:after="20"/>
            </w:pPr>
            <w:r/>
            <w:r>
              <w:rPr>
                <w:rFonts w:ascii="Times New Roman" w:hAnsi="Times New Roman"/>
                <w:b/>
                <w:i w:val="0"/>
                <w:sz w:val="17"/>
              </w:rPr>
              <w:t>RF Gini</w:t>
            </w:r>
          </w:p>
        </w:tc>
        <w:tc>
          <w:tcPr>
            <w:tcW w:type="dxa" w:w="1560"/>
          </w:tcPr>
          <w:p>
            <w:pPr>
              <w:spacing w:line="240" w:lineRule="auto" w:before="20" w:after="20"/>
            </w:pPr>
            <w:r/>
            <w:r>
              <w:rPr>
                <w:rFonts w:ascii="Times New Roman" w:hAnsi="Times New Roman"/>
                <w:b/>
                <w:i w:val="0"/>
                <w:sz w:val="17"/>
              </w:rPr>
              <w:t>SHAP |abs|</w:t>
            </w:r>
          </w:p>
        </w:tc>
      </w:tr>
      <w:tr>
        <w:tc>
          <w:tcPr>
            <w:tcW w:type="dxa" w:w="1560"/>
          </w:tcPr>
          <w:p>
            <w:pPr>
              <w:spacing w:line="240" w:lineRule="auto" w:before="20" w:after="20"/>
            </w:pPr>
            <w:r/>
            <w:r>
              <w:rPr>
                <w:rFonts w:ascii="Times New Roman" w:hAnsi="Times New Roman"/>
                <w:b w:val="0"/>
                <w:i w:val="0"/>
                <w:sz w:val="17"/>
              </w:rPr>
              <w:t>SPRR1A</w:t>
            </w:r>
          </w:p>
        </w:tc>
        <w:tc>
          <w:tcPr>
            <w:tcW w:type="dxa" w:w="1560"/>
          </w:tcPr>
          <w:p>
            <w:pPr>
              <w:spacing w:line="240" w:lineRule="auto" w:before="20" w:after="20"/>
            </w:pPr>
            <w:r/>
            <w:r>
              <w:rPr>
                <w:rFonts w:ascii="Times New Roman" w:hAnsi="Times New Roman"/>
                <w:b w:val="0"/>
                <w:i w:val="0"/>
                <w:sz w:val="17"/>
              </w:rPr>
              <w:t>3</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0.96</w:t>
            </w:r>
          </w:p>
        </w:tc>
        <w:tc>
          <w:tcPr>
            <w:tcW w:type="dxa" w:w="1560"/>
          </w:tcPr>
          <w:p>
            <w:pPr>
              <w:spacing w:line="240" w:lineRule="auto" w:before="20" w:after="20"/>
            </w:pPr>
            <w:r/>
            <w:r>
              <w:rPr>
                <w:rFonts w:ascii="Times New Roman" w:hAnsi="Times New Roman"/>
                <w:b w:val="0"/>
                <w:i w:val="0"/>
                <w:sz w:val="17"/>
              </w:rPr>
              <w:t>0.0335</w:t>
            </w:r>
          </w:p>
        </w:tc>
        <w:tc>
          <w:tcPr>
            <w:tcW w:type="dxa" w:w="1560"/>
          </w:tcPr>
          <w:p>
            <w:pPr>
              <w:spacing w:line="240" w:lineRule="auto" w:before="20" w:after="20"/>
            </w:pPr>
            <w:r/>
            <w:r>
              <w:rPr>
                <w:rFonts w:ascii="Times New Roman" w:hAnsi="Times New Roman"/>
                <w:b w:val="0"/>
                <w:i w:val="0"/>
                <w:sz w:val="17"/>
              </w:rPr>
              <w:t>1.0427</w:t>
            </w:r>
          </w:p>
        </w:tc>
      </w:tr>
      <w:tr>
        <w:tc>
          <w:tcPr>
            <w:tcW w:type="dxa" w:w="1560"/>
          </w:tcPr>
          <w:p>
            <w:pPr>
              <w:spacing w:line="240" w:lineRule="auto" w:before="20" w:after="20"/>
            </w:pPr>
            <w:r/>
            <w:r>
              <w:rPr>
                <w:rFonts w:ascii="Times New Roman" w:hAnsi="Times New Roman"/>
                <w:b w:val="0"/>
                <w:i w:val="0"/>
                <w:sz w:val="17"/>
              </w:rPr>
              <w:t>ATF3</w:t>
            </w:r>
          </w:p>
        </w:tc>
        <w:tc>
          <w:tcPr>
            <w:tcW w:type="dxa" w:w="1560"/>
          </w:tcPr>
          <w:p>
            <w:pPr>
              <w:spacing w:line="240" w:lineRule="auto" w:before="20" w:after="20"/>
            </w:pPr>
            <w:r/>
            <w:r>
              <w:rPr>
                <w:rFonts w:ascii="Times New Roman" w:hAnsi="Times New Roman"/>
                <w:b w:val="0"/>
                <w:i w:val="0"/>
                <w:sz w:val="17"/>
              </w:rPr>
              <w:t>3</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0.85</w:t>
            </w:r>
          </w:p>
        </w:tc>
        <w:tc>
          <w:tcPr>
            <w:tcW w:type="dxa" w:w="1560"/>
          </w:tcPr>
          <w:p>
            <w:pPr>
              <w:spacing w:line="240" w:lineRule="auto" w:before="20" w:after="20"/>
            </w:pPr>
            <w:r/>
            <w:r>
              <w:rPr>
                <w:rFonts w:ascii="Times New Roman" w:hAnsi="Times New Roman"/>
                <w:b w:val="0"/>
                <w:i w:val="0"/>
                <w:sz w:val="17"/>
              </w:rPr>
              <w:t>0.0238</w:t>
            </w:r>
          </w:p>
        </w:tc>
        <w:tc>
          <w:tcPr>
            <w:tcW w:type="dxa" w:w="1560"/>
          </w:tcPr>
          <w:p>
            <w:pPr>
              <w:spacing w:line="240" w:lineRule="auto" w:before="20" w:after="20"/>
            </w:pPr>
            <w:r/>
            <w:r>
              <w:rPr>
                <w:rFonts w:ascii="Times New Roman" w:hAnsi="Times New Roman"/>
                <w:b w:val="0"/>
                <w:i w:val="0"/>
                <w:sz w:val="17"/>
              </w:rPr>
              <w:t>0.1452</w:t>
            </w:r>
          </w:p>
        </w:tc>
      </w:tr>
      <w:tr>
        <w:tc>
          <w:tcPr>
            <w:tcW w:type="dxa" w:w="1560"/>
          </w:tcPr>
          <w:p>
            <w:pPr>
              <w:spacing w:line="240" w:lineRule="auto" w:before="20" w:after="20"/>
            </w:pPr>
            <w:r/>
            <w:r>
              <w:rPr>
                <w:rFonts w:ascii="Times New Roman" w:hAnsi="Times New Roman"/>
                <w:b w:val="0"/>
                <w:i w:val="0"/>
                <w:sz w:val="17"/>
              </w:rPr>
              <w:t>TFE3</w:t>
            </w:r>
          </w:p>
        </w:tc>
        <w:tc>
          <w:tcPr>
            <w:tcW w:type="dxa" w:w="1560"/>
          </w:tcPr>
          <w:p>
            <w:pPr>
              <w:spacing w:line="240" w:lineRule="auto" w:before="20" w:after="20"/>
            </w:pPr>
            <w:r/>
            <w:r>
              <w:rPr>
                <w:rFonts w:ascii="Times New Roman" w:hAnsi="Times New Roman"/>
                <w:b w:val="0"/>
                <w:i w:val="0"/>
                <w:sz w:val="17"/>
              </w:rPr>
              <w:t>3</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0.62</w:t>
            </w:r>
          </w:p>
        </w:tc>
        <w:tc>
          <w:tcPr>
            <w:tcW w:type="dxa" w:w="1560"/>
          </w:tcPr>
          <w:p>
            <w:pPr>
              <w:spacing w:line="240" w:lineRule="auto" w:before="20" w:after="20"/>
            </w:pPr>
            <w:r/>
            <w:r>
              <w:rPr>
                <w:rFonts w:ascii="Times New Roman" w:hAnsi="Times New Roman"/>
                <w:b w:val="0"/>
                <w:i w:val="0"/>
                <w:sz w:val="17"/>
              </w:rPr>
              <w:t>0.0229</w:t>
            </w:r>
          </w:p>
        </w:tc>
        <w:tc>
          <w:tcPr>
            <w:tcW w:type="dxa" w:w="1560"/>
          </w:tcPr>
          <w:p>
            <w:pPr>
              <w:spacing w:line="240" w:lineRule="auto" w:before="20" w:after="20"/>
            </w:pPr>
            <w:r/>
            <w:r>
              <w:rPr>
                <w:rFonts w:ascii="Times New Roman" w:hAnsi="Times New Roman"/>
                <w:b w:val="0"/>
                <w:i w:val="0"/>
                <w:sz w:val="17"/>
              </w:rPr>
              <w:t>0.2036</w:t>
            </w:r>
          </w:p>
        </w:tc>
      </w:tr>
      <w:tr>
        <w:tc>
          <w:tcPr>
            <w:tcW w:type="dxa" w:w="1560"/>
          </w:tcPr>
          <w:p>
            <w:pPr>
              <w:spacing w:line="240" w:lineRule="auto" w:before="20" w:after="20"/>
            </w:pPr>
            <w:r/>
            <w:r>
              <w:rPr>
                <w:rFonts w:ascii="Times New Roman" w:hAnsi="Times New Roman"/>
                <w:b w:val="0"/>
                <w:i w:val="0"/>
                <w:sz w:val="17"/>
              </w:rPr>
              <w:t>CDHR5</w:t>
            </w:r>
          </w:p>
        </w:tc>
        <w:tc>
          <w:tcPr>
            <w:tcW w:type="dxa" w:w="1560"/>
          </w:tcPr>
          <w:p>
            <w:pPr>
              <w:spacing w:line="240" w:lineRule="auto" w:before="20" w:after="20"/>
            </w:pPr>
            <w:r/>
            <w:r>
              <w:rPr>
                <w:rFonts w:ascii="Times New Roman" w:hAnsi="Times New Roman"/>
                <w:b w:val="0"/>
                <w:i w:val="0"/>
                <w:sz w:val="17"/>
              </w:rPr>
              <w:t>3</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0.79</w:t>
            </w:r>
          </w:p>
        </w:tc>
        <w:tc>
          <w:tcPr>
            <w:tcW w:type="dxa" w:w="1560"/>
          </w:tcPr>
          <w:p>
            <w:pPr>
              <w:spacing w:line="240" w:lineRule="auto" w:before="20" w:after="20"/>
            </w:pPr>
            <w:r/>
            <w:r>
              <w:rPr>
                <w:rFonts w:ascii="Times New Roman" w:hAnsi="Times New Roman"/>
                <w:b w:val="0"/>
                <w:i w:val="0"/>
                <w:sz w:val="17"/>
              </w:rPr>
              <w:t>0.0117</w:t>
            </w:r>
          </w:p>
        </w:tc>
        <w:tc>
          <w:tcPr>
            <w:tcW w:type="dxa" w:w="1560"/>
          </w:tcPr>
          <w:p>
            <w:pPr>
              <w:spacing w:line="240" w:lineRule="auto" w:before="20" w:after="20"/>
            </w:pPr>
            <w:r/>
            <w:r>
              <w:rPr>
                <w:rFonts w:ascii="Times New Roman" w:hAnsi="Times New Roman"/>
                <w:b w:val="0"/>
                <w:i w:val="0"/>
                <w:sz w:val="17"/>
              </w:rPr>
              <w:t>0.3193</w:t>
            </w:r>
          </w:p>
        </w:tc>
      </w:tr>
      <w:tr>
        <w:tc>
          <w:tcPr>
            <w:tcW w:type="dxa" w:w="1560"/>
          </w:tcPr>
          <w:p>
            <w:pPr>
              <w:spacing w:line="240" w:lineRule="auto" w:before="20" w:after="20"/>
            </w:pPr>
            <w:r/>
            <w:r>
              <w:rPr>
                <w:rFonts w:ascii="Times New Roman" w:hAnsi="Times New Roman"/>
                <w:b w:val="0"/>
                <w:i w:val="0"/>
                <w:sz w:val="17"/>
              </w:rPr>
              <w:t>GALNS</w:t>
            </w:r>
          </w:p>
        </w:tc>
        <w:tc>
          <w:tcPr>
            <w:tcW w:type="dxa" w:w="1560"/>
          </w:tcPr>
          <w:p>
            <w:pPr>
              <w:spacing w:line="240" w:lineRule="auto" w:before="20" w:after="20"/>
            </w:pPr>
            <w:r/>
            <w:r>
              <w:rPr>
                <w:rFonts w:ascii="Times New Roman" w:hAnsi="Times New Roman"/>
                <w:b w:val="0"/>
                <w:i w:val="0"/>
                <w:sz w:val="17"/>
              </w:rPr>
              <w:t>3</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0.78</w:t>
            </w:r>
          </w:p>
        </w:tc>
        <w:tc>
          <w:tcPr>
            <w:tcW w:type="dxa" w:w="1560"/>
          </w:tcPr>
          <w:p>
            <w:pPr>
              <w:spacing w:line="240" w:lineRule="auto" w:before="20" w:after="20"/>
            </w:pPr>
            <w:r/>
            <w:r>
              <w:rPr>
                <w:rFonts w:ascii="Times New Roman" w:hAnsi="Times New Roman"/>
                <w:b w:val="0"/>
                <w:i w:val="0"/>
                <w:sz w:val="17"/>
              </w:rPr>
              <w:t>0.0046</w:t>
            </w:r>
          </w:p>
        </w:tc>
        <w:tc>
          <w:tcPr>
            <w:tcW w:type="dxa" w:w="1560"/>
          </w:tcPr>
          <w:p>
            <w:pPr>
              <w:spacing w:line="240" w:lineRule="auto" w:before="20" w:after="20"/>
            </w:pPr>
            <w:r/>
            <w:r>
              <w:rPr>
                <w:rFonts w:ascii="Times New Roman" w:hAnsi="Times New Roman"/>
                <w:b w:val="0"/>
                <w:i w:val="0"/>
                <w:sz w:val="17"/>
              </w:rPr>
              <w:t>0.0450</w:t>
            </w:r>
          </w:p>
        </w:tc>
      </w:tr>
      <w:tr>
        <w:tc>
          <w:tcPr>
            <w:tcW w:type="dxa" w:w="1560"/>
          </w:tcPr>
          <w:p>
            <w:pPr>
              <w:spacing w:line="240" w:lineRule="auto" w:before="20" w:after="20"/>
            </w:pPr>
            <w:r/>
            <w:r>
              <w:rPr>
                <w:rFonts w:ascii="Times New Roman" w:hAnsi="Times New Roman"/>
                <w:b w:val="0"/>
                <w:i w:val="0"/>
                <w:sz w:val="17"/>
              </w:rPr>
              <w:t>CHL1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0.06</w:t>
            </w:r>
          </w:p>
        </w:tc>
        <w:tc>
          <w:tcPr>
            <w:tcW w:type="dxa" w:w="1560"/>
          </w:tcPr>
          <w:p>
            <w:pPr>
              <w:spacing w:line="240" w:lineRule="auto" w:before="20" w:after="20"/>
            </w:pPr>
            <w:r/>
            <w:r>
              <w:rPr>
                <w:rFonts w:ascii="Times New Roman" w:hAnsi="Times New Roman"/>
                <w:b w:val="0"/>
                <w:i w:val="0"/>
                <w:sz w:val="17"/>
              </w:rPr>
              <w:t>0.0204</w:t>
            </w:r>
          </w:p>
        </w:tc>
        <w:tc>
          <w:tcPr>
            <w:tcW w:type="dxa" w:w="1560"/>
          </w:tcPr>
          <w:p>
            <w:pPr>
              <w:spacing w:line="240" w:lineRule="auto" w:before="20" w:after="20"/>
            </w:pPr>
            <w:r/>
            <w:r>
              <w:rPr>
                <w:rFonts w:ascii="Times New Roman" w:hAnsi="Times New Roman"/>
                <w:b w:val="0"/>
                <w:i w:val="0"/>
                <w:sz w:val="17"/>
              </w:rPr>
              <w:t>0.1204</w:t>
            </w:r>
          </w:p>
        </w:tc>
      </w:tr>
      <w:tr>
        <w:tc>
          <w:tcPr>
            <w:tcW w:type="dxa" w:w="1560"/>
          </w:tcPr>
          <w:p>
            <w:pPr>
              <w:spacing w:line="240" w:lineRule="auto" w:before="20" w:after="20"/>
            </w:pPr>
            <w:r/>
            <w:r>
              <w:rPr>
                <w:rFonts w:ascii="Times New Roman" w:hAnsi="Times New Roman"/>
                <w:b w:val="0"/>
                <w:i w:val="0"/>
                <w:sz w:val="17"/>
              </w:rPr>
              <w:t>FLNC</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0.04</w:t>
            </w:r>
          </w:p>
        </w:tc>
        <w:tc>
          <w:tcPr>
            <w:tcW w:type="dxa" w:w="1560"/>
          </w:tcPr>
          <w:p>
            <w:pPr>
              <w:spacing w:line="240" w:lineRule="auto" w:before="20" w:after="20"/>
            </w:pPr>
            <w:r/>
            <w:r>
              <w:rPr>
                <w:rFonts w:ascii="Times New Roman" w:hAnsi="Times New Roman"/>
                <w:b w:val="0"/>
                <w:i w:val="0"/>
                <w:sz w:val="17"/>
              </w:rPr>
              <w:t>0.0195</w:t>
            </w:r>
          </w:p>
        </w:tc>
        <w:tc>
          <w:tcPr>
            <w:tcW w:type="dxa" w:w="1560"/>
          </w:tcPr>
          <w:p>
            <w:pPr>
              <w:spacing w:line="240" w:lineRule="auto" w:before="20" w:after="20"/>
            </w:pPr>
            <w:r/>
            <w:r>
              <w:rPr>
                <w:rFonts w:ascii="Times New Roman" w:hAnsi="Times New Roman"/>
                <w:b w:val="0"/>
                <w:i w:val="0"/>
                <w:sz w:val="17"/>
              </w:rPr>
              <w:t>0.3398</w:t>
            </w:r>
          </w:p>
        </w:tc>
      </w:tr>
      <w:tr>
        <w:tc>
          <w:tcPr>
            <w:tcW w:type="dxa" w:w="1560"/>
          </w:tcPr>
          <w:p>
            <w:pPr>
              <w:spacing w:line="240" w:lineRule="auto" w:before="20" w:after="20"/>
            </w:pPr>
            <w:r/>
            <w:r>
              <w:rPr>
                <w:rFonts w:ascii="Times New Roman" w:hAnsi="Times New Roman"/>
                <w:b w:val="0"/>
                <w:i w:val="0"/>
                <w:sz w:val="17"/>
              </w:rPr>
              <w:t>RNF19B</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0.03</w:t>
            </w:r>
          </w:p>
        </w:tc>
        <w:tc>
          <w:tcPr>
            <w:tcW w:type="dxa" w:w="1560"/>
          </w:tcPr>
          <w:p>
            <w:pPr>
              <w:spacing w:line="240" w:lineRule="auto" w:before="20" w:after="20"/>
            </w:pPr>
            <w:r/>
            <w:r>
              <w:rPr>
                <w:rFonts w:ascii="Times New Roman" w:hAnsi="Times New Roman"/>
                <w:b w:val="0"/>
                <w:i w:val="0"/>
                <w:sz w:val="17"/>
              </w:rPr>
              <w:t>0.0188</w:t>
            </w:r>
          </w:p>
        </w:tc>
        <w:tc>
          <w:tcPr>
            <w:tcW w:type="dxa" w:w="1560"/>
          </w:tcPr>
          <w:p>
            <w:pPr>
              <w:spacing w:line="240" w:lineRule="auto" w:before="20" w:after="20"/>
            </w:pPr>
            <w:r/>
            <w:r>
              <w:rPr>
                <w:rFonts w:ascii="Times New Roman" w:hAnsi="Times New Roman"/>
                <w:b w:val="0"/>
                <w:i w:val="0"/>
                <w:sz w:val="17"/>
              </w:rPr>
              <w:t>0.5359</w:t>
            </w:r>
          </w:p>
        </w:tc>
      </w:tr>
      <w:tr>
        <w:tc>
          <w:tcPr>
            <w:tcW w:type="dxa" w:w="1560"/>
          </w:tcPr>
          <w:p>
            <w:pPr>
              <w:spacing w:line="240" w:lineRule="auto" w:before="20" w:after="20"/>
            </w:pPr>
            <w:r/>
            <w:r>
              <w:rPr>
                <w:rFonts w:ascii="Times New Roman" w:hAnsi="Times New Roman"/>
                <w:b w:val="0"/>
                <w:i w:val="0"/>
                <w:sz w:val="17"/>
              </w:rPr>
              <w:t>SRRM4</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0.38</w:t>
            </w:r>
          </w:p>
        </w:tc>
        <w:tc>
          <w:tcPr>
            <w:tcW w:type="dxa" w:w="1560"/>
          </w:tcPr>
          <w:p>
            <w:pPr>
              <w:spacing w:line="240" w:lineRule="auto" w:before="20" w:after="20"/>
            </w:pPr>
            <w:r/>
            <w:r>
              <w:rPr>
                <w:rFonts w:ascii="Times New Roman" w:hAnsi="Times New Roman"/>
                <w:b w:val="0"/>
                <w:i w:val="0"/>
                <w:sz w:val="17"/>
              </w:rPr>
              <w:t>0.0162</w:t>
            </w:r>
          </w:p>
        </w:tc>
        <w:tc>
          <w:tcPr>
            <w:tcW w:type="dxa" w:w="1560"/>
          </w:tcPr>
          <w:p>
            <w:pPr>
              <w:spacing w:line="240" w:lineRule="auto" w:before="20" w:after="20"/>
            </w:pPr>
            <w:r/>
            <w:r>
              <w:rPr>
                <w:rFonts w:ascii="Times New Roman" w:hAnsi="Times New Roman"/>
                <w:b w:val="0"/>
                <w:i w:val="0"/>
                <w:sz w:val="17"/>
              </w:rPr>
              <w:t>0.0797</w:t>
            </w:r>
          </w:p>
        </w:tc>
      </w:tr>
      <w:tr>
        <w:tc>
          <w:tcPr>
            <w:tcW w:type="dxa" w:w="1560"/>
          </w:tcPr>
          <w:p>
            <w:pPr>
              <w:spacing w:line="240" w:lineRule="auto" w:before="20" w:after="20"/>
            </w:pPr>
            <w:r/>
            <w:r>
              <w:rPr>
                <w:rFonts w:ascii="Times New Roman" w:hAnsi="Times New Roman"/>
                <w:b w:val="0"/>
                <w:i w:val="0"/>
                <w:sz w:val="17"/>
              </w:rPr>
              <w:t>ECEL1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0.17</w:t>
            </w:r>
          </w:p>
        </w:tc>
        <w:tc>
          <w:tcPr>
            <w:tcW w:type="dxa" w:w="1560"/>
          </w:tcPr>
          <w:p>
            <w:pPr>
              <w:spacing w:line="240" w:lineRule="auto" w:before="20" w:after="20"/>
            </w:pPr>
            <w:r/>
            <w:r>
              <w:rPr>
                <w:rFonts w:ascii="Times New Roman" w:hAnsi="Times New Roman"/>
                <w:b w:val="0"/>
                <w:i w:val="0"/>
                <w:sz w:val="17"/>
              </w:rPr>
              <w:t>0.0159</w:t>
            </w:r>
          </w:p>
        </w:tc>
        <w:tc>
          <w:tcPr>
            <w:tcW w:type="dxa" w:w="1560"/>
          </w:tcPr>
          <w:p>
            <w:pPr>
              <w:spacing w:line="240" w:lineRule="auto" w:before="20" w:after="20"/>
            </w:pPr>
            <w:r/>
            <w:r>
              <w:rPr>
                <w:rFonts w:ascii="Times New Roman" w:hAnsi="Times New Roman"/>
                <w:b w:val="0"/>
                <w:i w:val="0"/>
                <w:sz w:val="17"/>
              </w:rPr>
              <w:t>0.1288</w:t>
            </w:r>
          </w:p>
        </w:tc>
      </w:tr>
      <w:tr>
        <w:tc>
          <w:tcPr>
            <w:tcW w:type="dxa" w:w="1560"/>
          </w:tcPr>
          <w:p>
            <w:pPr>
              <w:spacing w:line="240" w:lineRule="auto" w:before="20" w:after="20"/>
            </w:pPr>
            <w:r/>
            <w:r>
              <w:rPr>
                <w:rFonts w:ascii="Times New Roman" w:hAnsi="Times New Roman"/>
                <w:b w:val="0"/>
                <w:i w:val="0"/>
                <w:sz w:val="17"/>
              </w:rPr>
              <w:t>FLRT3</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0.07</w:t>
            </w:r>
          </w:p>
        </w:tc>
        <w:tc>
          <w:tcPr>
            <w:tcW w:type="dxa" w:w="1560"/>
          </w:tcPr>
          <w:p>
            <w:pPr>
              <w:spacing w:line="240" w:lineRule="auto" w:before="20" w:after="20"/>
            </w:pPr>
            <w:r/>
            <w:r>
              <w:rPr>
                <w:rFonts w:ascii="Times New Roman" w:hAnsi="Times New Roman"/>
                <w:b w:val="0"/>
                <w:i w:val="0"/>
                <w:sz w:val="17"/>
              </w:rPr>
              <w:t>0.0157</w:t>
            </w:r>
          </w:p>
        </w:tc>
        <w:tc>
          <w:tcPr>
            <w:tcW w:type="dxa" w:w="1560"/>
          </w:tcPr>
          <w:p>
            <w:pPr>
              <w:spacing w:line="240" w:lineRule="auto" w:before="20" w:after="20"/>
            </w:pPr>
            <w:r/>
            <w:r>
              <w:rPr>
                <w:rFonts w:ascii="Times New Roman" w:hAnsi="Times New Roman"/>
                <w:b w:val="0"/>
                <w:i w:val="0"/>
                <w:sz w:val="17"/>
              </w:rPr>
              <w:t>0.1196</w:t>
            </w:r>
          </w:p>
        </w:tc>
      </w:tr>
      <w:tr>
        <w:tc>
          <w:tcPr>
            <w:tcW w:type="dxa" w:w="1560"/>
          </w:tcPr>
          <w:p>
            <w:pPr>
              <w:spacing w:line="240" w:lineRule="auto" w:before="20" w:after="20"/>
            </w:pPr>
            <w:r/>
            <w:r>
              <w:rPr>
                <w:rFonts w:ascii="Times New Roman" w:hAnsi="Times New Roman"/>
                <w:b w:val="0"/>
                <w:i w:val="0"/>
                <w:sz w:val="17"/>
              </w:rPr>
              <w:t>PTPN23</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0.50</w:t>
            </w:r>
          </w:p>
        </w:tc>
        <w:tc>
          <w:tcPr>
            <w:tcW w:type="dxa" w:w="1560"/>
          </w:tcPr>
          <w:p>
            <w:pPr>
              <w:spacing w:line="240" w:lineRule="auto" w:before="20" w:after="20"/>
            </w:pPr>
            <w:r/>
            <w:r>
              <w:rPr>
                <w:rFonts w:ascii="Times New Roman" w:hAnsi="Times New Roman"/>
                <w:b w:val="0"/>
                <w:i w:val="0"/>
                <w:sz w:val="17"/>
              </w:rPr>
              <w:t>0.0152</w:t>
            </w:r>
          </w:p>
        </w:tc>
        <w:tc>
          <w:tcPr>
            <w:tcW w:type="dxa" w:w="1560"/>
          </w:tcPr>
          <w:p>
            <w:pPr>
              <w:spacing w:line="240" w:lineRule="auto" w:before="20" w:after="20"/>
            </w:pPr>
            <w:r/>
            <w:r>
              <w:rPr>
                <w:rFonts w:ascii="Times New Roman" w:hAnsi="Times New Roman"/>
                <w:b w:val="0"/>
                <w:i w:val="0"/>
                <w:sz w:val="17"/>
              </w:rPr>
              <w:t>0.0920</w:t>
            </w:r>
          </w:p>
        </w:tc>
      </w:tr>
      <w:tr>
        <w:tc>
          <w:tcPr>
            <w:tcW w:type="dxa" w:w="1560"/>
          </w:tcPr>
          <w:p>
            <w:pPr>
              <w:spacing w:line="240" w:lineRule="auto" w:before="20" w:after="20"/>
            </w:pPr>
            <w:r/>
            <w:r>
              <w:rPr>
                <w:rFonts w:ascii="Times New Roman" w:hAnsi="Times New Roman"/>
                <w:b w:val="0"/>
                <w:i w:val="0"/>
                <w:sz w:val="17"/>
              </w:rPr>
              <w:t>MAPK14</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0.01</w:t>
            </w:r>
          </w:p>
        </w:tc>
        <w:tc>
          <w:tcPr>
            <w:tcW w:type="dxa" w:w="1560"/>
          </w:tcPr>
          <w:p>
            <w:pPr>
              <w:spacing w:line="240" w:lineRule="auto" w:before="20" w:after="20"/>
            </w:pPr>
            <w:r/>
            <w:r>
              <w:rPr>
                <w:rFonts w:ascii="Times New Roman" w:hAnsi="Times New Roman"/>
                <w:b w:val="0"/>
                <w:i w:val="0"/>
                <w:sz w:val="17"/>
              </w:rPr>
              <w:t>0.0128</w:t>
            </w:r>
          </w:p>
        </w:tc>
        <w:tc>
          <w:tcPr>
            <w:tcW w:type="dxa" w:w="1560"/>
          </w:tcPr>
          <w:p>
            <w:pPr>
              <w:spacing w:line="240" w:lineRule="auto" w:before="20" w:after="20"/>
            </w:pPr>
            <w:r/>
            <w:r>
              <w:rPr>
                <w:rFonts w:ascii="Times New Roman" w:hAnsi="Times New Roman"/>
                <w:b w:val="0"/>
                <w:i w:val="0"/>
                <w:sz w:val="17"/>
              </w:rPr>
              <w:t>0.0575</w:t>
            </w:r>
          </w:p>
        </w:tc>
      </w:tr>
      <w:tr>
        <w:tc>
          <w:tcPr>
            <w:tcW w:type="dxa" w:w="1560"/>
          </w:tcPr>
          <w:p>
            <w:pPr>
              <w:spacing w:line="240" w:lineRule="auto" w:before="20" w:after="20"/>
            </w:pPr>
            <w:r/>
            <w:r>
              <w:rPr>
                <w:rFonts w:ascii="Times New Roman" w:hAnsi="Times New Roman"/>
                <w:b w:val="0"/>
                <w:i w:val="0"/>
                <w:sz w:val="17"/>
              </w:rPr>
              <w:t>VASH2</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0.00</w:t>
            </w:r>
          </w:p>
        </w:tc>
        <w:tc>
          <w:tcPr>
            <w:tcW w:type="dxa" w:w="1560"/>
          </w:tcPr>
          <w:p>
            <w:pPr>
              <w:spacing w:line="240" w:lineRule="auto" w:before="20" w:after="20"/>
            </w:pPr>
            <w:r/>
            <w:r>
              <w:rPr>
                <w:rFonts w:ascii="Times New Roman" w:hAnsi="Times New Roman"/>
                <w:b w:val="0"/>
                <w:i w:val="0"/>
                <w:sz w:val="17"/>
              </w:rPr>
              <w:t>0.0121</w:t>
            </w:r>
          </w:p>
        </w:tc>
        <w:tc>
          <w:tcPr>
            <w:tcW w:type="dxa" w:w="1560"/>
          </w:tcPr>
          <w:p>
            <w:pPr>
              <w:spacing w:line="240" w:lineRule="auto" w:before="20" w:after="20"/>
            </w:pPr>
            <w:r/>
            <w:r>
              <w:rPr>
                <w:rFonts w:ascii="Times New Roman" w:hAnsi="Times New Roman"/>
                <w:b w:val="0"/>
                <w:i w:val="0"/>
                <w:sz w:val="17"/>
              </w:rPr>
              <w:t>0.1053</w:t>
            </w:r>
          </w:p>
        </w:tc>
      </w:tr>
      <w:tr>
        <w:tc>
          <w:tcPr>
            <w:tcW w:type="dxa" w:w="1560"/>
          </w:tcPr>
          <w:p>
            <w:pPr>
              <w:spacing w:line="240" w:lineRule="auto" w:before="20" w:after="20"/>
            </w:pPr>
            <w:r/>
            <w:r>
              <w:rPr>
                <w:rFonts w:ascii="Times New Roman" w:hAnsi="Times New Roman"/>
                <w:b w:val="0"/>
                <w:i w:val="0"/>
                <w:sz w:val="17"/>
              </w:rPr>
              <w:t>TNIK</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0.11</w:t>
            </w:r>
          </w:p>
        </w:tc>
        <w:tc>
          <w:tcPr>
            <w:tcW w:type="dxa" w:w="1560"/>
          </w:tcPr>
          <w:p>
            <w:pPr>
              <w:spacing w:line="240" w:lineRule="auto" w:before="20" w:after="20"/>
            </w:pPr>
            <w:r/>
            <w:r>
              <w:rPr>
                <w:rFonts w:ascii="Times New Roman" w:hAnsi="Times New Roman"/>
                <w:b w:val="0"/>
                <w:i w:val="0"/>
                <w:sz w:val="17"/>
              </w:rPr>
              <w:t>0.0107</w:t>
            </w:r>
          </w:p>
        </w:tc>
        <w:tc>
          <w:tcPr>
            <w:tcW w:type="dxa" w:w="1560"/>
          </w:tcPr>
          <w:p>
            <w:pPr>
              <w:spacing w:line="240" w:lineRule="auto" w:before="20" w:after="20"/>
            </w:pPr>
            <w:r/>
            <w:r>
              <w:rPr>
                <w:rFonts w:ascii="Times New Roman" w:hAnsi="Times New Roman"/>
                <w:b w:val="0"/>
                <w:i w:val="0"/>
                <w:sz w:val="17"/>
              </w:rPr>
              <w:t>0.0490</w:t>
            </w:r>
          </w:p>
        </w:tc>
      </w:tr>
      <w:tr>
        <w:tc>
          <w:tcPr>
            <w:tcW w:type="dxa" w:w="1560"/>
          </w:tcPr>
          <w:p>
            <w:pPr>
              <w:spacing w:line="240" w:lineRule="auto" w:before="20" w:after="20"/>
            </w:pPr>
            <w:r/>
            <w:r>
              <w:rPr>
                <w:rFonts w:ascii="Times New Roman" w:hAnsi="Times New Roman"/>
                <w:b w:val="0"/>
                <w:i w:val="0"/>
                <w:sz w:val="17"/>
              </w:rPr>
              <w:t>WDR81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0.25</w:t>
            </w:r>
          </w:p>
        </w:tc>
        <w:tc>
          <w:tcPr>
            <w:tcW w:type="dxa" w:w="1560"/>
          </w:tcPr>
          <w:p>
            <w:pPr>
              <w:spacing w:line="240" w:lineRule="auto" w:before="20" w:after="20"/>
            </w:pPr>
            <w:r/>
            <w:r>
              <w:rPr>
                <w:rFonts w:ascii="Times New Roman" w:hAnsi="Times New Roman"/>
                <w:b w:val="0"/>
                <w:i w:val="0"/>
                <w:sz w:val="17"/>
              </w:rPr>
              <w:t>0.0099</w:t>
            </w:r>
          </w:p>
        </w:tc>
        <w:tc>
          <w:tcPr>
            <w:tcW w:type="dxa" w:w="1560"/>
          </w:tcPr>
          <w:p>
            <w:pPr>
              <w:spacing w:line="240" w:lineRule="auto" w:before="20" w:after="20"/>
            </w:pPr>
            <w:r/>
            <w:r>
              <w:rPr>
                <w:rFonts w:ascii="Times New Roman" w:hAnsi="Times New Roman"/>
                <w:b w:val="0"/>
                <w:i w:val="0"/>
                <w:sz w:val="17"/>
              </w:rPr>
              <w:t>0.0440</w:t>
            </w:r>
          </w:p>
        </w:tc>
      </w:tr>
      <w:tr>
        <w:tc>
          <w:tcPr>
            <w:tcW w:type="dxa" w:w="1560"/>
          </w:tcPr>
          <w:p>
            <w:pPr>
              <w:spacing w:line="240" w:lineRule="auto" w:before="20" w:after="20"/>
            </w:pPr>
            <w:r/>
            <w:r>
              <w:rPr>
                <w:rFonts w:ascii="Times New Roman" w:hAnsi="Times New Roman"/>
                <w:b w:val="0"/>
                <w:i w:val="0"/>
                <w:sz w:val="17"/>
              </w:rPr>
              <w:t>CCDC160</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0.39</w:t>
            </w:r>
          </w:p>
        </w:tc>
        <w:tc>
          <w:tcPr>
            <w:tcW w:type="dxa" w:w="1560"/>
          </w:tcPr>
          <w:p>
            <w:pPr>
              <w:spacing w:line="240" w:lineRule="auto" w:before="20" w:after="20"/>
            </w:pPr>
            <w:r/>
            <w:r>
              <w:rPr>
                <w:rFonts w:ascii="Times New Roman" w:hAnsi="Times New Roman"/>
                <w:b w:val="0"/>
                <w:i w:val="0"/>
                <w:sz w:val="17"/>
              </w:rPr>
              <w:t>0.0083</w:t>
            </w:r>
          </w:p>
        </w:tc>
        <w:tc>
          <w:tcPr>
            <w:tcW w:type="dxa" w:w="1560"/>
          </w:tcPr>
          <w:p>
            <w:pPr>
              <w:spacing w:line="240" w:lineRule="auto" w:before="20" w:after="20"/>
            </w:pPr>
            <w:r/>
            <w:r>
              <w:rPr>
                <w:rFonts w:ascii="Times New Roman" w:hAnsi="Times New Roman"/>
                <w:b w:val="0"/>
                <w:i w:val="0"/>
                <w:sz w:val="17"/>
              </w:rPr>
              <w:t>0.0345</w:t>
            </w:r>
          </w:p>
        </w:tc>
      </w:tr>
      <w:tr>
        <w:tc>
          <w:tcPr>
            <w:tcW w:type="dxa" w:w="1560"/>
          </w:tcPr>
          <w:p>
            <w:pPr>
              <w:spacing w:line="240" w:lineRule="auto" w:before="20" w:after="20"/>
            </w:pPr>
            <w:r/>
            <w:r>
              <w:rPr>
                <w:rFonts w:ascii="Times New Roman" w:hAnsi="Times New Roman"/>
                <w:b w:val="0"/>
                <w:i w:val="0"/>
                <w:sz w:val="17"/>
              </w:rPr>
              <w:t>SLC2A1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0.41</w:t>
            </w:r>
          </w:p>
        </w:tc>
        <w:tc>
          <w:tcPr>
            <w:tcW w:type="dxa" w:w="1560"/>
          </w:tcPr>
          <w:p>
            <w:pPr>
              <w:spacing w:line="240" w:lineRule="auto" w:before="20" w:after="20"/>
            </w:pPr>
            <w:r/>
            <w:r>
              <w:rPr>
                <w:rFonts w:ascii="Times New Roman" w:hAnsi="Times New Roman"/>
                <w:b w:val="0"/>
                <w:i w:val="0"/>
                <w:sz w:val="17"/>
              </w:rPr>
              <w:t>0.0081</w:t>
            </w:r>
          </w:p>
        </w:tc>
        <w:tc>
          <w:tcPr>
            <w:tcW w:type="dxa" w:w="1560"/>
          </w:tcPr>
          <w:p>
            <w:pPr>
              <w:spacing w:line="240" w:lineRule="auto" w:before="20" w:after="20"/>
            </w:pPr>
            <w:r/>
            <w:r>
              <w:rPr>
                <w:rFonts w:ascii="Times New Roman" w:hAnsi="Times New Roman"/>
                <w:b w:val="0"/>
                <w:i w:val="0"/>
                <w:sz w:val="17"/>
              </w:rPr>
              <w:t>0.0785</w:t>
            </w:r>
          </w:p>
        </w:tc>
      </w:tr>
      <w:tr>
        <w:tc>
          <w:tcPr>
            <w:tcW w:type="dxa" w:w="1560"/>
          </w:tcPr>
          <w:p>
            <w:pPr>
              <w:spacing w:line="240" w:lineRule="auto" w:before="20" w:after="20"/>
            </w:pPr>
            <w:r/>
            <w:r>
              <w:rPr>
                <w:rFonts w:ascii="Times New Roman" w:hAnsi="Times New Roman"/>
                <w:b w:val="0"/>
                <w:i w:val="0"/>
                <w:sz w:val="17"/>
              </w:rPr>
              <w:t>ANKRD13B</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0.08</w:t>
            </w:r>
          </w:p>
        </w:tc>
        <w:tc>
          <w:tcPr>
            <w:tcW w:type="dxa" w:w="1560"/>
          </w:tcPr>
          <w:p>
            <w:pPr>
              <w:spacing w:line="240" w:lineRule="auto" w:before="20" w:after="20"/>
            </w:pPr>
            <w:r/>
            <w:r>
              <w:rPr>
                <w:rFonts w:ascii="Times New Roman" w:hAnsi="Times New Roman"/>
                <w:b w:val="0"/>
                <w:i w:val="0"/>
                <w:sz w:val="17"/>
              </w:rPr>
              <w:t>0.0068</w:t>
            </w:r>
          </w:p>
        </w:tc>
        <w:tc>
          <w:tcPr>
            <w:tcW w:type="dxa" w:w="1560"/>
          </w:tcPr>
          <w:p>
            <w:pPr>
              <w:spacing w:line="240" w:lineRule="auto" w:before="20" w:after="20"/>
            </w:pPr>
            <w:r/>
            <w:r>
              <w:rPr>
                <w:rFonts w:ascii="Times New Roman" w:hAnsi="Times New Roman"/>
                <w:b w:val="0"/>
                <w:i w:val="0"/>
                <w:sz w:val="17"/>
              </w:rPr>
              <w:t>0.0145</w:t>
            </w:r>
          </w:p>
        </w:tc>
      </w:tr>
      <w:tr>
        <w:tc>
          <w:tcPr>
            <w:tcW w:type="dxa" w:w="1560"/>
          </w:tcPr>
          <w:p>
            <w:pPr>
              <w:spacing w:line="240" w:lineRule="auto" w:before="20" w:after="20"/>
            </w:pPr>
            <w:r/>
            <w:r>
              <w:rPr>
                <w:rFonts w:ascii="Times New Roman" w:hAnsi="Times New Roman"/>
                <w:b w:val="0"/>
                <w:i w:val="0"/>
                <w:sz w:val="17"/>
              </w:rPr>
              <w:t>NPY</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0.00</w:t>
            </w:r>
          </w:p>
        </w:tc>
        <w:tc>
          <w:tcPr>
            <w:tcW w:type="dxa" w:w="1560"/>
          </w:tcPr>
          <w:p>
            <w:pPr>
              <w:spacing w:line="240" w:lineRule="auto" w:before="20" w:after="20"/>
            </w:pPr>
            <w:r/>
            <w:r>
              <w:rPr>
                <w:rFonts w:ascii="Times New Roman" w:hAnsi="Times New Roman"/>
                <w:b w:val="0"/>
                <w:i w:val="0"/>
                <w:sz w:val="17"/>
              </w:rPr>
              <w:t>0.0067</w:t>
            </w:r>
          </w:p>
        </w:tc>
        <w:tc>
          <w:tcPr>
            <w:tcW w:type="dxa" w:w="1560"/>
          </w:tcPr>
          <w:p>
            <w:pPr>
              <w:spacing w:line="240" w:lineRule="auto" w:before="20" w:after="20"/>
            </w:pPr>
            <w:r/>
            <w:r>
              <w:rPr>
                <w:rFonts w:ascii="Times New Roman" w:hAnsi="Times New Roman"/>
                <w:b w:val="0"/>
                <w:i w:val="0"/>
                <w:sz w:val="17"/>
              </w:rPr>
              <w:t>0.0000</w:t>
            </w:r>
          </w:p>
        </w:tc>
      </w:tr>
      <w:tr>
        <w:tc>
          <w:tcPr>
            <w:tcW w:type="dxa" w:w="1560"/>
          </w:tcPr>
          <w:p>
            <w:pPr>
              <w:spacing w:line="240" w:lineRule="auto" w:before="20" w:after="20"/>
            </w:pPr>
            <w:r/>
            <w:r>
              <w:rPr>
                <w:rFonts w:ascii="Times New Roman" w:hAnsi="Times New Roman"/>
                <w:b w:val="0"/>
                <w:i w:val="0"/>
                <w:sz w:val="17"/>
              </w:rPr>
              <w:t>AXL</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0.05</w:t>
            </w:r>
          </w:p>
        </w:tc>
        <w:tc>
          <w:tcPr>
            <w:tcW w:type="dxa" w:w="1560"/>
          </w:tcPr>
          <w:p>
            <w:pPr>
              <w:spacing w:line="240" w:lineRule="auto" w:before="20" w:after="20"/>
            </w:pPr>
            <w:r/>
            <w:r>
              <w:rPr>
                <w:rFonts w:ascii="Times New Roman" w:hAnsi="Times New Roman"/>
                <w:b w:val="0"/>
                <w:i w:val="0"/>
                <w:sz w:val="17"/>
              </w:rPr>
              <w:t>0.0062</w:t>
            </w:r>
          </w:p>
        </w:tc>
        <w:tc>
          <w:tcPr>
            <w:tcW w:type="dxa" w:w="1560"/>
          </w:tcPr>
          <w:p>
            <w:pPr>
              <w:spacing w:line="240" w:lineRule="auto" w:before="20" w:after="20"/>
            </w:pPr>
            <w:r/>
            <w:r>
              <w:rPr>
                <w:rFonts w:ascii="Times New Roman" w:hAnsi="Times New Roman"/>
                <w:b w:val="0"/>
                <w:i w:val="0"/>
                <w:sz w:val="17"/>
              </w:rPr>
              <w:t>0.1275</w:t>
            </w:r>
          </w:p>
        </w:tc>
      </w:tr>
      <w:tr>
        <w:tc>
          <w:tcPr>
            <w:tcW w:type="dxa" w:w="1560"/>
          </w:tcPr>
          <w:p>
            <w:pPr>
              <w:spacing w:line="240" w:lineRule="auto" w:before="20" w:after="20"/>
            </w:pPr>
            <w:r/>
            <w:r>
              <w:rPr>
                <w:rFonts w:ascii="Times New Roman" w:hAnsi="Times New Roman"/>
                <w:b w:val="0"/>
                <w:i w:val="0"/>
                <w:sz w:val="17"/>
              </w:rPr>
              <w:t>SERPINE1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0.02</w:t>
            </w:r>
          </w:p>
        </w:tc>
        <w:tc>
          <w:tcPr>
            <w:tcW w:type="dxa" w:w="1560"/>
          </w:tcPr>
          <w:p>
            <w:pPr>
              <w:spacing w:line="240" w:lineRule="auto" w:before="20" w:after="20"/>
            </w:pPr>
            <w:r/>
            <w:r>
              <w:rPr>
                <w:rFonts w:ascii="Times New Roman" w:hAnsi="Times New Roman"/>
                <w:b w:val="0"/>
                <w:i w:val="0"/>
                <w:sz w:val="17"/>
              </w:rPr>
              <w:t>0.0058</w:t>
            </w:r>
          </w:p>
        </w:tc>
        <w:tc>
          <w:tcPr>
            <w:tcW w:type="dxa" w:w="1560"/>
          </w:tcPr>
          <w:p>
            <w:pPr>
              <w:spacing w:line="240" w:lineRule="auto" w:before="20" w:after="20"/>
            </w:pPr>
            <w:r/>
            <w:r>
              <w:rPr>
                <w:rFonts w:ascii="Times New Roman" w:hAnsi="Times New Roman"/>
                <w:b w:val="0"/>
                <w:i w:val="0"/>
                <w:sz w:val="17"/>
              </w:rPr>
              <w:t>0.0000</w:t>
            </w:r>
          </w:p>
        </w:tc>
      </w:tr>
      <w:tr>
        <w:tc>
          <w:tcPr>
            <w:tcW w:type="dxa" w:w="1560"/>
          </w:tcPr>
          <w:p>
            <w:pPr>
              <w:spacing w:line="240" w:lineRule="auto" w:before="20" w:after="20"/>
            </w:pPr>
            <w:r/>
            <w:r>
              <w:rPr>
                <w:rFonts w:ascii="Times New Roman" w:hAnsi="Times New Roman"/>
                <w:b w:val="0"/>
                <w:i w:val="0"/>
                <w:sz w:val="17"/>
              </w:rPr>
              <w:t>CRISP3</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0.02</w:t>
            </w:r>
          </w:p>
        </w:tc>
        <w:tc>
          <w:tcPr>
            <w:tcW w:type="dxa" w:w="1560"/>
          </w:tcPr>
          <w:p>
            <w:pPr>
              <w:spacing w:line="240" w:lineRule="auto" w:before="20" w:after="20"/>
            </w:pPr>
            <w:r/>
            <w:r>
              <w:rPr>
                <w:rFonts w:ascii="Times New Roman" w:hAnsi="Times New Roman"/>
                <w:b w:val="0"/>
                <w:i w:val="0"/>
                <w:sz w:val="17"/>
              </w:rPr>
              <w:t>0.0056</w:t>
            </w:r>
          </w:p>
        </w:tc>
        <w:tc>
          <w:tcPr>
            <w:tcW w:type="dxa" w:w="1560"/>
          </w:tcPr>
          <w:p>
            <w:pPr>
              <w:spacing w:line="240" w:lineRule="auto" w:before="20" w:after="20"/>
            </w:pPr>
            <w:r/>
            <w:r>
              <w:rPr>
                <w:rFonts w:ascii="Times New Roman" w:hAnsi="Times New Roman"/>
                <w:b w:val="0"/>
                <w:i w:val="0"/>
                <w:sz w:val="17"/>
              </w:rPr>
              <w:t>0.0281</w:t>
            </w:r>
          </w:p>
        </w:tc>
      </w:tr>
      <w:tr>
        <w:tc>
          <w:tcPr>
            <w:tcW w:type="dxa" w:w="1560"/>
          </w:tcPr>
          <w:p>
            <w:pPr>
              <w:spacing w:line="240" w:lineRule="auto" w:before="20" w:after="20"/>
            </w:pPr>
            <w:r/>
            <w:r>
              <w:rPr>
                <w:rFonts w:ascii="Times New Roman" w:hAnsi="Times New Roman"/>
                <w:b w:val="0"/>
                <w:i w:val="0"/>
                <w:sz w:val="17"/>
              </w:rPr>
              <w:t>WBP1L</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0.00</w:t>
            </w:r>
          </w:p>
        </w:tc>
        <w:tc>
          <w:tcPr>
            <w:tcW w:type="dxa" w:w="1560"/>
          </w:tcPr>
          <w:p>
            <w:pPr>
              <w:spacing w:line="240" w:lineRule="auto" w:before="20" w:after="20"/>
            </w:pPr>
            <w:r/>
            <w:r>
              <w:rPr>
                <w:rFonts w:ascii="Times New Roman" w:hAnsi="Times New Roman"/>
                <w:b w:val="0"/>
                <w:i w:val="0"/>
                <w:sz w:val="17"/>
              </w:rPr>
              <w:t>0.0055</w:t>
            </w:r>
          </w:p>
        </w:tc>
        <w:tc>
          <w:tcPr>
            <w:tcW w:type="dxa" w:w="1560"/>
          </w:tcPr>
          <w:p>
            <w:pPr>
              <w:spacing w:line="240" w:lineRule="auto" w:before="20" w:after="20"/>
            </w:pPr>
            <w:r/>
            <w:r>
              <w:rPr>
                <w:rFonts w:ascii="Times New Roman" w:hAnsi="Times New Roman"/>
                <w:b w:val="0"/>
                <w:i w:val="0"/>
                <w:sz w:val="17"/>
              </w:rPr>
              <w:t>0.0246</w:t>
            </w:r>
          </w:p>
        </w:tc>
      </w:tr>
      <w:tr>
        <w:tc>
          <w:tcPr>
            <w:tcW w:type="dxa" w:w="1560"/>
          </w:tcPr>
          <w:p>
            <w:pPr>
              <w:spacing w:line="240" w:lineRule="auto" w:before="20" w:after="20"/>
            </w:pPr>
            <w:r/>
            <w:r>
              <w:rPr>
                <w:rFonts w:ascii="Times New Roman" w:hAnsi="Times New Roman"/>
                <w:b w:val="0"/>
                <w:i w:val="0"/>
                <w:sz w:val="17"/>
              </w:rPr>
              <w:t>ITPKC</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0.11</w:t>
            </w:r>
          </w:p>
        </w:tc>
        <w:tc>
          <w:tcPr>
            <w:tcW w:type="dxa" w:w="1560"/>
          </w:tcPr>
          <w:p>
            <w:pPr>
              <w:spacing w:line="240" w:lineRule="auto" w:before="20" w:after="20"/>
            </w:pPr>
            <w:r/>
            <w:r>
              <w:rPr>
                <w:rFonts w:ascii="Times New Roman" w:hAnsi="Times New Roman"/>
                <w:b w:val="0"/>
                <w:i w:val="0"/>
                <w:sz w:val="17"/>
              </w:rPr>
              <w:t>0.0047</w:t>
            </w:r>
          </w:p>
        </w:tc>
        <w:tc>
          <w:tcPr>
            <w:tcW w:type="dxa" w:w="1560"/>
          </w:tcPr>
          <w:p>
            <w:pPr>
              <w:spacing w:line="240" w:lineRule="auto" w:before="20" w:after="20"/>
            </w:pPr>
            <w:r/>
            <w:r>
              <w:rPr>
                <w:rFonts w:ascii="Times New Roman" w:hAnsi="Times New Roman"/>
                <w:b w:val="0"/>
                <w:i w:val="0"/>
                <w:sz w:val="17"/>
              </w:rPr>
              <w:t>0.0210</w:t>
            </w:r>
          </w:p>
        </w:tc>
      </w:tr>
      <w:tr>
        <w:tc>
          <w:tcPr>
            <w:tcW w:type="dxa" w:w="1560"/>
          </w:tcPr>
          <w:p>
            <w:pPr>
              <w:spacing w:line="240" w:lineRule="auto" w:before="20" w:after="20"/>
            </w:pPr>
            <w:r/>
            <w:r>
              <w:rPr>
                <w:rFonts w:ascii="Times New Roman" w:hAnsi="Times New Roman"/>
                <w:b w:val="0"/>
                <w:i w:val="0"/>
                <w:sz w:val="17"/>
              </w:rPr>
              <w:t>ACVR1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0.00</w:t>
            </w:r>
          </w:p>
        </w:tc>
        <w:tc>
          <w:tcPr>
            <w:tcW w:type="dxa" w:w="1560"/>
          </w:tcPr>
          <w:p>
            <w:pPr>
              <w:spacing w:line="240" w:lineRule="auto" w:before="20" w:after="20"/>
            </w:pPr>
            <w:r/>
            <w:r>
              <w:rPr>
                <w:rFonts w:ascii="Times New Roman" w:hAnsi="Times New Roman"/>
                <w:b w:val="0"/>
                <w:i w:val="0"/>
                <w:sz w:val="17"/>
              </w:rPr>
              <w:t>0.0044</w:t>
            </w:r>
          </w:p>
        </w:tc>
        <w:tc>
          <w:tcPr>
            <w:tcW w:type="dxa" w:w="1560"/>
          </w:tcPr>
          <w:p>
            <w:pPr>
              <w:spacing w:line="240" w:lineRule="auto" w:before="20" w:after="20"/>
            </w:pPr>
            <w:r/>
            <w:r>
              <w:rPr>
                <w:rFonts w:ascii="Times New Roman" w:hAnsi="Times New Roman"/>
                <w:b w:val="0"/>
                <w:i w:val="0"/>
                <w:sz w:val="17"/>
              </w:rPr>
              <w:t>0.0000</w:t>
            </w:r>
          </w:p>
        </w:tc>
      </w:tr>
      <w:tr>
        <w:tc>
          <w:tcPr>
            <w:tcW w:type="dxa" w:w="1560"/>
          </w:tcPr>
          <w:p>
            <w:pPr>
              <w:spacing w:line="240" w:lineRule="auto" w:before="20" w:after="20"/>
            </w:pPr>
            <w:r/>
            <w:r>
              <w:rPr>
                <w:rFonts w:ascii="Times New Roman" w:hAnsi="Times New Roman"/>
                <w:b w:val="0"/>
                <w:i w:val="0"/>
                <w:sz w:val="17"/>
              </w:rPr>
              <w:t>LNP1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0.17</w:t>
            </w:r>
          </w:p>
        </w:tc>
        <w:tc>
          <w:tcPr>
            <w:tcW w:type="dxa" w:w="1560"/>
          </w:tcPr>
          <w:p>
            <w:pPr>
              <w:spacing w:line="240" w:lineRule="auto" w:before="20" w:after="20"/>
            </w:pPr>
            <w:r/>
            <w:r>
              <w:rPr>
                <w:rFonts w:ascii="Times New Roman" w:hAnsi="Times New Roman"/>
                <w:b w:val="0"/>
                <w:i w:val="0"/>
                <w:sz w:val="17"/>
              </w:rPr>
              <w:t>0.0042</w:t>
            </w:r>
          </w:p>
        </w:tc>
        <w:tc>
          <w:tcPr>
            <w:tcW w:type="dxa" w:w="1560"/>
          </w:tcPr>
          <w:p>
            <w:pPr>
              <w:spacing w:line="240" w:lineRule="auto" w:before="20" w:after="20"/>
            </w:pPr>
            <w:r/>
            <w:r>
              <w:rPr>
                <w:rFonts w:ascii="Times New Roman" w:hAnsi="Times New Roman"/>
                <w:b w:val="0"/>
                <w:i w:val="0"/>
                <w:sz w:val="17"/>
              </w:rPr>
              <w:t>0.0130</w:t>
            </w:r>
          </w:p>
        </w:tc>
      </w:tr>
      <w:tr>
        <w:tc>
          <w:tcPr>
            <w:tcW w:type="dxa" w:w="1560"/>
          </w:tcPr>
          <w:p>
            <w:pPr>
              <w:spacing w:line="240" w:lineRule="auto" w:before="20" w:after="20"/>
            </w:pPr>
            <w:r/>
            <w:r>
              <w:rPr>
                <w:rFonts w:ascii="Times New Roman" w:hAnsi="Times New Roman"/>
                <w:b w:val="0"/>
                <w:i w:val="0"/>
                <w:sz w:val="17"/>
              </w:rPr>
              <w:t>AGRN</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0.02</w:t>
            </w:r>
          </w:p>
        </w:tc>
        <w:tc>
          <w:tcPr>
            <w:tcW w:type="dxa" w:w="1560"/>
          </w:tcPr>
          <w:p>
            <w:pPr>
              <w:spacing w:line="240" w:lineRule="auto" w:before="20" w:after="20"/>
            </w:pPr>
            <w:r/>
            <w:r>
              <w:rPr>
                <w:rFonts w:ascii="Times New Roman" w:hAnsi="Times New Roman"/>
                <w:b w:val="0"/>
                <w:i w:val="0"/>
                <w:sz w:val="17"/>
              </w:rPr>
              <w:t>0.0036</w:t>
            </w:r>
          </w:p>
        </w:tc>
        <w:tc>
          <w:tcPr>
            <w:tcW w:type="dxa" w:w="1560"/>
          </w:tcPr>
          <w:p>
            <w:pPr>
              <w:spacing w:line="240" w:lineRule="auto" w:before="20" w:after="20"/>
            </w:pPr>
            <w:r/>
            <w:r>
              <w:rPr>
                <w:rFonts w:ascii="Times New Roman" w:hAnsi="Times New Roman"/>
                <w:b w:val="0"/>
                <w:i w:val="0"/>
                <w:sz w:val="17"/>
              </w:rPr>
              <w:t>0.0531</w:t>
            </w:r>
          </w:p>
        </w:tc>
      </w:tr>
      <w:tr>
        <w:tc>
          <w:tcPr>
            <w:tcW w:type="dxa" w:w="1560"/>
          </w:tcPr>
          <w:p>
            <w:pPr>
              <w:spacing w:line="240" w:lineRule="auto" w:before="20" w:after="20"/>
            </w:pPr>
            <w:r/>
            <w:r>
              <w:rPr>
                <w:rFonts w:ascii="Times New Roman" w:hAnsi="Times New Roman"/>
                <w:b w:val="0"/>
                <w:i w:val="0"/>
                <w:sz w:val="17"/>
              </w:rPr>
              <w:t>VIP</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0.26</w:t>
            </w:r>
          </w:p>
        </w:tc>
        <w:tc>
          <w:tcPr>
            <w:tcW w:type="dxa" w:w="1560"/>
          </w:tcPr>
          <w:p>
            <w:pPr>
              <w:spacing w:line="240" w:lineRule="auto" w:before="20" w:after="20"/>
            </w:pPr>
            <w:r/>
            <w:r>
              <w:rPr>
                <w:rFonts w:ascii="Times New Roman" w:hAnsi="Times New Roman"/>
                <w:b w:val="0"/>
                <w:i w:val="0"/>
                <w:sz w:val="17"/>
              </w:rPr>
              <w:t>0.0036</w:t>
            </w:r>
          </w:p>
        </w:tc>
        <w:tc>
          <w:tcPr>
            <w:tcW w:type="dxa" w:w="1560"/>
          </w:tcPr>
          <w:p>
            <w:pPr>
              <w:spacing w:line="240" w:lineRule="auto" w:before="20" w:after="20"/>
            </w:pPr>
            <w:r/>
            <w:r>
              <w:rPr>
                <w:rFonts w:ascii="Times New Roman" w:hAnsi="Times New Roman"/>
                <w:b w:val="0"/>
                <w:i w:val="0"/>
                <w:sz w:val="17"/>
              </w:rPr>
              <w:t>0.0000</w:t>
            </w:r>
          </w:p>
        </w:tc>
      </w:tr>
      <w:tr>
        <w:tc>
          <w:tcPr>
            <w:tcW w:type="dxa" w:w="1560"/>
          </w:tcPr>
          <w:p>
            <w:pPr>
              <w:spacing w:line="240" w:lineRule="auto" w:before="20" w:after="20"/>
            </w:pPr>
            <w:r/>
            <w:r>
              <w:rPr>
                <w:rFonts w:ascii="Times New Roman" w:hAnsi="Times New Roman"/>
                <w:b w:val="0"/>
                <w:i w:val="0"/>
                <w:sz w:val="17"/>
              </w:rPr>
              <w:t>REG3B</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0.02</w:t>
            </w:r>
          </w:p>
        </w:tc>
        <w:tc>
          <w:tcPr>
            <w:tcW w:type="dxa" w:w="1560"/>
          </w:tcPr>
          <w:p>
            <w:pPr>
              <w:spacing w:line="240" w:lineRule="auto" w:before="20" w:after="20"/>
            </w:pPr>
            <w:r/>
            <w:r>
              <w:rPr>
                <w:rFonts w:ascii="Times New Roman" w:hAnsi="Times New Roman"/>
                <w:b w:val="0"/>
                <w:i w:val="0"/>
                <w:sz w:val="17"/>
              </w:rPr>
              <w:t>0.0034</w:t>
            </w:r>
          </w:p>
        </w:tc>
        <w:tc>
          <w:tcPr>
            <w:tcW w:type="dxa" w:w="1560"/>
          </w:tcPr>
          <w:p>
            <w:pPr>
              <w:spacing w:line="240" w:lineRule="auto" w:before="20" w:after="20"/>
            </w:pPr>
            <w:r/>
            <w:r>
              <w:rPr>
                <w:rFonts w:ascii="Times New Roman" w:hAnsi="Times New Roman"/>
                <w:b w:val="0"/>
                <w:i w:val="0"/>
                <w:sz w:val="17"/>
              </w:rPr>
              <w:t>0.0000</w:t>
            </w:r>
          </w:p>
        </w:tc>
      </w:tr>
      <w:tr>
        <w:tc>
          <w:tcPr>
            <w:tcW w:type="dxa" w:w="1560"/>
          </w:tcPr>
          <w:p>
            <w:pPr>
              <w:spacing w:line="240" w:lineRule="auto" w:before="20" w:after="20"/>
            </w:pPr>
            <w:r/>
            <w:r>
              <w:rPr>
                <w:rFonts w:ascii="Times New Roman" w:hAnsi="Times New Roman"/>
                <w:b w:val="0"/>
                <w:i w:val="0"/>
                <w:sz w:val="17"/>
              </w:rPr>
              <w:t>TNS3</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0.02</w:t>
            </w:r>
          </w:p>
        </w:tc>
        <w:tc>
          <w:tcPr>
            <w:tcW w:type="dxa" w:w="1560"/>
          </w:tcPr>
          <w:p>
            <w:pPr>
              <w:spacing w:line="240" w:lineRule="auto" w:before="20" w:after="20"/>
            </w:pPr>
            <w:r/>
            <w:r>
              <w:rPr>
                <w:rFonts w:ascii="Times New Roman" w:hAnsi="Times New Roman"/>
                <w:b w:val="0"/>
                <w:i w:val="0"/>
                <w:sz w:val="17"/>
              </w:rPr>
              <w:t>0.0033</w:t>
            </w:r>
          </w:p>
        </w:tc>
        <w:tc>
          <w:tcPr>
            <w:tcW w:type="dxa" w:w="1560"/>
          </w:tcPr>
          <w:p>
            <w:pPr>
              <w:spacing w:line="240" w:lineRule="auto" w:before="20" w:after="20"/>
            </w:pPr>
            <w:r/>
            <w:r>
              <w:rPr>
                <w:rFonts w:ascii="Times New Roman" w:hAnsi="Times New Roman"/>
                <w:b w:val="0"/>
                <w:i w:val="0"/>
                <w:sz w:val="17"/>
              </w:rPr>
              <w:t>0.0000</w:t>
            </w:r>
          </w:p>
        </w:tc>
      </w:tr>
      <w:tr>
        <w:tc>
          <w:tcPr>
            <w:tcW w:type="dxa" w:w="1560"/>
          </w:tcPr>
          <w:p>
            <w:pPr>
              <w:spacing w:line="240" w:lineRule="auto" w:before="20" w:after="20"/>
            </w:pPr>
            <w:r/>
            <w:r>
              <w:rPr>
                <w:rFonts w:ascii="Times New Roman" w:hAnsi="Times New Roman"/>
                <w:b w:val="0"/>
                <w:i w:val="0"/>
                <w:sz w:val="17"/>
              </w:rPr>
              <w:t>ANKRD1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0.17</w:t>
            </w:r>
          </w:p>
        </w:tc>
        <w:tc>
          <w:tcPr>
            <w:tcW w:type="dxa" w:w="1560"/>
          </w:tcPr>
          <w:p>
            <w:pPr>
              <w:spacing w:line="240" w:lineRule="auto" w:before="20" w:after="20"/>
            </w:pPr>
            <w:r/>
            <w:r>
              <w:rPr>
                <w:rFonts w:ascii="Times New Roman" w:hAnsi="Times New Roman"/>
                <w:b w:val="0"/>
                <w:i w:val="0"/>
                <w:sz w:val="17"/>
              </w:rPr>
              <w:t>0.0030</w:t>
            </w:r>
          </w:p>
        </w:tc>
        <w:tc>
          <w:tcPr>
            <w:tcW w:type="dxa" w:w="1560"/>
          </w:tcPr>
          <w:p>
            <w:pPr>
              <w:spacing w:line="240" w:lineRule="auto" w:before="20" w:after="20"/>
            </w:pPr>
            <w:r/>
            <w:r>
              <w:rPr>
                <w:rFonts w:ascii="Times New Roman" w:hAnsi="Times New Roman"/>
                <w:b w:val="0"/>
                <w:i w:val="0"/>
                <w:sz w:val="17"/>
              </w:rPr>
              <w:t>0.0083</w:t>
            </w:r>
          </w:p>
        </w:tc>
      </w:tr>
      <w:tr>
        <w:tc>
          <w:tcPr>
            <w:tcW w:type="dxa" w:w="1560"/>
          </w:tcPr>
          <w:p>
            <w:pPr>
              <w:spacing w:line="240" w:lineRule="auto" w:before="20" w:after="20"/>
            </w:pPr>
            <w:r/>
            <w:r>
              <w:rPr>
                <w:rFonts w:ascii="Times New Roman" w:hAnsi="Times New Roman"/>
                <w:b w:val="0"/>
                <w:i w:val="0"/>
                <w:sz w:val="17"/>
              </w:rPr>
              <w:t>CTTN</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0.07</w:t>
            </w:r>
          </w:p>
        </w:tc>
        <w:tc>
          <w:tcPr>
            <w:tcW w:type="dxa" w:w="1560"/>
          </w:tcPr>
          <w:p>
            <w:pPr>
              <w:spacing w:line="240" w:lineRule="auto" w:before="20" w:after="20"/>
            </w:pPr>
            <w:r/>
            <w:r>
              <w:rPr>
                <w:rFonts w:ascii="Times New Roman" w:hAnsi="Times New Roman"/>
                <w:b w:val="0"/>
                <w:i w:val="0"/>
                <w:sz w:val="17"/>
              </w:rPr>
              <w:t>0.0030</w:t>
            </w:r>
          </w:p>
        </w:tc>
        <w:tc>
          <w:tcPr>
            <w:tcW w:type="dxa" w:w="1560"/>
          </w:tcPr>
          <w:p>
            <w:pPr>
              <w:spacing w:line="240" w:lineRule="auto" w:before="20" w:after="20"/>
            </w:pPr>
            <w:r/>
            <w:r>
              <w:rPr>
                <w:rFonts w:ascii="Times New Roman" w:hAnsi="Times New Roman"/>
                <w:b w:val="0"/>
                <w:i w:val="0"/>
                <w:sz w:val="17"/>
              </w:rPr>
              <w:t>0.0216</w:t>
            </w:r>
          </w:p>
        </w:tc>
      </w:tr>
      <w:tr>
        <w:tc>
          <w:tcPr>
            <w:tcW w:type="dxa" w:w="1560"/>
          </w:tcPr>
          <w:p>
            <w:pPr>
              <w:spacing w:line="240" w:lineRule="auto" w:before="20" w:after="20"/>
            </w:pPr>
            <w:r/>
            <w:r>
              <w:rPr>
                <w:rFonts w:ascii="Times New Roman" w:hAnsi="Times New Roman"/>
                <w:b w:val="0"/>
                <w:i w:val="0"/>
                <w:sz w:val="17"/>
              </w:rPr>
              <w:t>RUBCN</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No</w:t>
            </w:r>
          </w:p>
        </w:tc>
        <w:tc>
          <w:tcPr>
            <w:tcW w:type="dxa" w:w="1560"/>
          </w:tcPr>
          <w:p>
            <w:pPr>
              <w:spacing w:line="240" w:lineRule="auto" w:before="20" w:after="20"/>
            </w:pPr>
            <w:r/>
            <w:r>
              <w:rPr>
                <w:rFonts w:ascii="Times New Roman" w:hAnsi="Times New Roman"/>
                <w:b w:val="0"/>
                <w:i w:val="0"/>
                <w:sz w:val="17"/>
              </w:rPr>
              <w:t>0.00</w:t>
            </w:r>
          </w:p>
        </w:tc>
        <w:tc>
          <w:tcPr>
            <w:tcW w:type="dxa" w:w="1560"/>
          </w:tcPr>
          <w:p>
            <w:pPr>
              <w:spacing w:line="240" w:lineRule="auto" w:before="20" w:after="20"/>
            </w:pPr>
            <w:r/>
            <w:r>
              <w:rPr>
                <w:rFonts w:ascii="Times New Roman" w:hAnsi="Times New Roman"/>
                <w:b w:val="0"/>
                <w:i w:val="0"/>
                <w:sz w:val="17"/>
              </w:rPr>
              <w:t>0.0028</w:t>
            </w:r>
          </w:p>
        </w:tc>
        <w:tc>
          <w:tcPr>
            <w:tcW w:type="dxa" w:w="1560"/>
          </w:tcPr>
          <w:p>
            <w:pPr>
              <w:spacing w:line="240" w:lineRule="auto" w:before="20" w:after="20"/>
            </w:pPr>
            <w:r/>
            <w:r>
              <w:rPr>
                <w:rFonts w:ascii="Times New Roman" w:hAnsi="Times New Roman"/>
                <w:b w:val="0"/>
                <w:i w:val="0"/>
                <w:sz w:val="17"/>
              </w:rPr>
              <w:t>0.0000</w:t>
            </w:r>
          </w:p>
        </w:tc>
      </w:tr>
      <w:tr>
        <w:tc>
          <w:tcPr>
            <w:tcW w:type="dxa" w:w="1560"/>
          </w:tcPr>
          <w:p>
            <w:pPr>
              <w:spacing w:line="240" w:lineRule="auto" w:before="20" w:after="20"/>
            </w:pPr>
            <w:r/>
            <w:r>
              <w:rPr>
                <w:rFonts w:ascii="Times New Roman" w:hAnsi="Times New Roman"/>
                <w:b w:val="0"/>
                <w:i w:val="0"/>
                <w:sz w:val="17"/>
              </w:rPr>
              <w:t>MEGF11</w:t>
            </w:r>
          </w:p>
        </w:tc>
        <w:tc>
          <w:tcPr>
            <w:tcW w:type="dxa" w:w="1560"/>
          </w:tcPr>
          <w:p>
            <w:pPr>
              <w:spacing w:line="240" w:lineRule="auto" w:before="20" w:after="20"/>
            </w:pPr>
            <w:r/>
            <w:r>
              <w:rPr>
                <w:rFonts w:ascii="Times New Roman" w:hAnsi="Times New Roman"/>
                <w:b w:val="0"/>
                <w:i w:val="0"/>
                <w:sz w:val="17"/>
              </w:rPr>
              <w:t>2</w:t>
            </w:r>
          </w:p>
        </w:tc>
        <w:tc>
          <w:tcPr>
            <w:tcW w:type="dxa" w:w="1560"/>
          </w:tcPr>
          <w:p>
            <w:pPr>
              <w:spacing w:line="240" w:lineRule="auto" w:before="20" w:after="20"/>
            </w:pPr>
            <w:r/>
            <w:r>
              <w:rPr>
                <w:rFonts w:ascii="Times New Roman" w:hAnsi="Times New Roman"/>
                <w:b w:val="0"/>
                <w:i w:val="0"/>
                <w:sz w:val="17"/>
              </w:rPr>
              <w:t>Yes</w:t>
            </w:r>
          </w:p>
        </w:tc>
        <w:tc>
          <w:tcPr>
            <w:tcW w:type="dxa" w:w="1560"/>
          </w:tcPr>
          <w:p>
            <w:pPr>
              <w:spacing w:line="240" w:lineRule="auto" w:before="20" w:after="20"/>
            </w:pPr>
            <w:r/>
            <w:r>
              <w:rPr>
                <w:rFonts w:ascii="Times New Roman" w:hAnsi="Times New Roman"/>
                <w:b w:val="0"/>
                <w:i w:val="0"/>
                <w:sz w:val="17"/>
              </w:rPr>
              <w:t>0.71</w:t>
            </w:r>
          </w:p>
        </w:tc>
        <w:tc>
          <w:tcPr>
            <w:tcW w:type="dxa" w:w="1560"/>
          </w:tcPr>
          <w:p>
            <w:pPr>
              <w:spacing w:line="240" w:lineRule="auto" w:before="20" w:after="20"/>
            </w:pPr>
            <w:r/>
            <w:r>
              <w:rPr>
                <w:rFonts w:ascii="Times New Roman" w:hAnsi="Times New Roman"/>
                <w:b w:val="0"/>
                <w:i w:val="0"/>
                <w:sz w:val="17"/>
              </w:rPr>
              <w:t>0.0014</w:t>
            </w:r>
          </w:p>
        </w:tc>
        <w:tc>
          <w:tcPr>
            <w:tcW w:type="dxa" w:w="1560"/>
          </w:tcPr>
          <w:p>
            <w:pPr>
              <w:spacing w:line="240" w:lineRule="auto" w:before="20" w:after="20"/>
            </w:pPr>
            <w:r/>
            <w:r>
              <w:rPr>
                <w:rFonts w:ascii="Times New Roman" w:hAnsi="Times New Roman"/>
                <w:b w:val="0"/>
                <w:i w:val="0"/>
                <w:sz w:val="17"/>
              </w:rPr>
              <w:t>0.0335</w:t>
            </w:r>
          </w:p>
        </w:tc>
      </w:tr>
    </w:tbl>
    <w:p>
      <w:pPr>
        <w:spacing w:before="0" w:after="80"/>
      </w:pPr>
    </w:p>
    <w:p>
      <w:pPr>
        <w:spacing w:before="0" w:after="40"/>
      </w:pPr>
      <w:r>
        <w:rPr>
          <w:rFonts w:ascii="Times New Roman" w:hAnsi="Times New Roman"/>
          <w:b w:val="0"/>
          <w:i/>
          <w:sz w:val="22"/>
        </w:rPr>
        <w:t>Note.</w:t>
      </w:r>
      <w:r>
        <w:rPr>
          <w:rFonts w:ascii="Times New Roman" w:hAnsi="Times New Roman"/>
          <w:b w:val="0"/>
          <w:i w:val="0"/>
          <w:sz w:val="22"/>
        </w:rPr>
        <w:t xml:space="preserve"> Methods = number of the three selectors (LASSO, Random Forest, XGBoost) that nominated the hub; a hub required ≥2/3 agreement. LASSO freq = resampling selection frequency (B = 100); RF Gini and SHAP |abs| are the mean-decrease-Gini and mean |SHAP| importance. In meta core = the </w:t>
      </w:r>
      <w:r>
        <w:rPr>
          <w:rFonts w:ascii="Courier New" w:hAnsi="Courier New"/>
          <w:b w:val="0"/>
          <w:i w:val="0"/>
          <w:sz w:val="22"/>
        </w:rPr>
        <w:t>in_meta_core</w:t>
      </w:r>
      <w:r>
        <w:rPr>
          <w:rFonts w:ascii="Times New Roman" w:hAnsi="Times New Roman"/>
          <w:b w:val="0"/>
          <w:i w:val="0"/>
          <w:sz w:val="22"/>
        </w:rPr>
        <w:t xml:space="preserve"> boolean (True/False) in </w:t>
      </w:r>
      <w:r>
        <w:rPr>
          <w:rFonts w:ascii="Courier New" w:hAnsi="Courier New"/>
          <w:b w:val="0"/>
          <w:i w:val="0"/>
          <w:sz w:val="22"/>
        </w:rPr>
        <w:t>P3_hub_genes.csv</w:t>
      </w:r>
      <w:r>
        <w:rPr>
          <w:rFonts w:ascii="Times New Roman" w:hAnsi="Times New Roman"/>
          <w:b w:val="0"/>
          <w:i w:val="0"/>
          <w:sz w:val="22"/>
        </w:rPr>
        <w:t xml:space="preserve">, i.e., whether the gene passed the meta_FDR &lt; 0.05 and consistency ≥ 0.8 core gate (the build script renders this column as Yes/No). Bootstrap stability (B = 200): 2/35 hubs reached ≥0.9 resampling stability (SPRR1A 1.00, ATF3 0.94; per-gene recovery 14.0%–100.0%); the docking target set recovered a mean of 8.70 (median 9) of the 17 dock-eligible hubs per resample (P(≥3 of 17) = 1.000). Source: </w:t>
      </w:r>
      <w:r>
        <w:rPr>
          <w:rFonts w:ascii="Courier New" w:hAnsi="Courier New"/>
          <w:b w:val="0"/>
          <w:i w:val="0"/>
          <w:sz w:val="22"/>
        </w:rPr>
        <w:t>results/tables/P3_hub_genes.csv</w:t>
      </w:r>
      <w:r>
        <w:rPr>
          <w:rFonts w:ascii="Times New Roman" w:hAnsi="Times New Roman"/>
          <w:b w:val="0"/>
          <w:i w:val="0"/>
          <w:sz w:val="22"/>
        </w:rPr>
        <w:t xml:space="preserve">, </w:t>
      </w:r>
      <w:r>
        <w:rPr>
          <w:rFonts w:ascii="Courier New" w:hAnsi="Courier New"/>
          <w:b w:val="0"/>
          <w:i w:val="0"/>
          <w:sz w:val="22"/>
        </w:rPr>
        <w:t>P3_hub_bootstrap.csv</w:t>
      </w:r>
      <w:r>
        <w:rPr>
          <w:rFonts w:ascii="Times New Roman" w:hAnsi="Times New Roman"/>
          <w:b w:val="0"/>
          <w:i w:val="0"/>
          <w:sz w:val="22"/>
        </w:rPr>
        <w:t>.</w:t>
      </w:r>
    </w:p>
    <w:p>
      <w:pPr>
        <w:spacing w:before="0" w:after="40"/>
      </w:pPr>
      <w:r>
        <w:rPr>
          <w:rFonts w:ascii="Times New Roman" w:hAnsi="Times New Roman"/>
          <w:b/>
          <w:i w:val="0"/>
          <w:sz w:val="22"/>
        </w:rPr>
        <w:t>Table 3</w:t>
      </w:r>
      <w:r>
        <w:rPr>
          <w:rFonts w:ascii="Times New Roman" w:hAnsi="Times New Roman"/>
          <w:b w:val="0"/>
          <w:i w:val="0"/>
          <w:sz w:val="22"/>
        </w:rPr>
        <w:t xml:space="preserve"> Full-library docking result.</w:t>
      </w:r>
    </w:p>
    <w:p>
      <w:pPr>
        <w:spacing w:before="0" w:after="40"/>
      </w:pPr>
      <w:r>
        <w:rPr>
          <w:rFonts w:ascii="Times New Roman" w:hAnsi="Times New Roman"/>
          <w:b w:val="0"/>
          <w:i w:val="0"/>
          <w:sz w:val="22"/>
        </w:rPr>
        <w:t>(3a) Ten-target biological-plausibility table (meta_Z, meta_FDR, consistency, FDR_RE, n_holo_PDB, known link), split into Panel A (seven biological candidates) and Panel B (three accessibility/negative controls), rendered in the Results "Drug repurposing" section above.</w:t>
      </w:r>
    </w:p>
    <w:p>
      <w:pPr>
        <w:spacing w:before="0" w:after="40"/>
      </w:pPr>
      <w:r>
        <w:rPr>
          <w:rFonts w:ascii="Times New Roman" w:hAnsi="Times New Roman"/>
          <w:b w:val="0"/>
          <w:i w:val="0"/>
          <w:sz w:val="22"/>
        </w:rPr>
        <w:t>(3b) Reverse-control and enrichment verdicts for the five ChEMBL-annotated targets:</w:t>
      </w:r>
    </w:p>
    <w:tbl>
      <w:tblPr>
        <w:tblStyle w:val="TableGrid"/>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tcPr>
          <w:p>
            <w:pPr>
              <w:spacing w:line="240" w:lineRule="auto" w:before="20" w:after="20"/>
            </w:pPr>
            <w:r/>
            <w:r>
              <w:rPr>
                <w:rFonts w:ascii="Times New Roman" w:hAnsi="Times New Roman"/>
                <w:b/>
                <w:i w:val="0"/>
                <w:sz w:val="18"/>
              </w:rPr>
              <w:t>Target</w:t>
            </w:r>
          </w:p>
        </w:tc>
        <w:tc>
          <w:tcPr>
            <w:tcW w:type="dxa" w:w="1170"/>
          </w:tcPr>
          <w:p>
            <w:pPr>
              <w:spacing w:line="240" w:lineRule="auto" w:before="20" w:after="20"/>
            </w:pPr>
            <w:r/>
            <w:r>
              <w:rPr>
                <w:rFonts w:ascii="Times New Roman" w:hAnsi="Times New Roman"/>
                <w:b/>
                <w:i w:val="0"/>
                <w:sz w:val="18"/>
              </w:rPr>
              <w:t>Reverse-control AUC</w:t>
            </w:r>
          </w:p>
        </w:tc>
        <w:tc>
          <w:tcPr>
            <w:tcW w:type="dxa" w:w="1170"/>
          </w:tcPr>
          <w:p>
            <w:pPr>
              <w:spacing w:line="240" w:lineRule="auto" w:before="20" w:after="20"/>
            </w:pPr>
            <w:r/>
            <w:r>
              <w:rPr>
                <w:rFonts w:ascii="Times New Roman" w:hAnsi="Times New Roman"/>
                <w:b/>
                <w:i w:val="0"/>
                <w:sz w:val="18"/>
              </w:rPr>
              <w:t>Control passed?</w:t>
            </w:r>
          </w:p>
        </w:tc>
        <w:tc>
          <w:tcPr>
            <w:tcW w:type="dxa" w:w="1170"/>
          </w:tcPr>
          <w:p>
            <w:pPr>
              <w:spacing w:line="240" w:lineRule="auto" w:before="20" w:after="20"/>
            </w:pPr>
            <w:r/>
            <w:r>
              <w:rPr>
                <w:rFonts w:ascii="Times New Roman" w:hAnsi="Times New Roman"/>
                <w:b/>
                <w:i w:val="0"/>
                <w:sz w:val="18"/>
              </w:rPr>
              <w:t>Size-indep. ΔAUC p</w:t>
            </w:r>
          </w:p>
        </w:tc>
        <w:tc>
          <w:tcPr>
            <w:tcW w:type="dxa" w:w="1170"/>
          </w:tcPr>
          <w:p>
            <w:pPr>
              <w:spacing w:line="240" w:lineRule="auto" w:before="20" w:after="20"/>
            </w:pPr>
            <w:r/>
            <w:r>
              <w:rPr>
                <w:rFonts w:ascii="Times New Roman" w:hAnsi="Times New Roman"/>
                <w:b/>
                <w:i w:val="0"/>
                <w:sz w:val="18"/>
              </w:rPr>
              <w:t>Raw BH q</w:t>
            </w:r>
          </w:p>
        </w:tc>
        <w:tc>
          <w:tcPr>
            <w:tcW w:type="dxa" w:w="1170"/>
          </w:tcPr>
          <w:p>
            <w:pPr>
              <w:spacing w:line="240" w:lineRule="auto" w:before="20" w:after="20"/>
            </w:pPr>
            <w:r/>
            <w:r>
              <w:rPr>
                <w:rFonts w:ascii="Times New Roman" w:hAnsi="Times New Roman"/>
                <w:b/>
                <w:i w:val="0"/>
                <w:sz w:val="18"/>
              </w:rPr>
              <w:t>Size-indep. BH q</w:t>
            </w:r>
          </w:p>
        </w:tc>
        <w:tc>
          <w:tcPr>
            <w:tcW w:type="dxa" w:w="1170"/>
          </w:tcPr>
          <w:p>
            <w:pPr>
              <w:spacing w:line="240" w:lineRule="auto" w:before="20" w:after="20"/>
            </w:pPr>
            <w:r/>
            <w:r>
              <w:rPr>
                <w:rFonts w:ascii="Times New Roman" w:hAnsi="Times New Roman"/>
                <w:b/>
                <w:i w:val="0"/>
                <w:sz w:val="18"/>
              </w:rPr>
              <w:t>Full-library AUC</w:t>
            </w:r>
          </w:p>
        </w:tc>
        <w:tc>
          <w:tcPr>
            <w:tcW w:type="dxa" w:w="1170"/>
          </w:tcPr>
          <w:p>
            <w:pPr>
              <w:spacing w:line="240" w:lineRule="auto" w:before="20" w:after="20"/>
            </w:pPr>
            <w:r/>
            <w:r>
              <w:rPr>
                <w:rFonts w:ascii="Times New Roman" w:hAnsi="Times New Roman"/>
                <w:b/>
                <w:i w:val="0"/>
                <w:sz w:val="18"/>
              </w:rPr>
              <w:t>Verdict</w:t>
            </w:r>
          </w:p>
        </w:tc>
      </w:tr>
      <w:tr>
        <w:tc>
          <w:tcPr>
            <w:tcW w:type="dxa" w:w="1170"/>
          </w:tcPr>
          <w:p>
            <w:pPr>
              <w:spacing w:line="240" w:lineRule="auto" w:before="20" w:after="20"/>
            </w:pPr>
            <w:r/>
            <w:r>
              <w:rPr>
                <w:rFonts w:ascii="Times New Roman" w:hAnsi="Times New Roman"/>
                <w:b w:val="0"/>
                <w:i w:val="0"/>
                <w:sz w:val="18"/>
              </w:rPr>
              <w:t>ACVR1</w:t>
            </w:r>
          </w:p>
        </w:tc>
        <w:tc>
          <w:tcPr>
            <w:tcW w:type="dxa" w:w="1170"/>
          </w:tcPr>
          <w:p>
            <w:pPr>
              <w:spacing w:line="240" w:lineRule="auto" w:before="20" w:after="20"/>
            </w:pPr>
            <w:r/>
            <w:r>
              <w:rPr>
                <w:rFonts w:ascii="Times New Roman" w:hAnsi="Times New Roman"/>
                <w:b w:val="0"/>
                <w:i w:val="0"/>
                <w:sz w:val="18"/>
              </w:rPr>
              <w:t>0.797</w:t>
            </w:r>
          </w:p>
        </w:tc>
        <w:tc>
          <w:tcPr>
            <w:tcW w:type="dxa" w:w="1170"/>
          </w:tcPr>
          <w:p>
            <w:pPr>
              <w:spacing w:line="240" w:lineRule="auto" w:before="20" w:after="20"/>
            </w:pPr>
            <w:r/>
            <w:r>
              <w:rPr>
                <w:rFonts w:ascii="Times New Roman" w:hAnsi="Times New Roman"/>
                <w:b w:val="0"/>
                <w:i w:val="0"/>
                <w:sz w:val="18"/>
              </w:rPr>
              <w:t>Yes</w:t>
            </w:r>
          </w:p>
        </w:tc>
        <w:tc>
          <w:tcPr>
            <w:tcW w:type="dxa" w:w="1170"/>
          </w:tcPr>
          <w:p>
            <w:pPr>
              <w:spacing w:line="240" w:lineRule="auto" w:before="20" w:after="20"/>
            </w:pPr>
            <w:r/>
            <w:r>
              <w:rPr>
                <w:rFonts w:ascii="Times New Roman" w:hAnsi="Times New Roman"/>
                <w:b w:val="0"/>
                <w:i w:val="0"/>
                <w:sz w:val="18"/>
              </w:rPr>
              <w:t>0.584</w:t>
            </w:r>
          </w:p>
        </w:tc>
        <w:tc>
          <w:tcPr>
            <w:tcW w:type="dxa" w:w="1170"/>
          </w:tcPr>
          <w:p>
            <w:pPr>
              <w:spacing w:line="240" w:lineRule="auto" w:before="20" w:after="20"/>
            </w:pPr>
            <w:r/>
            <w:r>
              <w:rPr>
                <w:rFonts w:ascii="Times New Roman" w:hAnsi="Times New Roman"/>
                <w:b w:val="0"/>
                <w:i w:val="0"/>
                <w:sz w:val="18"/>
              </w:rPr>
              <w:t>0.0013</w:t>
            </w:r>
          </w:p>
        </w:tc>
        <w:tc>
          <w:tcPr>
            <w:tcW w:type="dxa" w:w="1170"/>
          </w:tcPr>
          <w:p>
            <w:pPr>
              <w:spacing w:line="240" w:lineRule="auto" w:before="20" w:after="20"/>
            </w:pPr>
            <w:r/>
            <w:r>
              <w:rPr>
                <w:rFonts w:ascii="Times New Roman" w:hAnsi="Times New Roman"/>
                <w:b w:val="0"/>
                <w:i w:val="0"/>
                <w:sz w:val="18"/>
              </w:rPr>
              <w:t>0.584</w:t>
            </w:r>
          </w:p>
        </w:tc>
        <w:tc>
          <w:tcPr>
            <w:tcW w:type="dxa" w:w="1170"/>
          </w:tcPr>
          <w:p>
            <w:pPr>
              <w:spacing w:line="240" w:lineRule="auto" w:before="20" w:after="20"/>
            </w:pPr>
            <w:r/>
            <w:r>
              <w:rPr>
                <w:rFonts w:ascii="Times New Roman" w:hAnsi="Times New Roman"/>
                <w:b w:val="0"/>
                <w:i w:val="0"/>
                <w:sz w:val="18"/>
              </w:rPr>
              <w:t>0.797</w:t>
            </w:r>
          </w:p>
        </w:tc>
        <w:tc>
          <w:tcPr>
            <w:tcW w:type="dxa" w:w="1170"/>
          </w:tcPr>
          <w:p>
            <w:pPr>
              <w:spacing w:line="240" w:lineRule="auto" w:before="20" w:after="20"/>
            </w:pPr>
            <w:r/>
            <w:r>
              <w:rPr>
                <w:rFonts w:ascii="Times New Roman" w:hAnsi="Times New Roman"/>
                <w:b w:val="0"/>
                <w:i w:val="0"/>
                <w:sz w:val="18"/>
              </w:rPr>
              <w:t>FAIL (matches MW-only baseline)</w:t>
            </w:r>
          </w:p>
        </w:tc>
      </w:tr>
      <w:tr>
        <w:tc>
          <w:tcPr>
            <w:tcW w:type="dxa" w:w="1170"/>
          </w:tcPr>
          <w:p>
            <w:pPr>
              <w:spacing w:line="240" w:lineRule="auto" w:before="20" w:after="20"/>
            </w:pPr>
            <w:r/>
            <w:r>
              <w:rPr>
                <w:rFonts w:ascii="Times New Roman" w:hAnsi="Times New Roman"/>
                <w:b w:val="0"/>
                <w:i w:val="0"/>
                <w:sz w:val="18"/>
              </w:rPr>
              <w:t>ADRA2A</w:t>
            </w:r>
          </w:p>
        </w:tc>
        <w:tc>
          <w:tcPr>
            <w:tcW w:type="dxa" w:w="1170"/>
          </w:tcPr>
          <w:p>
            <w:pPr>
              <w:spacing w:line="240" w:lineRule="auto" w:before="20" w:after="20"/>
            </w:pPr>
            <w:r/>
            <w:r>
              <w:rPr>
                <w:rFonts w:ascii="Times New Roman" w:hAnsi="Times New Roman"/>
                <w:b w:val="0"/>
                <w:i w:val="0"/>
                <w:sz w:val="18"/>
              </w:rPr>
              <w:t>0.532</w:t>
            </w:r>
          </w:p>
        </w:tc>
        <w:tc>
          <w:tcPr>
            <w:tcW w:type="dxa" w:w="1170"/>
          </w:tcPr>
          <w:p>
            <w:pPr>
              <w:spacing w:line="240" w:lineRule="auto" w:before="20" w:after="20"/>
            </w:pPr>
            <w:r/>
            <w:r>
              <w:rPr>
                <w:rFonts w:ascii="Times New Roman" w:hAnsi="Times New Roman"/>
                <w:b w:val="0"/>
                <w:i w:val="0"/>
                <w:sz w:val="18"/>
              </w:rPr>
              <w:t>No</w:t>
            </w:r>
          </w:p>
        </w:tc>
        <w:tc>
          <w:tcPr>
            <w:tcW w:type="dxa" w:w="1170"/>
          </w:tcPr>
          <w:p>
            <w:pPr>
              <w:spacing w:line="240" w:lineRule="auto" w:before="20" w:after="20"/>
            </w:pPr>
            <w:r/>
            <w:r>
              <w:rPr>
                <w:rFonts w:ascii="Times New Roman" w:hAnsi="Times New Roman"/>
                <w:b w:val="0"/>
                <w:i w:val="0"/>
                <w:sz w:val="18"/>
              </w:rPr>
              <w:t>0.0005</w:t>
            </w:r>
          </w:p>
        </w:tc>
        <w:tc>
          <w:tcPr>
            <w:tcW w:type="dxa" w:w="1170"/>
          </w:tcPr>
          <w:p>
            <w:pPr>
              <w:spacing w:line="240" w:lineRule="auto" w:before="20" w:after="20"/>
            </w:pPr>
            <w:r/>
            <w:r>
              <w:rPr>
                <w:rFonts w:ascii="Times New Roman" w:hAnsi="Times New Roman"/>
                <w:b w:val="0"/>
                <w:i w:val="0"/>
                <w:sz w:val="18"/>
              </w:rPr>
              <w:t>0.118</w:t>
            </w:r>
          </w:p>
        </w:tc>
        <w:tc>
          <w:tcPr>
            <w:tcW w:type="dxa" w:w="1170"/>
          </w:tcPr>
          <w:p>
            <w:pPr>
              <w:spacing w:line="240" w:lineRule="auto" w:before="20" w:after="20"/>
            </w:pPr>
            <w:r/>
            <w:r>
              <w:rPr>
                <w:rFonts w:ascii="Times New Roman" w:hAnsi="Times New Roman"/>
                <w:b w:val="0"/>
                <w:i w:val="0"/>
                <w:sz w:val="18"/>
              </w:rPr>
              <w:t>0.0025</w:t>
            </w:r>
          </w:p>
        </w:tc>
        <w:tc>
          <w:tcPr>
            <w:tcW w:type="dxa" w:w="1170"/>
          </w:tcPr>
          <w:p>
            <w:pPr>
              <w:spacing w:line="240" w:lineRule="auto" w:before="20" w:after="20"/>
            </w:pPr>
            <w:r/>
            <w:r>
              <w:rPr>
                <w:rFonts w:ascii="Times New Roman" w:hAnsi="Times New Roman"/>
                <w:b w:val="0"/>
                <w:i w:val="0"/>
                <w:sz w:val="18"/>
              </w:rPr>
              <w:t>0.532</w:t>
            </w:r>
          </w:p>
        </w:tc>
        <w:tc>
          <w:tcPr>
            <w:tcW w:type="dxa" w:w="1170"/>
          </w:tcPr>
          <w:p>
            <w:pPr>
              <w:spacing w:line="240" w:lineRule="auto" w:before="20" w:after="20"/>
            </w:pPr>
            <w:r/>
            <w:r>
              <w:rPr>
                <w:rFonts w:ascii="Times New Roman" w:hAnsi="Times New Roman"/>
                <w:b w:val="0"/>
                <w:i w:val="0"/>
                <w:sz w:val="18"/>
              </w:rPr>
              <w:t>NS (only size-indep. passes BH; full-library AUC NS → inconclusive)</w:t>
            </w:r>
          </w:p>
        </w:tc>
      </w:tr>
      <w:tr>
        <w:tc>
          <w:tcPr>
            <w:tcW w:type="dxa" w:w="1170"/>
          </w:tcPr>
          <w:p>
            <w:pPr>
              <w:spacing w:line="240" w:lineRule="auto" w:before="20" w:after="20"/>
            </w:pPr>
            <w:r/>
            <w:r>
              <w:rPr>
                <w:rFonts w:ascii="Times New Roman" w:hAnsi="Times New Roman"/>
                <w:b w:val="0"/>
                <w:i w:val="0"/>
                <w:sz w:val="18"/>
              </w:rPr>
              <w:t>AXL</w:t>
            </w:r>
          </w:p>
        </w:tc>
        <w:tc>
          <w:tcPr>
            <w:tcW w:type="dxa" w:w="1170"/>
          </w:tcPr>
          <w:p>
            <w:pPr>
              <w:spacing w:line="240" w:lineRule="auto" w:before="20" w:after="20"/>
            </w:pPr>
            <w:r/>
            <w:r>
              <w:rPr>
                <w:rFonts w:ascii="Times New Roman" w:hAnsi="Times New Roman"/>
                <w:b w:val="0"/>
                <w:i w:val="0"/>
                <w:sz w:val="18"/>
              </w:rPr>
              <w:t>0.880</w:t>
            </w:r>
          </w:p>
        </w:tc>
        <w:tc>
          <w:tcPr>
            <w:tcW w:type="dxa" w:w="1170"/>
          </w:tcPr>
          <w:p>
            <w:pPr>
              <w:spacing w:line="240" w:lineRule="auto" w:before="20" w:after="20"/>
            </w:pPr>
            <w:r/>
            <w:r>
              <w:rPr>
                <w:rFonts w:ascii="Times New Roman" w:hAnsi="Times New Roman"/>
                <w:b w:val="0"/>
                <w:i w:val="0"/>
                <w:sz w:val="18"/>
              </w:rPr>
              <w:t>Yes</w:t>
            </w:r>
          </w:p>
        </w:tc>
        <w:tc>
          <w:tcPr>
            <w:tcW w:type="dxa" w:w="1170"/>
          </w:tcPr>
          <w:p>
            <w:pPr>
              <w:spacing w:line="240" w:lineRule="auto" w:before="20" w:after="20"/>
            </w:pPr>
            <w:r/>
            <w:r>
              <w:rPr>
                <w:rFonts w:ascii="Times New Roman" w:hAnsi="Times New Roman"/>
                <w:b w:val="0"/>
                <w:i w:val="0"/>
                <w:sz w:val="18"/>
              </w:rPr>
              <w:t>0.141</w:t>
            </w:r>
          </w:p>
        </w:tc>
        <w:tc>
          <w:tcPr>
            <w:tcW w:type="dxa" w:w="1170"/>
          </w:tcPr>
          <w:p>
            <w:pPr>
              <w:spacing w:line="240" w:lineRule="auto" w:before="20" w:after="20"/>
            </w:pPr>
            <w:r/>
            <w:r>
              <w:rPr>
                <w:rFonts w:ascii="Times New Roman" w:hAnsi="Times New Roman"/>
                <w:b w:val="0"/>
                <w:i w:val="0"/>
                <w:sz w:val="18"/>
              </w:rPr>
              <w:t>5.5e-6</w:t>
            </w:r>
          </w:p>
        </w:tc>
        <w:tc>
          <w:tcPr>
            <w:tcW w:type="dxa" w:w="1170"/>
          </w:tcPr>
          <w:p>
            <w:pPr>
              <w:spacing w:line="240" w:lineRule="auto" w:before="20" w:after="20"/>
            </w:pPr>
            <w:r/>
            <w:r>
              <w:rPr>
                <w:rFonts w:ascii="Times New Roman" w:hAnsi="Times New Roman"/>
                <w:b w:val="0"/>
                <w:i w:val="0"/>
                <w:sz w:val="18"/>
              </w:rPr>
              <w:t>0.353</w:t>
            </w:r>
          </w:p>
        </w:tc>
        <w:tc>
          <w:tcPr>
            <w:tcW w:type="dxa" w:w="1170"/>
          </w:tcPr>
          <w:p>
            <w:pPr>
              <w:spacing w:line="240" w:lineRule="auto" w:before="20" w:after="20"/>
            </w:pPr>
            <w:r/>
            <w:r>
              <w:rPr>
                <w:rFonts w:ascii="Times New Roman" w:hAnsi="Times New Roman"/>
                <w:b w:val="0"/>
                <w:i w:val="0"/>
                <w:sz w:val="18"/>
              </w:rPr>
              <w:t>0.880</w:t>
            </w:r>
          </w:p>
        </w:tc>
        <w:tc>
          <w:tcPr>
            <w:tcW w:type="dxa" w:w="1170"/>
          </w:tcPr>
          <w:p>
            <w:pPr>
              <w:spacing w:line="240" w:lineRule="auto" w:before="20" w:after="20"/>
            </w:pPr>
            <w:r/>
            <w:r>
              <w:rPr>
                <w:rFonts w:ascii="Times New Roman" w:hAnsi="Times New Roman"/>
                <w:b w:val="0"/>
                <w:i w:val="0"/>
                <w:sz w:val="18"/>
              </w:rPr>
              <w:t>FAIL (method validation only; size-indep. authoritative, CI contains 0)</w:t>
            </w:r>
          </w:p>
        </w:tc>
      </w:tr>
      <w:tr>
        <w:tc>
          <w:tcPr>
            <w:tcW w:type="dxa" w:w="1170"/>
          </w:tcPr>
          <w:p>
            <w:pPr>
              <w:spacing w:line="240" w:lineRule="auto" w:before="20" w:after="20"/>
            </w:pPr>
            <w:r/>
            <w:r>
              <w:rPr>
                <w:rFonts w:ascii="Times New Roman" w:hAnsi="Times New Roman"/>
                <w:b w:val="0"/>
                <w:i w:val="0"/>
                <w:sz w:val="18"/>
              </w:rPr>
              <w:t>MAPK14</w:t>
            </w:r>
          </w:p>
        </w:tc>
        <w:tc>
          <w:tcPr>
            <w:tcW w:type="dxa" w:w="1170"/>
          </w:tcPr>
          <w:p>
            <w:pPr>
              <w:spacing w:line="240" w:lineRule="auto" w:before="20" w:after="20"/>
            </w:pPr>
            <w:r/>
            <w:r>
              <w:rPr>
                <w:rFonts w:ascii="Times New Roman" w:hAnsi="Times New Roman"/>
                <w:b w:val="0"/>
                <w:i w:val="0"/>
                <w:sz w:val="18"/>
              </w:rPr>
              <w:t>0.779</w:t>
            </w:r>
          </w:p>
        </w:tc>
        <w:tc>
          <w:tcPr>
            <w:tcW w:type="dxa" w:w="1170"/>
          </w:tcPr>
          <w:p>
            <w:pPr>
              <w:spacing w:line="240" w:lineRule="auto" w:before="20" w:after="20"/>
            </w:pPr>
            <w:r/>
            <w:r>
              <w:rPr>
                <w:rFonts w:ascii="Times New Roman" w:hAnsi="Times New Roman"/>
                <w:b w:val="0"/>
                <w:i w:val="0"/>
                <w:sz w:val="18"/>
              </w:rPr>
              <w:t>Yes</w:t>
            </w:r>
          </w:p>
        </w:tc>
        <w:tc>
          <w:tcPr>
            <w:tcW w:type="dxa" w:w="1170"/>
          </w:tcPr>
          <w:p>
            <w:pPr>
              <w:spacing w:line="240" w:lineRule="auto" w:before="20" w:after="20"/>
            </w:pPr>
            <w:r/>
            <w:r>
              <w:rPr>
                <w:rFonts w:ascii="Times New Roman" w:hAnsi="Times New Roman"/>
                <w:b w:val="0"/>
                <w:i w:val="0"/>
                <w:sz w:val="18"/>
              </w:rPr>
              <w:t>0.5785</w:t>
            </w:r>
          </w:p>
        </w:tc>
        <w:tc>
          <w:tcPr>
            <w:tcW w:type="dxa" w:w="1170"/>
          </w:tcPr>
          <w:p>
            <w:pPr>
              <w:spacing w:line="240" w:lineRule="auto" w:before="20" w:after="20"/>
            </w:pPr>
            <w:r/>
            <w:r>
              <w:rPr>
                <w:rFonts w:ascii="Times New Roman" w:hAnsi="Times New Roman"/>
                <w:b w:val="0"/>
                <w:i w:val="0"/>
                <w:sz w:val="18"/>
              </w:rPr>
              <w:t>1.5e-4</w:t>
            </w:r>
          </w:p>
        </w:tc>
        <w:tc>
          <w:tcPr>
            <w:tcW w:type="dxa" w:w="1170"/>
          </w:tcPr>
          <w:p>
            <w:pPr>
              <w:spacing w:line="240" w:lineRule="auto" w:before="20" w:after="20"/>
            </w:pPr>
            <w:r/>
            <w:r>
              <w:rPr>
                <w:rFonts w:ascii="Times New Roman" w:hAnsi="Times New Roman"/>
                <w:b w:val="0"/>
                <w:i w:val="0"/>
                <w:sz w:val="18"/>
              </w:rPr>
              <w:t>0.584</w:t>
            </w:r>
          </w:p>
        </w:tc>
        <w:tc>
          <w:tcPr>
            <w:tcW w:type="dxa" w:w="1170"/>
          </w:tcPr>
          <w:p>
            <w:pPr>
              <w:spacing w:line="240" w:lineRule="auto" w:before="20" w:after="20"/>
            </w:pPr>
            <w:r/>
            <w:r>
              <w:rPr>
                <w:rFonts w:ascii="Times New Roman" w:hAnsi="Times New Roman"/>
                <w:b w:val="0"/>
                <w:i w:val="0"/>
                <w:sz w:val="18"/>
              </w:rPr>
              <w:t>0.779</w:t>
            </w:r>
          </w:p>
        </w:tc>
        <w:tc>
          <w:tcPr>
            <w:tcW w:type="dxa" w:w="1170"/>
          </w:tcPr>
          <w:p>
            <w:pPr>
              <w:spacing w:line="240" w:lineRule="auto" w:before="20" w:after="20"/>
            </w:pPr>
            <w:r/>
            <w:r>
              <w:rPr>
                <w:rFonts w:ascii="Times New Roman" w:hAnsi="Times New Roman"/>
                <w:b w:val="0"/>
                <w:i w:val="0"/>
                <w:sz w:val="18"/>
              </w:rPr>
              <w:t>FAIL (matches MW-only baseline)</w:t>
            </w:r>
          </w:p>
        </w:tc>
      </w:tr>
      <w:tr>
        <w:tc>
          <w:tcPr>
            <w:tcW w:type="dxa" w:w="1170"/>
          </w:tcPr>
          <w:p>
            <w:pPr>
              <w:spacing w:line="240" w:lineRule="auto" w:before="20" w:after="20"/>
            </w:pPr>
            <w:r/>
            <w:r>
              <w:rPr>
                <w:rFonts w:ascii="Times New Roman" w:hAnsi="Times New Roman"/>
                <w:b w:val="0"/>
                <w:i w:val="0"/>
                <w:sz w:val="18"/>
              </w:rPr>
              <w:t>TNIK</w:t>
            </w:r>
          </w:p>
        </w:tc>
        <w:tc>
          <w:tcPr>
            <w:tcW w:type="dxa" w:w="1170"/>
          </w:tcPr>
          <w:p>
            <w:pPr>
              <w:spacing w:line="240" w:lineRule="auto" w:before="20" w:after="20"/>
            </w:pPr>
            <w:r/>
            <w:r>
              <w:rPr>
                <w:rFonts w:ascii="Times New Roman" w:hAnsi="Times New Roman"/>
                <w:b w:val="0"/>
                <w:i w:val="0"/>
                <w:sz w:val="18"/>
              </w:rPr>
              <w:t>0.824</w:t>
            </w:r>
          </w:p>
        </w:tc>
        <w:tc>
          <w:tcPr>
            <w:tcW w:type="dxa" w:w="1170"/>
          </w:tcPr>
          <w:p>
            <w:pPr>
              <w:spacing w:line="240" w:lineRule="auto" w:before="20" w:after="20"/>
            </w:pPr>
            <w:r/>
            <w:r>
              <w:rPr>
                <w:rFonts w:ascii="Times New Roman" w:hAnsi="Times New Roman"/>
                <w:b w:val="0"/>
                <w:i w:val="0"/>
                <w:sz w:val="18"/>
              </w:rPr>
              <w:t>Yes</w:t>
            </w:r>
          </w:p>
        </w:tc>
        <w:tc>
          <w:tcPr>
            <w:tcW w:type="dxa" w:w="1170"/>
          </w:tcPr>
          <w:p>
            <w:pPr>
              <w:spacing w:line="240" w:lineRule="auto" w:before="20" w:after="20"/>
            </w:pPr>
            <w:r/>
            <w:r>
              <w:rPr>
                <w:rFonts w:ascii="Times New Roman" w:hAnsi="Times New Roman"/>
                <w:b w:val="0"/>
                <w:i w:val="0"/>
                <w:sz w:val="18"/>
              </w:rPr>
              <w:t>0.4435</w:t>
            </w:r>
          </w:p>
        </w:tc>
        <w:tc>
          <w:tcPr>
            <w:tcW w:type="dxa" w:w="1170"/>
          </w:tcPr>
          <w:p>
            <w:pPr>
              <w:spacing w:line="240" w:lineRule="auto" w:before="20" w:after="20"/>
            </w:pPr>
            <w:r/>
            <w:r>
              <w:rPr>
                <w:rFonts w:ascii="Times New Roman" w:hAnsi="Times New Roman"/>
                <w:b w:val="0"/>
                <w:i w:val="0"/>
                <w:sz w:val="18"/>
              </w:rPr>
              <w:t>3.3e-4</w:t>
            </w:r>
          </w:p>
        </w:tc>
        <w:tc>
          <w:tcPr>
            <w:tcW w:type="dxa" w:w="1170"/>
          </w:tcPr>
          <w:p>
            <w:pPr>
              <w:spacing w:line="240" w:lineRule="auto" w:before="20" w:after="20"/>
            </w:pPr>
            <w:r/>
            <w:r>
              <w:rPr>
                <w:rFonts w:ascii="Times New Roman" w:hAnsi="Times New Roman"/>
                <w:b w:val="0"/>
                <w:i w:val="0"/>
                <w:sz w:val="18"/>
              </w:rPr>
              <w:t>0.584</w:t>
            </w:r>
          </w:p>
        </w:tc>
        <w:tc>
          <w:tcPr>
            <w:tcW w:type="dxa" w:w="1170"/>
          </w:tcPr>
          <w:p>
            <w:pPr>
              <w:spacing w:line="240" w:lineRule="auto" w:before="20" w:after="20"/>
            </w:pPr>
            <w:r/>
            <w:r>
              <w:rPr>
                <w:rFonts w:ascii="Times New Roman" w:hAnsi="Times New Roman"/>
                <w:b w:val="0"/>
                <w:i w:val="0"/>
                <w:sz w:val="18"/>
              </w:rPr>
              <w:t>0.824</w:t>
            </w:r>
          </w:p>
        </w:tc>
        <w:tc>
          <w:tcPr>
            <w:tcW w:type="dxa" w:w="1170"/>
          </w:tcPr>
          <w:p>
            <w:pPr>
              <w:spacing w:line="240" w:lineRule="auto" w:before="20" w:after="20"/>
            </w:pPr>
            <w:r/>
            <w:r>
              <w:rPr>
                <w:rFonts w:ascii="Times New Roman" w:hAnsi="Times New Roman"/>
                <w:b w:val="0"/>
                <w:i w:val="0"/>
                <w:sz w:val="18"/>
              </w:rPr>
              <w:t>FAIL (method validation only; size-indep. CI contains 0)</w:t>
            </w:r>
          </w:p>
        </w:tc>
      </w:tr>
    </w:tbl>
    <w:p>
      <w:pPr>
        <w:spacing w:before="0" w:after="80"/>
      </w:pPr>
    </w:p>
    <w:p>
      <w:pPr>
        <w:spacing w:before="0" w:after="40"/>
      </w:pPr>
      <w:r>
        <w:rPr>
          <w:rFonts w:ascii="Times New Roman" w:hAnsi="Times New Roman"/>
          <w:b w:val="0"/>
          <w:i w:val="0"/>
          <w:sz w:val="22"/>
        </w:rPr>
        <w:t xml:space="preserve">Breadth flip: ADRA2A Tier-1 (620-drug) AUC 0.618 → full-library (3,085-drug) 0.532 (p = 0.118, NS). Sources: </w:t>
      </w:r>
      <w:r>
        <w:rPr>
          <w:rFonts w:ascii="Courier New" w:hAnsi="Courier New"/>
          <w:b w:val="0"/>
          <w:i w:val="0"/>
          <w:sz w:val="22"/>
        </w:rPr>
        <w:t>results/tables/P6_reverse_control.csv</w:t>
      </w:r>
      <w:r>
        <w:rPr>
          <w:rFonts w:ascii="Times New Roman" w:hAnsi="Times New Roman"/>
          <w:b w:val="0"/>
          <w:i w:val="0"/>
          <w:sz w:val="22"/>
        </w:rPr>
        <w:t xml:space="preserve">, </w:t>
      </w:r>
      <w:r>
        <w:rPr>
          <w:rFonts w:ascii="Courier New" w:hAnsi="Courier New"/>
          <w:b w:val="0"/>
          <w:i w:val="0"/>
          <w:sz w:val="22"/>
        </w:rPr>
        <w:t>P6_enrichment_mw_confounder_check.csv</w:t>
      </w:r>
      <w:r>
        <w:rPr>
          <w:rFonts w:ascii="Times New Roman" w:hAnsi="Times New Roman"/>
          <w:b w:val="0"/>
          <w:i w:val="0"/>
          <w:sz w:val="22"/>
        </w:rPr>
        <w:t xml:space="preserve">, </w:t>
      </w:r>
      <w:r>
        <w:rPr>
          <w:rFonts w:ascii="Courier New" w:hAnsi="Courier New"/>
          <w:b w:val="0"/>
          <w:i w:val="0"/>
          <w:sz w:val="22"/>
        </w:rPr>
        <w:t>P6_BH_correction.csv</w:t>
      </w:r>
      <w:r>
        <w:rPr>
          <w:rFonts w:ascii="Times New Roman" w:hAnsi="Times New Roman"/>
          <w:b w:val="0"/>
          <w:i w:val="0"/>
          <w:sz w:val="22"/>
        </w:rPr>
        <w:t xml:space="preserve">, </w:t>
      </w:r>
      <w:r>
        <w:rPr>
          <w:rFonts w:ascii="Courier New" w:hAnsi="Courier New"/>
          <w:b w:val="0"/>
          <w:i w:val="0"/>
          <w:sz w:val="22"/>
        </w:rPr>
        <w:t>P6_breadth_chembl_power.csv</w:t>
      </w:r>
      <w:r>
        <w:rPr>
          <w:rFonts w:ascii="Times New Roman" w:hAnsi="Times New Roman"/>
          <w:b w:val="0"/>
          <w:i w:val="0"/>
          <w:sz w:val="22"/>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Conserved nerve-injury-associated transcriptional response of the dorsal root ganglion: spinal-cord localisation and an honest repurposing null</dc:title>
  <dc:subject/>
  <dc:creator>Yang Y</dc:creator>
  <cp:keywords/>
  <dc:description>generated by python-docx</dc:description>
  <cp:lastModifiedBy>Yang Y</cp:lastModifiedBy>
  <cp:revision>1</cp:revision>
  <dcterms:created xsi:type="dcterms:W3CDTF">2013-12-23T23:15:00Z</dcterms:created>
  <dcterms:modified xsi:type="dcterms:W3CDTF">2013-12-23T23:15:00Z</dcterms:modified>
  <cp:category/>
</cp:coreProperties>
</file>