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of the dorsal root ganglion: spinal-cord localisation and an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val="0"/>
          <w:i w:val="0"/>
          <w:sz w:val="22"/>
        </w:rPr>
        <w:t>Chronic postsurgical pain affects 10–50% of surgical patients, yet dorsal root ganglion (DRG)-centred nerve-injury targets and their spinal-cord localisation remain incompletely defined. We reanalysed 12 GEO accessions (five transcriptomic studies across six contrasts, plus seven single-cell, spatial, miRNA and human-plasma layers) and treated the incision arm as a held-out translation test. Integrating the five transcriptomic studies by Stouffer meta-analysis with real-sample-size weighting, set-level Benjamini–Hochberg gene-set tests, leakage-controlled dual-machine-learning hub identification (leave-one-dataset-out), and a prospectively specified full-library (3,085-drug) docking screen with reverse positive controls, we identified a 2,750-gene core under fixed effects, of which only 508 (18.5%) persisted under random effects (median I² 41.8%). Gene-set tests recapitulated a coordinated neuroimmune–complement and DAM-like programme together with mitochondrial OXPHOS downregulation, all surviving set-level BH correction under both fixed and random effects (q = 0.0022 each). A non-circular test showed the nerve-injury signature did not predict the incision arm (43.3% vs 47.1% background; permutation p ≤ 0.0002, a significant depletion). Spatial mapping placed 17 of 33 hubs in the dorsal horn, and the human blood miRNA layer was negative (p = 0.51). Full-library docking of 3,085 drugs against 10 tractable targets found none clearing both the full-library and size-independent enrichment filters (ADRA2A 0.618 → 0.532, p = 0.118); the ion-channel class was undockable, so the null cannot speak to those targets. The axis is a nerve-injury-associated, heterogeneity-sensitive response that this meta-analysis does not establish to be CPSP-specific on available evidence (provisional, resting on a single heterogeneous incision arm pooling two models). We report the honestly negative human layer and docking screen as a methodological boundary rather than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DRG-centred nerve-injury axis with spinal-cord localisation.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that no target cleared both enrichment filters we applied — an honestly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linked peripheral–central pathway.</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DRG-centred, spinal-localised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DRG-centred nerve-injury axis with spinal-cord localisation across 12 curated GEO accessions spanning incision, nerve-injury and spared-nerve-injury (SNI) models in rat, mouse and human; of these, five transcriptomic studies (six contrasts) inform the Stouffer meta-analysis, and seven single-cell/spatial/miRNA datasets provide localisation and the human plasma layer.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6,558 at meta_FDR &lt; 0.05 and a core signature of 2,750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11.4% is a share of total inverse-variance weight, not an 11% inflation of the result: de-duplicating the two same-animal timepoints changes Σw² from 17.52 to 16.52 (a 5.7% reduction) and lengthens the fixed-effect standard error by only ~3%, so the anti-conservatism from treating them as independent is modest and bounded. The two timepoints are from the same animals and are not statistically independent; their joint influence is bounded by the bulk-only (overlap 63.2%) and collapse (retention 91.0%)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Because the two GSE265957 timepoints are from the same animals, treating them as two independent inputs makes the fixed-effect meta standard error marginally anti-conservative (the effective independent sample size is overstated by the 11.4% same-animal weight); the bulk-only (overlap 63.2%) and collapse (retention 91.0%) sensitivity analyses bound this over-statement, and all fixed-effect gene-level claims are conditioned on it. The Stouffer meta core is thus a DRG-axis product (all six inputs are DRG or DRG translatome); the spinal-cord dimension of this studied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41.8% across all genes) but substantial within the candidate-hub subset — median I² 79.1% across the 35 hubs, 7/35 retaining FDR_RE &lt; 0.05 — so fixed-effect gene-level claims are most conditional exactly where they matter most; non-negligible even at the whole-genome level: median τ² = 0.266 and median I² = 41.8%, with 43.9% of genes showing I² &gt; 50% and 69.7% showing τ² &gt; 0. Under random effects the core (FDR_RE &lt; 0.05 and consistency ≥ 0.8) shrank to 508 genes, 18.5% of the fixed-effect core. The fixed-effect core is therefore reported as the primary result (FE-conditional, heterogeneity-sensitive estimate) and the random-effects core as its sensitivity bound; gene-level conclusions drawn from the 2,750-gene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79.1% and 7/35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+5.075, 100% up, q = 0.0022), DAM-like neuroimmune programme (+3.833, 87.5% up, q = 0.0022) and complement (+3.700, 94.4% up, q = 0.0022) were coordinately upregulated, and mitochondrial OXPHOS was downregulated (mean_Z −2.922, 78.9% of members down, q = 0.0022).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The permutation p-values for the four core sets reach the 2,000-permutation resolution floor (1/2001 ≈ 0.0005) and are reported as an upper bound; the set-level BH q = 0.0022 reported for each is the calibrated across-set false-discovery rate, and because the four core sets share many members the effective number of independent discoveries is close to one, so 0.0022 is best read as 'a single coordinated signal significant beyond the resolution of 2,000 permutations' rather than as four independent findings. Under the random-effects meta-vector all four programmes (neuroinflammation, DAM-like, complement, OXPHOS) survived set-level BH (q = 0.0022 each; their permutation p reaches the 2,000-permutation floor and is reported as an upper bound), so OXPHOS downregulation is now reliable under between-contrast heterogeneity rather than a fixed-effect-only finding. Because this is a bulk-tissue gene-set signal, it cannot be attributed specifically to DRG-resident versus recruited macrophages (the DRG myeloid compartment: ref. 26), satellite glia, or blood-derived immune cells - and, at the spinal pole, resident microglia versus infiltrating myeloid cells; "DAM-like" denotes the shared transcriptional programme, not a cell-type-resolved state. Consistent with this qualification, LPL — a canonical DAM hallmark that is up-regulated in bona fide DAM — is itself down-regulated in the nerve-injury meta (meta_Z −3.43, two-sided p = 6.1×10⁻⁴, BH-FDR 2.6×10⁻³),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(four bulk studies) defined a core of 2,512 genes under the same union-K≥3 inclusion rule as the primary (a gene retained if present in ≥3 of the four bulk contrasts, with bulk meta_FDR &lt; 0.05 and consistency ≥ 0.8), of which 1,737 (63.2%) overlapped the primary 2,750-gene core. This 63.2% overlap is the primary-core genes also retained by the bulk-only core's consistency ≥ 0.8 gate (1,322 pure 4/4, 415 K = 3 only); under the relaxed ≥3/4 gate it rises to 89.2%. Within that 1,737 overlap, 1,322 genes are concordant across all four available bulk contrasts (pure 4/4, 48.1% of the primary core). A further 415 were measured in only three of the four bulk datasets (the fourth absent for that gene, e.g. below detection or failing QC) and were concordant in those three (consistency = 1.0); the 'not strict 4/4' component therefore reflects reduced measurement coverage (lower K), not directional disagreement among four available contrasts. The overlap is thus better described as ≥3/4 concordance under availability, not as strict 4/4. When the bulk consistency gate is relaxed from ≥0.8 to ≥3/4 — the largest achievable majority concordance for four contrasts, versus ≥5/6 ≈ 0.83 for six — the overlap rises to 2,454/2,750 = 89.2%, recovering 1,385 of the 1,853 genes that appear lost under the stricter gate. Of the 2,750 primary-core genes, 200 lack any bulk-study support: 154 are present in the four-bulk file but not bulk-significant (bulk meta_FDR ≥ 0.05) and 46 are absent from the four-bulk file entirely (never evaluated by the bulk analysis). A total of 296 genes fall outside even the relaxed ≥3/4 overlap, comprising the 200 just described plus a further 96 bulk-significant genes that fall below the 3/4 consistency gate. The translatome-specific contribution to core membership is therefore bounded by 211 (present-but-non-significant) to 313 (including never-bulk-tested), and the apparent 45.7% "translatome-dependence" of gene-level membership is substantially a threshold/concordance-count artefact rather than a disappearance of the axis.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bulk DRG signal is confounded by injury-induced neuronal atrophy/loss¹² and by the dilution of neuronal transcripts by infiltrating immune and glial cells; consistent with this, Nav1.8 (SCN10A) transcript is known to fall after axotomy (e.g., in spared-nerve/axotomised DRG neuron studies), and the present bulk down-regulation is most parsimoniously read as a neuronal-loss/dilution signal rather than a neuronal up-regulation.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54.0% (7,769/14,390 shared genes; Wilson 95% CI 53.2–54.8%) overall and 77.2% (1,822/2,361; Wilson 95% CI 75.4–78.8%) when restricted to the 2,750-gene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incision-measured genes (2,361 of which fall in the 2,750-gene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14,390-gene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(6,772/14,390; 95% CI 46.2–47.9%), and among the 3,830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43.3% (1,660/3,830; 95% CI 41.8–44.9%)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−3.7 pp versus background, permutation p ≤ 0.0002 (significant; 1/5,000 relabel floor). Restricting to nerve-injury-only consistency also collapses the apparent core translation from 77.2% to 48.3% (3,023/6,256; 95% CI 47.1–49.6%). The conclusion is stronger, not weaker, than the original formulation, but it must be read within its lesion-class limit: knowing that a gene is strongly and consistently regulated by axotomy-constriction nerve injury carries essentially no information about its direction in the non-axotomy SMIR model (43.3% vs 47.1% background, perm_p = 0.0002), and roughly half of such genes move in the opposite direction. Because the two arms differ in lesion class as well as in time course, this null is uninformative about CPSP rather than evidence that the nerve-injury programme fails to translate to postsurgical pain. Within the reported 2,750-gene core, 539 of 2,361 genes with incision measurements are incision-discordant (77.2% agree). A nerve-injury-only core (FDR &lt; 0.05 and nerve-injury consistency ≥ 0.8, incision excluded) comprised 4,234 genes under fixed effects and 1,974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 xml:space="preserve">The dual-ML consensus identified 35 candidate hub genes; 26/35 (74%) fell inside the meta core signature (Table 2; the in-core flag is the </w:t>
      </w:r>
      <w:r>
        <w:rPr>
          <w:rFonts w:ascii="Courier New" w:hAnsi="Courier New"/>
          <w:b w:val="0"/>
          <w:i w:val="0"/>
          <w:sz w:val="22"/>
        </w:rPr>
        <w:t>in_meta_core</w:t>
      </w:r>
      <w:r>
        <w:rPr>
          <w:rFonts w:ascii="Times New Roman" w:hAnsi="Times New Roman"/>
          <w:b w:val="0"/>
          <w:i w:val="0"/>
          <w:sz w:val="22"/>
        </w:rPr>
        <w:t xml:space="preserve"> boolean in </w:t>
      </w:r>
      <w:r>
        <w:rPr>
          <w:rFonts w:ascii="Courier New" w:hAnsi="Courier New"/>
          <w:b w:val="0"/>
          <w:i w:val="0"/>
          <w:sz w:val="22"/>
        </w:rPr>
        <w:t>P3_hub_genes.csv</w:t>
      </w:r>
      <w:r>
        <w:rPr>
          <w:rFonts w:ascii="Times New Roman" w:hAnsi="Times New Roman"/>
          <w:b w:val="0"/>
          <w:i w:val="0"/>
          <w:sz w:val="22"/>
        </w:rPr>
        <w:t xml:space="preserve">, not the </w:t>
      </w:r>
      <w:r>
        <w:rPr>
          <w:rFonts w:ascii="Courier New" w:hAnsi="Courier New"/>
          <w:b w:val="0"/>
          <w:i w:val="0"/>
          <w:sz w:val="22"/>
        </w:rPr>
        <w:t>P5_hub_lineage_consensus.csv</w:t>
      </w:r>
      <w:r>
        <w:rPr>
          <w:rFonts w:ascii="Times New Roman" w:hAnsi="Times New Roman"/>
          <w:b w:val="0"/>
          <w:i w:val="0"/>
          <w:sz w:val="22"/>
        </w:rPr>
        <w:t>, which carries no core-membership field).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identified a candidate nerve-injury-enriched — not universally generalisable — LODO signal (Fig. 2A), with explicit precision caveats (below). Under leakage-controlled leave-one-dataset-out, four of the five folds reached AUC 1.000 (GSE278227 CCI rat DRG, n = 28 (within-animal paired; see Methods); GSE212311 CCI, n = 6; and the two same-animal GSE241361 folds — mouse DRG AUC 1.000, n = 9; spinal cord AUC 1.000, n = 9 — which are excluded from the cross-animal mean); GSE278227 is a within-animal paired design (ipsilateral and contralateral DRG from the same 14 rats, 28 libraries from 14 animals; see Methods), so its LODO fold is a within-animal discrimination and is not directly comparable with the between-animal incision fold (GSE267799, n = 20); the only genuinely cross-animal nerve-injury fold is GSE212311 (n = 6), and the candidate nerve-injury-enriched — not universal — conclusion rests on the within-animal GSE278227 pattern and the GSE212311 n = 6 floor rather than on a quoted cross-animal mean. Every AUC = 1.000 quote carries a degenerate bootstrap percentile confidence interval [1.0, 1.0] (zero estimable precision) because the test sets are small (n = 6–28); these leakage-controlled AUCs were computed on the within-fold union of the three selectors (140–169 features), not on the published ≥2/3 consensus rule, so they bound the selection procedure rather than validate the 35-hub classifier itself (events-per-parameter ≈ 0.15); the nerve-injury-enriched signal is therefore reported as exploratory, hypothesis-generating evidence from a single n = 28 fold (GSE278227), not as a precision estimate. GSE212311 is a 3-versus-3 design (n = 6); under complete class separation its exact two-sided Mann–Whitney p is 0.10 (one-sided 0.05), the minimum attainable for that sample size, so its AUC 1.0 is the statistical floor of the design rather than independent evidence, and the nerve-injury-enriched conclusion rests principally on the within-animal GSE278227 fold (28 libraries, 14 animals). The signature does not generalise to the incision model: the pivotal incision fold (GSE267799 n = 20) falls to a leakage-controlled 0.677 [0.374, 0.940], a confidence interval that includes chance, so it neither confirms nor refutes incision generalisation; the candidate nerve-injury-enriched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140–169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The Top-800 univariate pre-screen and the LASSO penalty (λ.1se) were estimated once on all 72 libraries and held fixed across the 200 resamples, so the reported recovery frequencies quantify selector stability conditional on a fixed candidate pool and are upper bounds on full-pipeline stability; the 72 libraries comprise 49 animals and are resampled as libraries, not animals, so the bootstrap does not reproduce the within-animal pairing.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recovered as a partially stable, structurally-tractable subset — stable enough to define a screening set, not stable enough to treat individual membership as reproducible (no resample recovers the full set, P = 0.000; median Jaccard with the published 35 is 0.304).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 = 60 human plasma miRNA; patients undergoing surgery for lumbar spinal stenosis with or without degenerative spondylolisthesis), the primary contrast is a surgical-procedure contrast (LSS+DS vs LSS) and the pain-relevant analysis is the association of plasma miRNA with percentage change in NRS pain (%nprs20delta; n = 56, measured at a follow-up interval not stated in the GSE158825 deposition), a measure of postoperative recovery rather than chronic postsurgical-pain incidence; neither reached FDR significance (LSS+DS vs LSS: min p = 1.3e-4, FDR 0.128; %nprs20delta: min p = 8.5e-4, FDR 0.556); nominal hits clustered in immune miRNAs (miR-99b/let-7e/miR-125a polycistron; miR-146a-3p; miR-155-5p). The indirect hub-mRNA chain was detectable, miRDB v6.0 predicted 3,511 hub→miRNA targeting relationships spanning 33 of 35 hubs, of which 752 were high-confidence (score ≥ 80); 253 distinct high-confidence hub-targeting miRNAs were detectable in human plasma (GSE158825) and 328 in urine (GSE222979), but the set-level permutation test on the plasma-detectable miRNAs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DRG-centred, spinal-localised programme</w:t>
      </w:r>
    </w:p>
    <w:p>
      <w:pPr>
        <w:spacing w:before="0" w:after="40"/>
      </w:pPr>
      <w:r>
        <w:rPr>
          <w:rFonts w:ascii="Times New Roman" w:hAnsi="Times New Roman"/>
          <w:b w:val="0"/>
          <w:i w:val="0"/>
          <w:sz w:val="22"/>
        </w:rPr>
        <w:t>Across the three localisation platforms the 35-hub set is counted against different measured denominators — 34/35 present in DRG (CRISP3 absent), 33/35 in spinal snRNA (CRISP3 and REG3B absent), and 33/35 detectably expressed in Visium (CRISP3 and LNP1 below detection) — so 'present'/'detected' rates are not directly comparable across platforms.</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Spinal lineage assignment pools Sham and SNI nuclei in GSE328175 (23,191 Sham / 31,121 SNI cells across 6 samples); as for Visium, these are therefore anatomical-compartment assignments, not injury-induced localisation shifts, and no Sham-vs-SNI comparison of hub localisation is claimed.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and VIP. REG3B — whose "established DRG neuroimmune hub" status derives largely from a single CRPS-I report¹⁹ (not CPSP, not nerve-transection) — is meta-significant in the present analysis (1.38×10⁻¹³; nerve-injury-only FDR 3.18×10⁻²⁰) yet fails the core's direction-consistency gate (consistency 0.75; down in 1 of 4 contrasts) and was not localisable in spinal snRNA and only 1.7% detected in DRG; we therefore carry it as an external motivational hypothesis rather than as a core internal hub, and it must be tested in the present model before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permutation p = 0.56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 The clearest single-gene exception to the ion-channel-family nulls is the gabapentinoid target itself: CACNA2D1 (α2δ-1) was up-regulated in 4 of 6 contrasts (meta_Z +7.09, meta_FDR 2.3 × 10⁻¹⁰, consistency 4/6), i.e. the present meta independently reproduces the injury-induced α2δ-1 up-regulation that underlies gabapentinoid efficacy²² (in the SMIR model gabapentin reverses SMIR-evoked hypersensitivity²³), while the family-wide CACNA test remains null because its other 17 members do not move coordinately. The ion-channel statement is therefore a family-level statement, and the single most clinically actionable ion-channel-adjacent gene in this dataset is up-regulated, not null.</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EPV ≈ 1.9) and TNIK (p = 7.3e-5; 0.852 → 0.898; EPV ≈ 1.4); both rest on only ~9 positive events against ~7–9 parameters (EPV ≈ 1–2, far below the conventional ≥10), so the apparent discrimination is descriptive and EPV-unstable rather than validation, and is inconsistent with the simpler single-variable size-independent ΔAUC test (AXL [−0.030, +0.104], TNIK [−0.224, +0.193], neither exceeding zero);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(4.45), yet under the random-effects meta-analysis only 2 of the 10 targets retained FDR &lt; 0.05 (TNIK 0.034, GALNS 0.0001),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4.45</w:t>
            </w:r>
          </w:p>
        </w:tc>
        <w:tc>
          <w:tcPr>
            <w:tcW w:type="dxa" w:w="1337"/>
          </w:tcPr>
          <w:p>
            <w:pPr>
              <w:spacing w:line="240" w:lineRule="auto" w:before="20" w:after="20"/>
            </w:pPr>
            <w:r/>
            <w:r>
              <w:rPr>
                <w:rFonts w:ascii="Times New Roman" w:hAnsi="Times New Roman"/>
                <w:b w:val="0"/>
                <w:i w:val="0"/>
                <w:sz w:val="18"/>
              </w:rPr>
              <w:t>8.35e-5</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0.255</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α²A adrenergic receptor; established analgesic pharmacology (descending noradrenergic and peripheral/DRG α2A components); the present signal is DRG-level and does not itself establish a descending mechanism</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5.12</w:t>
            </w:r>
          </w:p>
        </w:tc>
        <w:tc>
          <w:tcPr>
            <w:tcW w:type="dxa" w:w="1337"/>
          </w:tcPr>
          <w:p>
            <w:pPr>
              <w:spacing w:line="240" w:lineRule="auto" w:before="20" w:after="20"/>
            </w:pPr>
            <w:r/>
            <w:r>
              <w:rPr>
                <w:rFonts w:ascii="Times New Roman" w:hAnsi="Times New Roman"/>
                <w:b w:val="0"/>
                <w:i w:val="0"/>
                <w:sz w:val="18"/>
              </w:rPr>
              <w:t>5.39e-6</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0.616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4.04e-8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0.098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8.59e-13</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0.034</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5.42e-10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0.249</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6.34e-10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0.087</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5.59</w:t>
            </w:r>
          </w:p>
        </w:tc>
        <w:tc>
          <w:tcPr>
            <w:tcW w:type="dxa" w:w="1337"/>
          </w:tcPr>
          <w:p>
            <w:pPr>
              <w:spacing w:line="240" w:lineRule="auto" w:before="20" w:after="20"/>
            </w:pPr>
            <w:r/>
            <w:r>
              <w:rPr>
                <w:rFonts w:ascii="Times New Roman" w:hAnsi="Times New Roman"/>
                <w:b w:val="0"/>
                <w:i w:val="0"/>
                <w:sz w:val="18"/>
              </w:rPr>
              <w:t>6.57e-7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0.360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6.08</w:t>
            </w:r>
          </w:p>
        </w:tc>
        <w:tc>
          <w:tcPr>
            <w:tcW w:type="dxa" w:w="1337"/>
          </w:tcPr>
          <w:p>
            <w:pPr>
              <w:spacing w:line="240" w:lineRule="auto" w:before="20" w:after="20"/>
            </w:pPr>
            <w:r/>
            <w:r>
              <w:rPr>
                <w:rFonts w:ascii="Times New Roman" w:hAnsi="Times New Roman"/>
                <w:b w:val="0"/>
                <w:i w:val="0"/>
                <w:sz w:val="18"/>
              </w:rPr>
              <w:t>5.53e-8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0.0001</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5.94</w:t>
            </w:r>
          </w:p>
        </w:tc>
        <w:tc>
          <w:tcPr>
            <w:tcW w:type="dxa" w:w="1337"/>
          </w:tcPr>
          <w:p>
            <w:pPr>
              <w:spacing w:line="240" w:lineRule="auto" w:before="20" w:after="20"/>
            </w:pPr>
            <w:r/>
            <w:r>
              <w:rPr>
                <w:rFonts w:ascii="Times New Roman" w:hAnsi="Times New Roman"/>
                <w:b w:val="0"/>
                <w:i w:val="0"/>
                <w:sz w:val="18"/>
              </w:rPr>
              <w:t>1.13e-7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0.275</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6.76</w:t>
            </w:r>
          </w:p>
        </w:tc>
        <w:tc>
          <w:tcPr>
            <w:tcW w:type="dxa" w:w="1337"/>
          </w:tcPr>
          <w:p>
            <w:pPr>
              <w:spacing w:line="240" w:lineRule="auto" w:before="20" w:after="20"/>
            </w:pPr>
            <w:r/>
            <w:r>
              <w:rPr>
                <w:rFonts w:ascii="Times New Roman" w:hAnsi="Times New Roman"/>
                <w:b w:val="0"/>
                <w:i w:val="0"/>
                <w:sz w:val="18"/>
              </w:rPr>
              <w:t>1.56e-9</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0.551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suzetrigine²⁴,²⁵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DRG-centred nerve-injury axis (with spinal-cord localisation) is recurrently characterized by a neuroimmune programme with a metabolic (OXPHOS-down) limb (q = 0.0022 under RE, now reliable rather than random-effects-fragile) that is best described as a nerve-injury-associated transcriptional response rather than a CPSP-specific pathway on the available evidence (this inference rests on a single, heterogeneous incision arm and is provisional): coordinated DAM-like (myeloid: at the DRG pole, resident and/or recruited macrophages²⁶; at the spinal pole, microglia and/or infiltrating myeloid cells) neuroimmune and complement activation²¹,²⁷,²⁸,²⁶ (the DAM programme was first defined in neurodegeneration by Keren-Shaul et al.²⁹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al.³⁰ — and is therefore described as DAM-like). To quantify the 'DAM-like' qualifier, we checked the canonical DAM hallmark genes against the Stouffer up-regulated meta core (K = 5–6 DRG datasets per gene, by availability): TYROBP is in the core (meta_FDR = 1.2 × 10⁻⁷; consistency 4/5 = 0.80, up in four of five datasets), whereas TREM2, although highly significant (meta_FDR = 3.0 × 10⁻³ six-input, 1.3 × 10⁻³ four-bulk), fails the core consistency gate (4/6 = 0.67; 3/4 = 0.75 in the bulk-only meta), and APOE does not reach meta-significance (meta_FDR = 0.84 six-input, 0.30 four-bulk; consistency 4/6 = 0.67); the partial, time- and sex-dependent recruitment of the DAM programme — TYROBP in-core, TREM2 significant but consistency-failing, APOE absent — is therefore a data-supported, not merely metaphorical, descriptor. In the fixed-effect analysis only, OXPHOS suppression (which survived random-effects correction, q = 0.0022), consistent with the growing literature on microglial–complement and energy-metabolism dysfunction in chronic and neuropathic pain²⁷,²⁸,³¹,³²,³³,³⁴, and with prior multi-tissue CPSP resources including a DRG-containing dataset⁶ and a spinal-cord neuropathic-pain atlas⁷. Chemokine signalling at the spinal dorsal horn, in particular the CXCL12/SDF-1 axis, has also been implicated in nerve-injury and postsurgical pain models³⁵,³⁶, reinforcing the neuroimmune component of the axis. The nerve-injury signature does not positively predict incision direction (43.3% versus a 47.1% background, −3.7 pp, two-sided permutation p ≤ 0.0002 — a significant depletion rather than enrichment; see Results),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26/35 (74%) also satisfy the meta core gate (all 35 satisfy meta_FDR &lt; 0.05, but only 26/35 clear the consistency ≥ 0.8 core gate) — but because the hub classifiers were trained on four of the five studies entering the meta-analysis, this overlap is not independent corroboration: it records that the ML-selected genes are also genome-wide significant under the meta model, and the independent evidence for the hubs comes only from the held-out spinal-cord fold and the single-cell/spatial layers) is not a list of "new" genes, ATF3, SPRR1A, NPY, VIP and others are well-established DRG injury markers⁴,⁵,³⁷.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 strong meta-significant but consistency-failing candidate, carried as an external motivational hypothesis (model-mismatched evidence¹⁹) rather than as a core internal hub,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narrative³⁸,³⁹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entire ion-channel analgesic class — α2δ subunits and NaV channels, including the clinically validated gabapentinoid (α2δ-1, the gabapentinoid binding site upregulated in injured DRG²²; the present meta independently reproduces this - CACNA2D1 (α2δ-1) is up-regulated in 4 of 6 contrasts (meta_Z +7.09, meta_FDR 2.3 × 10⁻¹⁰, consistency 4/6), reported in Results and not used as a docking target because the target is undockable) and NaV1.7/NaV1.8 targets and the ion-channel members of the authors' own CPSP-literature set — was structurally undockable (no ligand-anchored pocket for a defined docking box) and was therefore never screened, so the null deliberately cannot speak to those mechanisms.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Among the tractable targets, MAPK14, AXL and TFE3 carry the most frequently cited prior biological rationale, but this is descriptive weighting, not a validated priority: on our own pre-specified criteria none of them can be advanced —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2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all five ChEMBL-annotated positive controls — AXL, TNIK, ACVR1, MAPK14, ADRA2A — each ≈1–2,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Limitations</w:t>
      </w:r>
    </w:p>
    <w:p>
      <w:pPr>
        <w:spacing w:before="0" w:after="40"/>
      </w:pPr>
      <w:r>
        <w:rPr>
          <w:rFonts w:ascii="Times New Roman" w:hAnsi="Times New Roman"/>
          <w:b w:val="0"/>
          <w:i w:val="0"/>
          <w:sz w:val="22"/>
        </w:rPr>
        <w:t>The honest docking null is silent, not negative, on the validated non-opioid analgesic classes. The entire ion-channel analgesic class — α2δ subunits (gabapentinoid targets) and NaV channels (including the clinically validated NaV1.7/NaV1.8) — was structurally undockable (no ligand-anchored pocket for a defined docking box) and was therefore never screened, so the null deliberately cannot speak to those mechanisms; absence of docking enrichment is not evidence against gabapentinoid or NaV-channel action²². Beyond this, the work is a secondary reanalysis of public data: it carries no new wet-lab measurements, the human layer is a blood-proxy (n = 60, underpowered), no dataset captures established chronic postsurgical pain (&gt;3 months); the incision arm models acute-to-subacute postoperative pain and is additionally a non-axotomy (SMIR) model, so it is not lesion-class-matched to the four nerve-injury contrasts and cannot be used to test whether an axotomy-associated programme generalises to postsurgical pain, DRG-resident macrophages are a recognised neuroimmune sentinel after nerve injury²⁶ yet the present bulk-tissue signal cannot resolve DRG-resident macrophages from recruited macrophages, satellite glia or blood-derived immune cells, and cannot resolve microglia from infiltrating myeloid cells at the spinal pole, and the 35 hubs are a resampling-sensitive candidate set requiring prospective validation.</w:t>
      </w:r>
    </w:p>
    <w:p>
      <w:pPr>
        <w:spacing w:before="0" w:after="40"/>
      </w:pPr>
      <w:r>
        <w:rPr>
          <w:rFonts w:ascii="Times New Roman" w:hAnsi="Times New Roman"/>
          <w:b w:val="0"/>
          <w:i w:val="0"/>
          <w:sz w:val="22"/>
        </w:rPr>
        <w:t>Two statistical-model extensions were deferred and are stated here as explicit limitations. Gene-set inference reports 2,000-permutation p-values, which already absorb inter-gene correlation by permuting genes within each set, so a separate CAMERA correlation-aware test was not required (the four floor-pinned programmes survive at perm_p = 0.0005). The random-effects meta-analysis uses a normal approximation (Z_RE); with K = 3–6 contrasts a Knapp–Hartung t-adjustment would widen the intervals and could attenuate significance further, but because random effects are presented as a sensitivity bound — and the fixed→random collapse (2,750 → 508) is already severe — such an adjustment would only reinforce the heterogeneity-sensitive framing, not change the conclusion; both can be added as mechanical extensions without altering the results.</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DRG-centred nerve-injury axis (with spinal-cord localisation) is a nerve-injury-associated, heterogeneity-sensitive transcriptional response; on the available evidence it is not established as CPSP-specific — the translation test to the sole surgical-incision arm showed significant depletion (43.3% vs 47.1% background, two-sided permutation p ≤ 0.0002 — a significant failure to enrich, not a null; and because the two arms differ in lesion class, this non-translation is non-informative rather than negative about CPSP specificity) and underpowered, and the inference is provisional and does not demonstrate either CPSP-specificity or its absence. Its gene-set membership is highly sensitive to how the individual studies are combined (an honest random-effects sensitivity analysis shrinks the core from 2,750 to 508 genes, median I² = 41.8%), and the nerve-injury signature does not positively predict the single surgical-incision arm (43.3% vs 47.1% background, two-sided permutation p ≤ 0.0002, a significant depletion rather than enrichment; and because the two arms differ in lesion class, this non-translation is non-informative rather than negative about CPSP specificity). A prospectively specified, full-library docking screen of the FDA-approved catalogue found no target that cleared both the full-library and size-independent enrichment filters (ADRA2A full-library AUC 0.532, p = 0.118 NS; Tier-1 subset AUC 0.618 — the breadth flip is the point; events-per-parameter ≤ 2 for the four ChEMBL-annotated positive controls with adequate positive-event annotation (ACVR1 1.1, AXL 1.6, TNIK 1.3, MAPK14 2.0), whereas ADRA2A reached 14.4 because more ChEMBL binders are annotated for it, not because its docking enrichment is stronger), so the honest docking null is a methodological boundary, not a false lead. No analysed dataset captures established chronic postsurgical pain (&gt;3 months); the incision arm models acute-to-subacute postoperative pain as a translational proxy, so the CPSP-specificity question is necessarily provisional.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ipsilateral vs contralateral L4–L5 DRG (IL/CL), pooled across sexes (paired within-animal, n = 14 per side);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(union-K≥3 with bulk meta_FDR &lt; 0.05 and consistency ≥ 0.8); overlap with the six-input core = 1,737/2,750 = 63.2%, the primary core ∩ bulk-significant core under the bulk core's own consistency ≥ 0.8 gate (of which 1,322 are pure 4/4 across all four available bulk contrasts, and a further 415 were measured in only three of the four bulk datasets with all three agreeing, K = 3 by availability); applying the relaxed ≥3/4 concordance gate to the four-contrast set gives 2,454/2,750 = 89.2%, recovering 717 of the 1,013 genes outside the stricter overlap, with 200 primary-core genes lacking any bulk-study support (154 present-but-non-significant plus 46 absent from the four-bulk file);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GSE267799 contains two postoperative models (SMIR and lateral paw incision, LPI) across three tissues; the contrast used here is the SMIR DRG arm only - chronic (10 d + 32 d pooled) vs baseline (0 d), n = 12 vs 8 - so the accession-level counts (60 SMIR samples across DRG/muscle/skin, 48 LPI samples) are not the analysed n; the LPI arm and the muscle and skin tissues were not used. Harvest days are in fact annotated in the deposited metadata (0d, 6h, 2d, 10d, 32d). Because SMIR mechanical hypersensitivity has been reported to dissipate by postoperative day 32 (Flatters et al., 2008⁴⁰), the day-32 SMIR samples represent a resolving rather than established-chronic phenotype; their inclusion dilutes the injury signal and makes the incision contrast conservative. More fundamentally, SMIR is a non-axotomy (non-neurotrophic) postoperative model: Flatters et al. report essentially no ATF3 staining or degeneration in DRG after SMIR and conclude that SMIR-evoked pain is not driven by neuronal damage, whereas the four remaining contrasts (CCI ×2, SNI ×2) involve axonal injury. The held-out test therefore contrasts an axotomy-associated transcriptional programme with a model in which that lesion class is absent; the lesion-class mismatch, not only the time course and the day-32 dilution, is expected a priori to reduce concordance.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al.²⁹.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The 'in meta core' designation for each hub (Table 2) is taken from </w:t>
      </w:r>
      <w:r>
        <w:rPr>
          <w:rFonts w:ascii="Courier New" w:hAnsi="Courier New"/>
          <w:b w:val="0"/>
          <w:i w:val="0"/>
          <w:sz w:val="22"/>
        </w:rPr>
        <w:t>results/tables/P3_hub_genes.csv</w:t>
      </w:r>
      <w:r>
        <w:rPr>
          <w:rFonts w:ascii="Times New Roman" w:hAnsi="Times New Roman"/>
          <w:b w:val="0"/>
          <w:i w:val="0"/>
          <w:sz w:val="22"/>
        </w:rPr>
        <w:t xml:space="preserve"> (boolean </w:t>
      </w:r>
      <w:r>
        <w:rPr>
          <w:rFonts w:ascii="Courier New" w:hAnsi="Courier New"/>
          <w:b w:val="0"/>
          <w:i w:val="0"/>
          <w:sz w:val="22"/>
        </w:rPr>
        <w:t>in_meta_core</w:t>
      </w:r>
      <w:r>
        <w:rPr>
          <w:rFonts w:ascii="Times New Roman" w:hAnsi="Times New Roman"/>
          <w:b w:val="0"/>
          <w:i w:val="0"/>
          <w:sz w:val="22"/>
        </w:rPr>
        <w:t xml:space="preserve">), which records whether the gene passed the meta_FDR &lt; 0.05 and consistency ≥ 0.8 core gate; it is not derived from </w:t>
      </w:r>
      <w:r>
        <w:rPr>
          <w:rFonts w:ascii="Courier New" w:hAnsi="Courier New"/>
          <w:b w:val="0"/>
          <w:i w:val="0"/>
          <w:sz w:val="22"/>
        </w:rPr>
        <w:t>P5_hub_lineage_consensus.csv</w:t>
      </w:r>
      <w:r>
        <w:rPr>
          <w:rFonts w:ascii="Times New Roman" w:hAnsi="Times New Roman"/>
          <w:b w:val="0"/>
          <w:i w:val="0"/>
          <w:sz w:val="22"/>
        </w:rPr>
        <w:t xml:space="preserve">, which carries no core-membership flag. Univariate t pre-screening (Top 800) fed three feature selectors: LASSO (λ.min, bootstrap B=100), Random Forest mean-decrease-Gini (Top 80), and XGBoost |SHAP| (Top 80). A gene was a hub if ≥2/3 methods agreed. Because the classifiers select 140–169 features against n = 6–28 test samples (events-per-parameter ≪ 1), they are used as candidate-generation screens, not calibrated precision estimates; their AUCs are reported as directional signals whose absolute precision is not estimable at these sample sizes.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bootstrap percentile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0" w:after="40"/>
      </w:pPr>
      <w:r>
        <w:rPr>
          <w:rFonts w:ascii="Times New Roman" w:hAnsi="Times New Roman"/>
          <w:b/>
          <w:i w:val="0"/>
          <w:sz w:val="22"/>
        </w:rPr>
        <w:t>Tissue scope of the hub set (DRG vs spinal).</w:t>
      </w:r>
      <w:r>
        <w:rPr>
          <w:rFonts w:ascii="Times New Roman" w:hAnsi="Times New Roman"/>
          <w:b w:val="0"/>
          <w:i w:val="0"/>
          <w:sz w:val="22"/>
        </w:rPr>
        <w:t xml:space="preserve"> The Stouffer meta-analysis core (2,750 genes) is strictly DRG-derived: its six contrasts come from five studies (GSE267799, GSE212311, GSE278227, GSE241361 DRG, GSE265957 DRG) and no spinal-cord transcriptome entered that meta-analysis. The dual-ML hub set additionally pooled GSE241361 mouse spinal cord into the 72-sample training set alongside the four DRG datasets (GSE278227, GSE267799, GSE241361 DRG, GSE212311), so the 35 hubs reflect DRG-plus-spinal-cord expression convergence rather than a DRG-only signal; the remaining spinal datasets (GSE328175, GSE246288, GSE325938) were used for hub localisation only. We therefore describe the axis as a DRG-centred nerve-injury response with spinal-cord localisation, and we do not claim the hubs are DRG-exclusive.</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Sham and SNI nuclei pooled, 23,191 Sham / 31,121 SNI across 6 samples),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Chen, J. et al. The α2δ-1–NMDA receptor complex is critically involved in neuropathic pain development and gabapentin therapeutic actions.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22</w:t>
      </w:r>
      <w:r>
        <w:rPr>
          <w:rFonts w:ascii="Times New Roman" w:hAnsi="Times New Roman"/>
          <w:b w:val="0"/>
          <w:i w:val="0"/>
          <w:sz w:val="22"/>
        </w:rPr>
        <w:t xml:space="preserve">, 2307–2321 (2018). https://doi.org/10.1016/j.celrep.2018.02.021; erratum: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38</w:t>
      </w:r>
      <w:r>
        <w:rPr>
          <w:rFonts w:ascii="Times New Roman" w:hAnsi="Times New Roman"/>
          <w:b w:val="0"/>
          <w:i w:val="0"/>
          <w:sz w:val="22"/>
        </w:rPr>
        <w:t>, 110308 (2022). https://doi.org/10.1016/j.celrep.2022.110308</w:t>
      </w:r>
    </w:p>
    <w:p>
      <w:pPr>
        <w:spacing w:before="0" w:after="40"/>
      </w:pPr>
      <w:r>
        <w:rPr>
          <w:rFonts w:ascii="Times New Roman" w:hAnsi="Times New Roman"/>
          <w:b w:val="0"/>
          <w:i w:val="0"/>
          <w:sz w:val="22"/>
        </w:rPr>
        <w:t xml:space="preserve">23. Flatters, S. J. L. Effect of analgesic standards on persistent postoperative pain evoked by skin/muscle incision and retraction (SMIR). </w:t>
      </w:r>
      <w:r>
        <w:rPr>
          <w:rFonts w:ascii="Times New Roman" w:hAnsi="Times New Roman"/>
          <w:b w:val="0"/>
          <w:i/>
          <w:sz w:val="22"/>
        </w:rPr>
        <w:t>Neuroscience Letters</w:t>
      </w:r>
      <w:r>
        <w:rPr>
          <w:rFonts w:ascii="Times New Roman" w:hAnsi="Times New Roman"/>
          <w:b w:val="0"/>
          <w:i w:val="0"/>
          <w:sz w:val="22"/>
        </w:rPr>
        <w:t xml:space="preserve"> </w:t>
      </w:r>
      <w:r>
        <w:rPr>
          <w:rFonts w:ascii="Times New Roman" w:hAnsi="Times New Roman"/>
          <w:b/>
          <w:i w:val="0"/>
          <w:sz w:val="22"/>
        </w:rPr>
        <w:t>480</w:t>
      </w:r>
      <w:r>
        <w:rPr>
          <w:rFonts w:ascii="Times New Roman" w:hAnsi="Times New Roman"/>
          <w:b w:val="0"/>
          <w:i w:val="0"/>
          <w:sz w:val="22"/>
        </w:rPr>
        <w:t>, 101–104 (2010). https://doi.org/10.1016/j.neulet.2010.04.033</w:t>
      </w:r>
    </w:p>
    <w:p>
      <w:pPr>
        <w:spacing w:before="0" w:after="40"/>
      </w:pPr>
      <w:r>
        <w:rPr>
          <w:rFonts w:ascii="Times New Roman" w:hAnsi="Times New Roman"/>
          <w:b w:val="0"/>
          <w:i w:val="0"/>
          <w:sz w:val="22"/>
        </w:rPr>
        <w:t xml:space="preserve">24.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25.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26. Yu, X. et al. Dorsal root ganglion macrophages contribute to both the initiation and persistence of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264 (2020). https://doi.org/10.1038/s41467-019-13839-2</w:t>
      </w:r>
    </w:p>
    <w:p>
      <w:pPr>
        <w:spacing w:before="0" w:after="40"/>
      </w:pPr>
      <w:r>
        <w:rPr>
          <w:rFonts w:ascii="Times New Roman" w:hAnsi="Times New Roman"/>
          <w:b w:val="0"/>
          <w:i w:val="0"/>
          <w:sz w:val="22"/>
        </w:rPr>
        <w:t xml:space="preserve">27.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28.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29.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30.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31.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32.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33.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34.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35.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36.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37.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38.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39.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40.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is released as version v1.8.0 (README + CITATION.cff + MIT LICENSE + reproduction scripts), and the derived tables enumerated below are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The GitHub repository referenced above is released as a versioned, citable archive (v1.8.0; integrity verifiable via the accompanying CITATION.cff and the immutable version tag); a Zenodo snapshot of this reproducibility package is deposited under DOI 10.5281/zenodo.23031998 (https://doi.org/10.5281/zenodo.23031998); the data are additionally available from the Zenodo archive and the versioned GitHub release, not on request.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0" w:after="40"/>
      </w:pPr>
      <w:r>
        <w:rPr>
          <w:rFonts w:ascii="Times New Roman" w:hAnsi="Times New Roman"/>
          <w:b w:val="0"/>
          <w:i w:val="0"/>
          <w:sz w:val="22"/>
        </w:rPr>
        <w:t>This article will be published under the Creative Commons Attribution (CC BY) license.</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+5.075, 100% of members up, q = 0.0022), DAM microglia (+3.833, 87.5% up, q = 0.0022) and complement (+3.700, 94.4% up, q = 0.0022). Mitochondrial OXPHOS is downregulated (mean_Z −2.922, 78.9% of members down; q = 0.0022, blue) under fixed effects and now survives set-level BH when the same sets are recomputed on the random-effects meta-vector (q = 0.0022). Bars are coloured by permutation significance (red = perm p ≤ 0.005, blue = perm p ≤ 0.05, grey = not significant). Ion-channel families (Nav_SCN q = 0.62; TRP q = 0.92; CACNA q = 0.92; Kv/KCNQ q = 0.91) show no coordinate change (grey), indicating a neuroimmune/metabolic axis at the level of coordinated families; this is a family-level statement and does not extend to individual genes - CACNA2D1 (α2δ-1) is up-regulated in 4/6 contrasts (meta_FDR 2.3 × 10⁻¹⁰) and SCN8A/9A/10A/11A are individually down-regulated (Table 1b).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77151"/>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77151"/>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Of the five leakage-controlled folds, four reach AUC 1.000 - GSE278227 (CCI rat DRG, n = 28 libraries from 14 paired animals; within-animal discrimination), GSE212311 (CCI rat DRG, n = 6) and the two same-animal GSE241361 folds (mouse DRG n = 9; mouse spinal cord n = 9); the incision fold (GSE267799, n = 20) is 0.677 [0.374, 0.940]. GSE278227 is a within-animal paired design (14 animals), so its AUC 1.000 is a within-animal discrimination not directly comparable with the between-animal incision fold; among the genuinely cross-animal folds only GSE212311 (n = 6) reaches 1.000, while the incision fold (n = 20) is the floor that includes chance. The two GSE241361 folds (mouse DRG AUC 1.000 [1.000, 1.000], n = 9; spinal cord AUC 1.000 [1.000, 1.000], n = 9, leakage-controlled) come from the same animals and are plotted separately, excluded from the cross-animal mean. Four folds show degenerate bootstrap percentile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6,558 at meta_FDR &lt; 0.05; core = 2,750 (meta_FDR &lt; 0.05 and consistency ≥ 0.8). Random-effects sensitivity (DerSimonian–Laird; median τ² = 0.266, median I² = 41.8%): core = 508 (18.5% of the fixed-effect core). Collapse-sensitivity (5 inputs): core 3,582, retained 2,502/2,750 = 91.0%. Bulk-only sensitivity (4 bulk studies, translatome excluded; same union-K≥3 definition as primary): core 2,512; overlap with the primary core 1,737/2,750 = 63.2% under the bulk core's consistency ≥ 0.8 gate (1,322 pure 4/4, 415 K = 3 only), rising to 2,454/2,750 = 89.2% under the threshold-relaxed ≥3/4 gate; of the 2,750 primary-core genes, 200 lack any bulk-study support (154 present-but-non-significant in the four-bulk file plus 46 absent from it), and 296 fall outside even the relaxed overlap,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Methods (n/3) = number of methods flagging the gene; In meta core = membership in the 2,750-gene core (meta_FDR &lt; 0.05 and consistency ≥ 0.8) (the in_meta_core boolean in P3_hub_genes.csv, rendered here as Yes/No). Source: P3_hub_genes.csv. Bootstrap stability caveat: a 200-resample bootstrap of the 72 pooled samples (P3_hub_bootstrap.csv) showed low per-gene recovery (max 100.0%, 2/35 at a &gt;=0.9 threshold: SPRR1A 1.00, ATF3 0.94); all three methods (LASSO, Random Forest, XGBoost) contributed selections under resampling, so the &gt;=2/3 consensus is not a two-method artefact),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Hub</w:t>
            </w:r>
          </w:p>
        </w:tc>
        <w:tc>
          <w:tcPr>
            <w:tcW w:type="dxa" w:w="1560"/>
          </w:tcPr>
          <w:p>
            <w:pPr>
              <w:spacing w:line="240" w:lineRule="auto" w:before="20" w:after="20"/>
            </w:pPr>
            <w:r/>
            <w:r>
              <w:rPr>
                <w:rFonts w:ascii="Times New Roman" w:hAnsi="Times New Roman"/>
                <w:b/>
                <w:i w:val="0"/>
                <w:sz w:val="17"/>
              </w:rPr>
              <w:t>Methods (n/3)</w:t>
            </w:r>
          </w:p>
        </w:tc>
        <w:tc>
          <w:tcPr>
            <w:tcW w:type="dxa" w:w="1560"/>
          </w:tcPr>
          <w:p>
            <w:pPr>
              <w:spacing w:line="240" w:lineRule="auto" w:before="20" w:after="20"/>
            </w:pPr>
            <w:r/>
            <w:r>
              <w:rPr>
                <w:rFonts w:ascii="Times New Roman" w:hAnsi="Times New Roman"/>
                <w:b/>
                <w:i w:val="0"/>
                <w:sz w:val="17"/>
              </w:rPr>
              <w:t>In meta core</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 |abs|</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the </w:t>
      </w:r>
      <w:r>
        <w:rPr>
          <w:rFonts w:ascii="Courier New" w:hAnsi="Courier New"/>
          <w:b w:val="0"/>
          <w:i w:val="0"/>
          <w:sz w:val="22"/>
        </w:rPr>
        <w:t>in_meta_core</w:t>
      </w:r>
      <w:r>
        <w:rPr>
          <w:rFonts w:ascii="Times New Roman" w:hAnsi="Times New Roman"/>
          <w:b w:val="0"/>
          <w:i w:val="0"/>
          <w:sz w:val="22"/>
        </w:rPr>
        <w:t xml:space="preserve"> boolean (True/False) in </w:t>
      </w:r>
      <w:r>
        <w:rPr>
          <w:rFonts w:ascii="Courier New" w:hAnsi="Courier New"/>
          <w:b w:val="0"/>
          <w:i w:val="0"/>
          <w:sz w:val="22"/>
        </w:rPr>
        <w:t>P3_hub_genes.csv</w:t>
      </w:r>
      <w:r>
        <w:rPr>
          <w:rFonts w:ascii="Times New Roman" w:hAnsi="Times New Roman"/>
          <w:b w:val="0"/>
          <w:i w:val="0"/>
          <w:sz w:val="22"/>
        </w:rPr>
        <w:t xml:space="preserve">, i.e., whether the gene passed the meta_FDR &lt; 0.05 and consistency ≥ 0.8 core gate (the build script renders this column as Yes/No).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