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28"/>
        </w:rPr>
        <w:t>Cover Letter — PLOS ONE</w:t>
      </w:r>
    </w:p>
    <w:p>
      <w:pPr>
        <w:spacing w:before="0" w:after="40"/>
      </w:pPr>
      <w:r>
        <w:rPr>
          <w:rFonts w:ascii="Times New Roman" w:hAnsi="Times New Roman"/>
          <w:b/>
          <w:i w:val="0"/>
          <w:sz w:val="22"/>
        </w:rPr>
        <w:t>Manuscript title:</w:t>
      </w:r>
      <w:r>
        <w:rPr>
          <w:rFonts w:ascii="Times New Roman" w:hAnsi="Times New Roman"/>
          <w:b w:val="0"/>
          <w:i w:val="0"/>
          <w:sz w:val="22"/>
        </w:rPr>
        <w:t xml:space="preserve"> Conserved nerve-injury-associated transcriptional response on the DRG–spinal axis: dorsal root ganglion analysis with spinal-cord localisation and honest repurposing null</w:t>
      </w:r>
    </w:p>
    <w:p>
      <w:pPr>
        <w:spacing w:before="0" w:after="40"/>
      </w:pPr>
      <w:r>
        <w:rPr>
          <w:rFonts w:ascii="Times New Roman" w:hAnsi="Times New Roman"/>
          <w:b/>
          <w:i w:val="0"/>
          <w:sz w:val="22"/>
        </w:rPr>
        <w:t>Corresponding author:</w:t>
      </w:r>
      <w:r>
        <w:rPr>
          <w:rFonts w:ascii="Times New Roman" w:hAnsi="Times New Roman"/>
          <w:b w:val="0"/>
          <w:i w:val="0"/>
          <w:sz w:val="22"/>
        </w:rPr>
        <w:t xml:space="preserve"> Yang Y, The Second Affiliated Hospital of Fujian University of Traditional Chinese Medicine, Fuzhou, Fujian 350003, China. ORCID 0009-0004-9698-6552. Email: 960856791@qq.com</w:t>
      </w:r>
    </w:p>
    <w:p>
      <w:pPr>
        <w:spacing w:before="0" w:after="40"/>
      </w:pPr>
      <w:r>
        <w:rPr>
          <w:rFonts w:ascii="Times New Roman" w:hAnsi="Times New Roman"/>
          <w:b/>
          <w:i w:val="0"/>
          <w:sz w:val="22"/>
        </w:rPr>
        <w:t>To the Editorial Board of PLOS ONE,</w:t>
      </w:r>
    </w:p>
    <w:p>
      <w:pPr>
        <w:spacing w:before="0" w:after="40"/>
      </w:pPr>
      <w:r>
        <w:rPr>
          <w:rFonts w:ascii="Times New Roman" w:hAnsi="Times New Roman"/>
          <w:b w:val="0"/>
          <w:i w:val="0"/>
          <w:sz w:val="22"/>
        </w:rPr>
        <w:t>I submit the original research article above for consideration as a Research Article. This is a purely computational, multi-dataset reanalysis of publicly available transcriptomes that produces new integrative findings and a reproducible benchmark for the chronic postsurgical pain (CPSP) dorsal root ganglion–spinal (DRG–spinal) axis. It is submitted as primary research: the work generates a novel integrative signature, a non-circular translation test, a prospectively specified full-library drug-repurposing screen with reverse controls, and an explicit bootstrap stability assessment—not a review or re-statement of prior results. Throughout, the axis is framed as a nerve-injury-associated response that this meta-analysis does not establish to be CPSP-specific (the nerve-injury signature does not predict the single incision arm; 46.2% vs 47.1%, p = 0.14).</w:t>
      </w:r>
    </w:p>
    <w:p>
      <w:pPr>
        <w:spacing w:before="0" w:after="40"/>
      </w:pPr>
      <w:r>
        <w:rPr>
          <w:rFonts w:ascii="Times New Roman" w:hAnsi="Times New Roman"/>
          <w:b/>
          <w:i w:val="0"/>
          <w:sz w:val="22"/>
        </w:rPr>
        <w:t>Why PLOS ONE is the right venue.</w:t>
      </w:r>
      <w:r>
        <w:rPr>
          <w:rFonts w:ascii="Times New Roman" w:hAnsi="Times New Roman"/>
          <w:b w:val="0"/>
          <w:i w:val="0"/>
          <w:sz w:val="22"/>
        </w:rPr>
        <w:t xml:space="preserve"> PLOS ONE's editorial criteria evaluate scientific rigour and reproducibility rather than perceived novelty or impact, and the journal explicitly welcomes transparent negative and null results. This manuscript is built around exactly those principles. (i) The analysis was pre-specified and registered in the public repository before reporting: the repurposing screen was defined as a full-library breadth analysis with reverse positive controls before any enrichment was computed. (ii) Rigour is reported as results, not footnotes: a DerSimonian–Laird random-effects sensitivity analysis shows the core signature shrinks from 4,055 to 1,008 genes (median I² = 38.8%) and that OXPHOS suppression does not survive set-level Benjamini–Hochberg correction under random effects (q = 0.31); a non-circular test demonstrates the nerve-injury signature does </w:t>
      </w:r>
      <w:r>
        <w:rPr>
          <w:rFonts w:ascii="Times New Roman" w:hAnsi="Times New Roman"/>
          <w:b w:val="0"/>
          <w:i/>
          <w:sz w:val="22"/>
        </w:rPr>
        <w:t>not</w:t>
      </w:r>
      <w:r>
        <w:rPr>
          <w:rFonts w:ascii="Times New Roman" w:hAnsi="Times New Roman"/>
          <w:b w:val="0"/>
          <w:i w:val="0"/>
          <w:sz w:val="22"/>
        </w:rPr>
        <w:t xml:space="preserve"> predict incision direction (46.2% versus 47.1% background; −0.9 pp, permutation p = 0.14); and a bootstrap shows the docking target set is reproducibly recovered as a structurally tractable subset (mean 8.70 of 17 dock-eligible hubs recovered per resample; P(≥3 of 17) = 1.000), while individual hub membership beyond two resampling-stable genes remains candidate-level, so target selection rests on structural tractability applied to a reproducibly recovered set. (iii) The full-library docking of 3,085 FDA drugs against 10 tractable targets yields an honestly negative result—no target clears both the raw/full-library and size-independent filters (ADRA2A Tier-1 AUC 0.618 collapses to 0.532, p = 0.118)—which we report as a methodological boundary rather than a false-positive hit, including a demonstration of how inadequate controls generate double-dipping false positives.</w:t>
      </w:r>
    </w:p>
    <w:p>
      <w:pPr>
        <w:spacing w:before="0" w:after="40"/>
      </w:pPr>
      <w:r>
        <w:rPr>
          <w:rFonts w:ascii="Times New Roman" w:hAnsi="Times New Roman"/>
          <w:b/>
          <w:i w:val="0"/>
          <w:sz w:val="22"/>
        </w:rPr>
        <w:t>Reproducibility and openness.</w:t>
      </w:r>
      <w:r>
        <w:rPr>
          <w:rFonts w:ascii="Times New Roman" w:hAnsi="Times New Roman"/>
          <w:b w:val="0"/>
          <w:i w:val="0"/>
          <w:sz w:val="22"/>
        </w:rPr>
        <w:t xml:space="preserve"> All processed data and analysis code are in the public GitHub repository at https://github.com/yyx-4113/cpsp-drg-spinal-repurposing, released as version v1.0.0 with a MANIFEST.sha256 integrity manifest at submission. No "available on request" statement is used; all underlying primary data are in the public GEO repository. The manuscript includes an Author Summary (optional under PLOS ONE policy), Data Availability, Ethics, Funding, Competing Interests, and Author Contributions statements.</w:t>
      </w:r>
    </w:p>
    <w:p>
      <w:pPr>
        <w:spacing w:before="0" w:after="40"/>
      </w:pPr>
      <w:r>
        <w:rPr>
          <w:rFonts w:ascii="Times New Roman" w:hAnsi="Times New Roman"/>
          <w:b/>
          <w:i w:val="0"/>
          <w:sz w:val="22"/>
        </w:rPr>
        <w:t>Compliance with PLOS ONE policies.</w:t>
      </w:r>
      <w:r>
        <w:rPr>
          <w:rFonts w:ascii="Times New Roman" w:hAnsi="Times New Roman"/>
          <w:b w:val="0"/>
          <w:i w:val="0"/>
          <w:sz w:val="22"/>
        </w:rPr>
        <w:t xml:space="preserve"> This is original work, not published elsewhere and not under consideration by another journal. No new human or animal data were generated; only public, de-identified GEO data were reanalysed, and an ethics statement to this effect is included. No funding was received for this work (it is preliminary foundation for a pending grant application, with no grant number). The author declares no financial competing interests; a pending Fujian Natural Science Foundation grant application lists ADRA2A among candidate targets but did not fund and did not influence the present analyses, results, or conclusions. A large language model assisted language drafting; all scientific content is solely the author's.</w:t>
      </w:r>
    </w:p>
    <w:p>
      <w:pPr>
        <w:spacing w:before="0" w:after="40"/>
      </w:pPr>
      <w:r>
        <w:rPr>
          <w:rFonts w:ascii="Times New Roman" w:hAnsi="Times New Roman"/>
          <w:b w:val="0"/>
          <w:i w:val="0"/>
          <w:sz w:val="22"/>
        </w:rPr>
        <w:t>We confirm the author approves submission.</w:t>
      </w:r>
    </w:p>
    <w:p>
      <w:pPr>
        <w:spacing w:before="0" w:after="40"/>
      </w:pPr>
      <w:r>
        <w:rPr>
          <w:rFonts w:ascii="Times New Roman" w:hAnsi="Times New Roman"/>
          <w:b w:val="0"/>
          <w:i w:val="0"/>
          <w:sz w:val="22"/>
        </w:rPr>
        <w:t>Sincerely,</w:t>
      </w:r>
    </w:p>
    <w:p>
      <w:pPr>
        <w:spacing w:before="0" w:after="40"/>
      </w:pPr>
      <w:r>
        <w:rPr>
          <w:rFonts w:ascii="Times New Roman" w:hAnsi="Times New Roman"/>
          <w:b w:val="0"/>
          <w:i w:val="0"/>
          <w:sz w:val="22"/>
        </w:rPr>
        <w:t>Yang Y</w:t>
      </w:r>
    </w:p>
    <w:p>
      <w:pPr>
        <w:spacing w:before="0" w:after="40"/>
      </w:pPr>
      <w:r>
        <w:rPr>
          <w:rFonts w:ascii="Times New Roman" w:hAnsi="Times New Roman"/>
          <w:b w:val="0"/>
          <w:i/>
          <w:sz w:val="22"/>
        </w:rPr>
        <w:t>Checklist before upload:</w:t>
      </w:r>
      <w:r>
        <w:rPr>
          <w:rFonts w:ascii="Times New Roman" w:hAnsi="Times New Roman"/>
          <w:b w:val="0"/>
          <w:i w:val="0"/>
          <w:sz w:val="22"/>
        </w:rPr>
        <w:t xml:space="preserve"> [ ] Manuscript incl. Author Summary, Abstract, Intro, Results, Discussion, Methods [ ] Data Availability w/ public repo, no "on request" [ ] Ethics statement (public de-identified data, no new) [ ] References PLOS style (numbered in order of citation, full author lists, DOIs) [ ] Figures ≥300 DPI, embedded [ ] Reporting guidelines if applicable (transcriptome reanalysis → GEO/MIAME compliance noted) [ ] Author Contributions [ ] Funding (none) [ ] Competing Interests [ ] AI-use disclosed in Methods [ ] No </w:t>
      </w:r>
      <w:r>
        <w:rPr>
          <w:rFonts w:ascii="Courier New" w:hAnsi="Courier New"/>
          <w:b w:val="0"/>
          <w:i w:val="0"/>
          <w:sz w:val="22"/>
        </w:rPr>
        <w:t>[truncated]</w:t>
      </w:r>
      <w:r>
        <w:rPr>
          <w:rFonts w:ascii="Times New Roman" w:hAnsi="Times New Roman"/>
          <w:b w:val="0"/>
          <w:i w:val="0"/>
          <w:sz w:val="22"/>
        </w:rPr>
        <w:t xml:space="preserve"> / internal version / round tokens.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Conserved nerve-injury-associated transcriptional response on the DRG–spinal axis: dorsal root ganglion analysis with spinal-cord localisation and honest repurposing null</dc:title>
  <dc:subject/>
  <dc:creator>Yang Y</dc:creator>
  <cp:keywords/>
  <dc:description>generated by python-docx</dc:description>
  <cp:lastModifiedBy>Yang Y</cp:lastModifiedBy>
  <cp:revision>1</cp:revision>
  <dcterms:created xsi:type="dcterms:W3CDTF">2013-12-23T23:15:00Z</dcterms:created>
  <dcterms:modified xsi:type="dcterms:W3CDTF">2013-12-23T23:15:00Z</dcterms:modified>
  <cp:category/>
</cp:coreProperties>
</file>