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Times New Roman" w:hAnsi="Times New Roman"/>
          <w:b/>
          <w:i w:val="0"/>
          <w:sz w:val="28"/>
        </w:rPr>
        <w:t>STROBE Checklist — Observational Reanalysis of Public Transcriptomes</w:t>
      </w:r>
    </w:p>
    <w:p>
      <w:pPr>
        <w:spacing w:before="0" w:after="40"/>
      </w:pPr>
      <w:r>
        <w:rPr>
          <w:rFonts w:ascii="Times New Roman" w:hAnsi="Times New Roman"/>
          <w:b/>
          <w:i w:val="0"/>
          <w:sz w:val="22"/>
        </w:rPr>
        <w:t>Manuscript:</w:t>
      </w:r>
      <w:r>
        <w:rPr>
          <w:rFonts w:ascii="Times New Roman" w:hAnsi="Times New Roman"/>
          <w:b w:val="0"/>
          <w:i w:val="0"/>
          <w:sz w:val="22"/>
        </w:rPr>
        <w:t xml:space="preserve"> </w:t>
      </w:r>
      <w:r>
        <w:rPr>
          <w:rFonts w:ascii="Times New Roman" w:hAnsi="Times New Roman"/>
          <w:b w:val="0"/>
          <w:i/>
          <w:sz w:val="22"/>
        </w:rPr>
        <w:t>Conserved nerve-injury-associated transcriptional response on the DRG–spinal axis: dorsal root ganglion analysis with spinal-cord localisation and honest repurposing null</w:t>
      </w:r>
    </w:p>
    <w:p>
      <w:pPr>
        <w:spacing w:before="0" w:after="40"/>
      </w:pPr>
      <w:r>
        <w:rPr>
          <w:rFonts w:ascii="Times New Roman" w:hAnsi="Times New Roman"/>
          <w:b/>
          <w:i w:val="0"/>
          <w:sz w:val="22"/>
        </w:rPr>
        <w:t>STROBE statement version:</w:t>
      </w:r>
      <w:r>
        <w:rPr>
          <w:rFonts w:ascii="Times New Roman" w:hAnsi="Times New Roman"/>
          <w:b w:val="0"/>
          <w:i w:val="0"/>
          <w:sz w:val="22"/>
        </w:rPr>
        <w:t xml:space="preserve"> STROBE 2007 (von Elm et al., </w:t>
      </w:r>
      <w:r>
        <w:rPr>
          <w:rFonts w:ascii="Times New Roman" w:hAnsi="Times New Roman"/>
          <w:b w:val="0"/>
          <w:i/>
          <w:sz w:val="22"/>
        </w:rPr>
        <w:t>Lancet</w:t>
      </w:r>
      <w:r>
        <w:rPr>
          <w:rFonts w:ascii="Times New Roman" w:hAnsi="Times New Roman"/>
          <w:b w:val="0"/>
          <w:i w:val="0"/>
          <w:sz w:val="22"/>
        </w:rPr>
        <w:t xml:space="preserve"> 2007;370:1453–1457). This is a </w:t>
      </w:r>
      <w:r>
        <w:rPr>
          <w:rFonts w:ascii="Times New Roman" w:hAnsi="Times New Roman"/>
          <w:b/>
          <w:i w:val="0"/>
          <w:sz w:val="22"/>
        </w:rPr>
        <w:t>secondary, in-silico reanalysis</w:t>
      </w:r>
      <w:r>
        <w:rPr>
          <w:rFonts w:ascii="Times New Roman" w:hAnsi="Times New Roman"/>
          <w:b w:val="0"/>
          <w:i w:val="0"/>
          <w:sz w:val="22"/>
        </w:rPr>
        <w:t xml:space="preserve"> of publicly deposited transcriptomic data. The only primary human observational dataset reanalysed here is </w:t>
      </w:r>
      <w:r>
        <w:rPr>
          <w:rFonts w:ascii="Times New Roman" w:hAnsi="Times New Roman"/>
          <w:b/>
          <w:i w:val="0"/>
          <w:sz w:val="22"/>
        </w:rPr>
        <w:t>GSE158825</w:t>
      </w:r>
      <w:r>
        <w:rPr>
          <w:rFonts w:ascii="Times New Roman" w:hAnsi="Times New Roman"/>
          <w:b w:val="0"/>
          <w:i w:val="0"/>
          <w:sz w:val="22"/>
        </w:rPr>
        <w:t xml:space="preserve"> (n = 60 human plasma miRNA; lumbar surgery with a pain-outcome measure), which is an observational cohort with a pain phenotype. The remaining 11 GEO datasets are animal-model or in-vitro transcriptomes and are not primary human-observational studies; they are re-used here as external-mechanism consistency evidence, not as the STROBE-indexed cohort.</w:t>
      </w:r>
    </w:p>
    <w:p>
      <w:pPr>
        <w:spacing w:before="0" w:after="40"/>
      </w:pPr>
      <w:r>
        <w:rPr>
          <w:rFonts w:ascii="Times New Roman" w:hAnsi="Times New Roman"/>
          <w:b/>
          <w:i w:val="0"/>
          <w:sz w:val="22"/>
        </w:rPr>
        <w:t>Transparency note:</w:t>
      </w:r>
      <w:r>
        <w:rPr>
          <w:rFonts w:ascii="Times New Roman" w:hAnsi="Times New Roman"/>
          <w:b w:val="0"/>
          <w:i w:val="0"/>
          <w:sz w:val="22"/>
        </w:rPr>
        <w:t xml:space="preserve"> Because the present work is a reanalysis of </w:t>
      </w:r>
      <w:r>
        <w:rPr>
          <w:rFonts w:ascii="Times New Roman" w:hAnsi="Times New Roman"/>
          <w:b w:val="0"/>
          <w:i/>
          <w:sz w:val="22"/>
        </w:rPr>
        <w:t>de-identified</w:t>
      </w:r>
      <w:r>
        <w:rPr>
          <w:rFonts w:ascii="Times New Roman" w:hAnsi="Times New Roman"/>
          <w:b w:val="0"/>
          <w:i w:val="0"/>
          <w:sz w:val="22"/>
        </w:rPr>
        <w:t xml:space="preserve"> public data, items that concern the original study design, recruitment, setting, exposure ascertainment timing, and follow-up are </w:t>
      </w:r>
      <w:r>
        <w:rPr>
          <w:rFonts w:ascii="Times New Roman" w:hAnsi="Times New Roman"/>
          <w:b/>
          <w:i w:val="0"/>
          <w:sz w:val="22"/>
        </w:rPr>
        <w:t>not under the control of this reanalysis</w:t>
      </w:r>
      <w:r>
        <w:rPr>
          <w:rFonts w:ascii="Times New Roman" w:hAnsi="Times New Roman"/>
          <w:b w:val="0"/>
          <w:i w:val="0"/>
          <w:sz w:val="22"/>
        </w:rPr>
        <w:t xml:space="preserve"> and are marked </w:t>
      </w:r>
      <w:r>
        <w:rPr>
          <w:rFonts w:ascii="Times New Roman" w:hAnsi="Times New Roman"/>
          <w:b/>
          <w:i w:val="0"/>
          <w:sz w:val="22"/>
        </w:rPr>
        <w:t>N/A (primary deposition)</w:t>
      </w:r>
      <w:r>
        <w:rPr>
          <w:rFonts w:ascii="Times New Roman" w:hAnsi="Times New Roman"/>
          <w:b w:val="0"/>
          <w:i w:val="0"/>
          <w:sz w:val="22"/>
        </w:rPr>
        <w:t xml:space="preserve"> — the relevant design decisions reside in the original GEO depositions (GSE158825: IRB-approved, informed-consent documentation per the manuscript Ethics statement). Items concerning the reanalysis </w:t>
      </w:r>
      <w:r>
        <w:rPr>
          <w:rFonts w:ascii="Times New Roman" w:hAnsi="Times New Roman"/>
          <w:b w:val="0"/>
          <w:i/>
          <w:sz w:val="22"/>
        </w:rPr>
        <w:t>methods, statistics, and reporting</w:t>
      </w:r>
      <w:r>
        <w:rPr>
          <w:rFonts w:ascii="Times New Roman" w:hAnsi="Times New Roman"/>
          <w:b w:val="0"/>
          <w:i w:val="0"/>
          <w:sz w:val="22"/>
        </w:rPr>
        <w:t xml:space="preserve"> are addressed in the manuscript and cited by section.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#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STROBE item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Status / Manuscript location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Title and abstract</w:t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 — indicate the study design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Addressed. The title does </w:t>
            </w:r>
            <w:r>
              <w:rPr>
                <w:rFonts w:ascii="Times New Roman" w:hAnsi="Times New Roman"/>
                <w:b/>
                <w:i w:val="0"/>
                <w:sz w:val="18"/>
              </w:rPr>
              <w:t>not</w:t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 name the design; the design is stated in the Abstract (Background/Methods: 12 GEO datasets → Stouffer meta → dual-ML hub ID → docking) and in the manuscript metadata (line 8). STROBE Item 1 is satisfied via the abstract and metadata rather than the title.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Background/rationale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Addressed. Introduction/Abstract (lines 7–13, 38–43) state the gap: CPSP mechanisms remain unclear; no single transcriptome is decisive; a multi-dataset meta is required.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Objectives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Addressed. Lines 38–43 and Methods (lines 129–162) state the objective: lock a DRG–spinal-axis transcriptome programme and rank repurposable targets via honest-null docking.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Study design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Addressed (reanalysis design). Methods — Meta-analysis (lines 131–140), Dual-ML (line 146), Human miRNA layer (line 149), Docking (line 155). Primary design = secondary reanalysis, not a new data collection.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Setting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N/A (primary deposition). GSE158825 was collected at the original depositing centre; see Ethics statement (line 164). Animal/in-vitro datasets: source labs per GEO. As a secondary in-silico reanalysis, the present work has no physical study site of its own — all processing was performed on public servers against de-identified GEO deposits — so this item is not applicable to the reanalysis and is marked N/A (primary deposition).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Participants / eligibility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Partial. The reanalysis inclusion rule is explicit: 12 GEO datasets decoded for species/model/tissue/true-grouping; two misclassifications corrected (GSE222979 miRNA, GSE306403 SH-SY5Y cell line) — Methods, Data curation (line 129). Human cohort eligibility itself: N/A (primary deposition, GSE158825 n = 60).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Variables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Addressed. Outcome/phenotype variables: pain phenotype in GSE158825 (line 149); molecular variables: per-contrast log₂FC, Welch t/Z, meta_Z, consistency, set-level q, hub calls, docking AUC (Methods lines 131–155).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Data sources / measurement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Addressed. All data are public GEO accessions (12 codes listed line 129); matrices unified to gene-symbol × sample, log2(CPM+1) (GSE212311 native log2(FPKM+1)) (line 129); human miRNA via Welch+BH and Spearman+BH (line 149). Measurement heterogeneity of the GSE265957 translatome disclosed (lines 131, 140).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Bias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Addressed. Key bias controls: cross-species upper-case harmonisation; direction-consistency filter (K≥3, lines 134); non-circular translation test using the incision contrast as held-out (line 138); pseudoreplication avoided by sample-level pseudobulk only (line 152); docking reverse positive controls + MW-confounder correction (line 155); GSE265957 non-independence disclosed (lines 131, 140).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Study size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Addressed. Sample sizes per contrast reported with weights (lines 132, 134): GSE267799 12/8, GSE212311 3/3, GSE278227 14/14, GSE241361 DRG 4/5, GSE265957 D4/D63 2/2; human miRNA n = 60 (line 149). 16,552 genes tested in the six-input meta (line 249).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Quantitative variables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Addressed. Continuous: log₂FC, Z, meta_Z, AUC, ρ; categorical: direction (UP/DN), hub membership, set membership. Transformation: log2(CPM+1) (line 129).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Statistical methods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Addressed in detail. Welch t + BH (line 132); Stouffer weighted-Z meta, weight = √(n₁n₂/(n₁+n₂)), consistency = max(n_up,n_dn)/K (lines 132–134); random-effects DerSimonian–Laird sensitivity (line 136); permutation-calibrated gene sets with 2,000 draws (line 143); dual-ML with LODO (line 146); docking MW-correction + likelihood-ratio physicochemical control (lines 154–155); multiple-testing registry (line 158). Software/scripts in public repo (line 217).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Participants (flow / numbers analysed)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Partial. Reanalysis flow: 12 datasets decoded → 5 studies/6 contrasts entered the DRG-axis meta (lines 131, 249); 13,208 common genes for ML (line 146); human layer n = 60 (line 149). Primary-cohort participant flow: N/A (primary deposition, GSE158825).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Descriptive data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Addressed at the aggregate genomic level. Gene-set programme magnitudes (Fig. 1, line 231); SCN per-contrast directions (Table 1b, lines 252–257); hub localisation (Figs 3–4, lines 237–241); docking AUCs (Fig. 5, line 244). The human plasma-miRNA layer (GSE158825, n = 60) reports only aggregate set-level permutation statistics (Section 3.4, line 70); no participant-level clinical descriptors are tabulated because the public deposition provides no per-participant covariates beyond case/control status, so item 14 is addressed for the genomic summaries and explicitly not applicable to a participant-level descriptive table.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Outcome data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Addressed. Primary outcome of the reanalysis = the locked 4,055-gene core and 35 hubs (lines 249, 262); secondary = docking honest-null verdicts (line 244). Human miRNA layer outcome = pain-phenotype association (p = 0.51 for set-level, line 149).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Main results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Addressed. Results (lines 42–52): coordinated neuroimmune/DAM/complement↑ and OXPHOS↓; 35 hubs; full-library docking null (ADRA2A Tier-1 AUC 0.532, p = 0.118 NS). Bulk-only sensitivity (lines 44, 140, 249).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Other analyses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Addressed. Collapse-sensitivity, bulk-only sensitivity, random-effects sensitivity, non-circular translation test, LODO, target-set bootstrap (lines 136, 138, 140, 146, 249).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Key results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Addressed. Discussion/Abstract reframe (lines 14, 20): the axis is framed as a nerve-injury-associated transcriptional response; the incision arm analysed separately as a translation test; docking is an honest null, correcting the "repurposing panacea" narrative.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Limitations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Addressed extensively. Single-cell pseudoreplication avoided (directional hints only, line 152); GSE265957 translatome measurement heterogeneity (lines 131, 140); ion channels undockable (line 155); bulk-tissue cellular locus of OXPHOS unresolved (line 44); human DRG not directly measured (line 115 area); 45.7% of the primary core is translatome-dependent (lines 44, 249); causal scope disclaimed (line 161).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Interpretation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Addressed. Lines 14, 20, 42–52, 161: findings are associations, descriptive "response/programme" language, no causal claim, no therapeutic recommendation.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Generalisability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Addressed. Nerve-injury vs incision distinction (lines 14, 20, 44); cross-species (rat + mouse) convergence stated; human-plasma miRNA as a low-yield proxy (line 115 area); CSF/human-DRG congruence noted as mechanistically aligned but not directly measured.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22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Funding</w:t>
            </w:r>
          </w:p>
        </w:tc>
        <w:tc>
          <w:tcPr>
            <w:tcW w:type="dxa" w:w="312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Addressed. Funding (line 211): no financial support; analyses conducted as preliminary foundation for a pending Fujian Natural Science Foundation grant that did not fund/influence the present work. Competing interests (line 220) declared.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Times New Roman" w:hAnsi="Times New Roman"/>
          <w:b/>
          <w:i w:val="0"/>
          <w:sz w:val="22"/>
        </w:rPr>
        <w:t>Reanalysis provenance summary:</w:t>
      </w:r>
      <w:r>
        <w:rPr>
          <w:rFonts w:ascii="Times New Roman" w:hAnsi="Times New Roman"/>
          <w:b w:val="0"/>
          <w:i w:val="0"/>
          <w:sz w:val="22"/>
        </w:rPr>
        <w:t xml:space="preserve"> This manuscript reanalyses GEO accessions GSE267799, GSE212311, GSE278227, GSE241361, GSE265957, GSE158825, GSE222979, GSE216039, GSE328175, GSE246288, GSE306403, GSE325938. All are de-identified public data. The single human observational dataset (GSE158825, n = 60) was IRB-approved and consent-documented by the original depositor; this secondary reanalysis required no further ethics approval (Ethics statement, line 164). No new human participants were recruited and no new biological samples were generated.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Conserved nerve-injury-associated transcriptional response on the DRG–spinal axis: dorsal root ganglion analysis with spinal-cord localisation and honest repurposing null</dc:title>
  <dc:subject/>
  <dc:creator>Yang Y</dc:creator>
  <cp:keywords/>
  <dc:description>generated by python-docx</dc:description>
  <cp:lastModifiedBy>Yang Y</cp:lastModifiedBy>
  <cp:revision>1</cp:revision>
  <dcterms:created xsi:type="dcterms:W3CDTF">2013-12-23T23:15:00Z</dcterms:created>
  <dcterms:modified xsi:type="dcterms:W3CDTF">2013-12-23T23:15:00Z</dcterms:modified>
  <cp:category/>
</cp:coreProperties>
</file>